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80"/>
        <w:shd w:val="clear" w:fill="0A4800"/>
        <w:pBdr>
          <w:left w:val="single" w:sz="24" w:space="4" w:color="33CC00"/>
        </w:pBdr>
        <w:ind w:left="227"/>
      </w:pPr>
      <w:r>
        <w:rPr>
          <w:rFonts w:ascii="Calibri" w:hAnsi="Calibri" w:cs="Calibri"/>
          <w:b/>
          <w:i w:val="0"/>
          <w:color w:val="FFFFFF"/>
          <w:sz w:val="36"/>
        </w:rPr>
        <w:t>Dossier Investisseur EGREENCITY'S</w:t>
      </w:r>
    </w:p>
    <w:p>
      <w:pPr>
        <w:spacing w:before="280" w:after="120"/>
        <w:pBdr>
          <w:bottom w:val="single" w:sz="12" w:space="1" w:color="33CC00"/>
        </w:pBdr>
      </w:pPr>
      <w:r>
        <w:rPr>
          <w:rFonts w:ascii="Calibri" w:hAnsi="Calibri" w:cs="Calibri"/>
          <w:b/>
          <w:i w:val="0"/>
          <w:color w:val="0A4800"/>
          <w:sz w:val="28"/>
        </w:rPr>
        <w:t>Levée de fonds Série Seed 2026 — 300 000 EUR</w:t>
      </w:r>
    </w:p>
    <w:p>
      <w:pPr>
        <w:spacing w:before="200" w:after="80"/>
      </w:pPr>
      <w:r>
        <w:rPr>
          <w:rFonts w:ascii="Calibri" w:hAnsi="Calibri" w:cs="Calibri"/>
          <w:b/>
          <w:i w:val="0"/>
          <w:color w:val="0A4800"/>
          <w:sz w:val="24"/>
        </w:rPr>
        <w:t>Plan simple et réalisable : 20 PDC initial + 10 PDC/an sur 5 ans</w:t>
      </w:r>
    </w:p>
    <w:p>
      <w:pPr>
        <w:pBdr>
          <w:bottom w:val="single" w:sz="8" w:space="1" w:color="33CC00"/>
        </w:pBdr>
      </w:pPr>
    </w:p>
    <w:p>
      <w:pPr>
        <w:spacing w:after="120" w:line="312" w:lineRule="auto"/>
      </w:pPr>
      <w:r>
        <w:rPr>
          <w:rFonts w:ascii="Calibri" w:hAnsi="Calibri" w:cs="Calibri"/>
          <w:b/>
          <w:i w:val="0"/>
          <w:color w:val="0A4800"/>
          <w:sz w:val="22"/>
        </w:rPr>
        <w:t>EGREENCITY'S SAS</w:t>
      </w:r>
      <w:r>
        <w:rPr>
          <w:rFonts w:ascii="Calibri" w:hAnsi="Calibri" w:cs="Calibri"/>
          <w:b w:val="0"/>
          <w:i w:val="0"/>
          <w:color w:val="1A3A00"/>
          <w:sz w:val="22"/>
        </w:rPr>
        <w:br/>
        <w:t>1 rue Anangosi, Résidence La Rougerie</w:t>
        <w:br/>
        <w:t>97355 MACOURIA — Guyane française</w:t>
        <w:br/>
        <w:t>SAS au capital de 250 EUR — RCS Cayenne 878 682 854</w:t>
        <w:br/>
        <w:t>Tél : +33 6 51 14 11 18 | Email : egreencitys@gmail.com</w:t>
        <w:br/>
        <w:t>Web : https://egreencitys.com</w:t>
      </w:r>
    </w:p>
    <w:p>
      <w:pPr>
        <w:pBdr>
          <w:bottom w:val="single" w:sz="8" w:space="1" w:color="33CC00"/>
        </w:pBdr>
      </w:pPr>
    </w:p>
    <w:p>
      <w:pPr>
        <w:spacing w:before="280" w:after="120"/>
        <w:pBdr>
          <w:bottom w:val="single" w:sz="12" w:space="1" w:color="33CC00"/>
        </w:pBdr>
      </w:pPr>
      <w:r>
        <w:rPr>
          <w:rFonts w:ascii="Calibri" w:hAnsi="Calibri" w:cs="Calibri"/>
          <w:b/>
          <w:i w:val="0"/>
          <w:color w:val="0A4800"/>
          <w:sz w:val="28"/>
        </w:rPr>
        <w:t>L'opportunité en 1 phrase</w:t>
      </w:r>
    </w:p>
    <w:p>
      <w:pPr>
        <w:spacing w:before="120" w:after="120" w:line="312" w:lineRule="auto"/>
        <w:ind w:left="283"/>
        <w:pBdr>
          <w:left w:val="single" w:sz="24" w:space="8" w:color="2B4DB5"/>
        </w:pBdr>
        <w:shd w:val="clear" w:fill="F0F3FB"/>
      </w:pPr>
      <w:r>
        <w:rPr>
          <w:rFonts w:ascii="Calibri" w:hAnsi="Calibri" w:cs="Calibri"/>
          <w:b w:val="0"/>
          <w:i/>
          <w:color w:val="1A3A00"/>
          <w:sz w:val="20"/>
        </w:rPr>
        <w:t>EGREENCITY'S est l'opérateur pionnier de bornes de recharge pour véhicules électriques en Guyane, positionné en exclusivité sur un marché captif de 290 000 habitants subissant une croissance annuelle du parc VE de +35 % et une obligation de conformité AFIR 2024 dès 2027 .</w:t>
      </w:r>
    </w:p>
    <w:p>
      <w:pPr>
        <w:pBdr>
          <w:bottom w:val="single" w:sz="8" w:space="1" w:color="33CC00"/>
        </w:pBdr>
      </w:pPr>
    </w:p>
    <w:p>
      <w:pPr>
        <w:spacing w:before="280" w:after="120"/>
        <w:pBdr>
          <w:bottom w:val="single" w:sz="12" w:space="1" w:color="33CC00"/>
        </w:pBdr>
      </w:pPr>
      <w:r>
        <w:rPr>
          <w:rFonts w:ascii="Calibri" w:hAnsi="Calibri" w:cs="Calibri"/>
          <w:b/>
          <w:i w:val="0"/>
          <w:color w:val="0A4800"/>
          <w:sz w:val="28"/>
        </w:rPr>
        <w:t>Composition du dossier</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Doc</w:t>
            </w:r>
          </w:p>
        </w:tc>
        <w:tc>
          <w:tcPr>
            <w:tcW w:type="dxa" w:w="2493"/>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Titre</w:t>
            </w:r>
          </w:p>
        </w:tc>
        <w:tc>
          <w:tcPr>
            <w:tcW w:type="dxa" w:w="2493"/>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Contenu</w:t>
            </w:r>
          </w:p>
        </w:tc>
        <w:tc>
          <w:tcPr>
            <w:tcW w:type="dxa" w:w="2493"/>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Cible</w:t>
            </w:r>
          </w:p>
        </w:tc>
      </w:tr>
      <w:tr>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00</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Sommaire (ce document)</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Index général + ce qu'il faut lire en priorité</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Tous</w:t>
            </w:r>
          </w:p>
        </w:tc>
      </w:tr>
      <w:tr>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01</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Executive Summary</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Résumé 1 page — pitch</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Premier contact</w:t>
            </w:r>
          </w:p>
        </w:tc>
      </w:tr>
      <w:tr>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02</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Pitch Deck Investisseur</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Présentation 15 slides — vision, marché, traction, demande</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RDV initial</w:t>
            </w:r>
          </w:p>
        </w:tc>
      </w:tr>
      <w:tr>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03</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Business Plan détaillé</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Stratégie complète, opérations, marché, équipe (30+ pages)</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Due diligence</w:t>
            </w:r>
          </w:p>
        </w:tc>
      </w:tr>
      <w:tr>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04</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Plan Financier 5 ans</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Modèle Excel détaillé — P&amp;L, cash flow, TIR, scenarios</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Analyse financière</w:t>
            </w:r>
          </w:p>
        </w:tc>
      </w:tr>
      <w:tr>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05</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Memorandum d'Investissement</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Document formel — termes, valorisation, gouvernance</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Décision</w:t>
            </w:r>
          </w:p>
        </w:tc>
      </w:tr>
      <w:tr>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06</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Term Sheet Type</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Modèle de term sheet pour négociation</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Négociation</w:t>
            </w:r>
          </w:p>
        </w:tc>
      </w:tr>
      <w:tr>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07</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Annexe — Risques &amp; Mitigation</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Cartographie des risques + plans de réponse</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Comité</w:t>
            </w:r>
          </w:p>
        </w:tc>
      </w:tr>
      <w:tr>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08</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Annexe — Fournisseurs &amp; Partenaires</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E-TOTEM, EDF SEI, GIREVE, Avere, ADVENIR</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Validation tech</w:t>
            </w:r>
          </w:p>
        </w:tc>
      </w:tr>
    </w:tbl>
    <w:p>
      <w:pPr>
        <w:pBdr>
          <w:bottom w:val="single" w:sz="8" w:space="1" w:color="33CC00"/>
        </w:pBdr>
      </w:pPr>
    </w:p>
    <w:p>
      <w:pPr>
        <w:spacing w:before="280" w:after="120"/>
        <w:pBdr>
          <w:bottom w:val="single" w:sz="12" w:space="1" w:color="33CC00"/>
        </w:pBdr>
      </w:pPr>
      <w:r>
        <w:rPr>
          <w:rFonts w:ascii="Calibri" w:hAnsi="Calibri" w:cs="Calibri"/>
          <w:b/>
          <w:i w:val="0"/>
          <w:color w:val="0A4800"/>
          <w:sz w:val="28"/>
        </w:rPr>
        <w:t>Lecture recommandée selon votre profil</w:t>
      </w:r>
    </w:p>
    <w:p>
      <w:pPr>
        <w:spacing w:before="200" w:after="80"/>
      </w:pPr>
      <w:r>
        <w:rPr>
          <w:rFonts w:ascii="Calibri" w:hAnsi="Calibri" w:cs="Calibri"/>
          <w:b/>
          <w:i w:val="0"/>
          <w:color w:val="0A4800"/>
          <w:sz w:val="24"/>
        </w:rPr>
        <w:t>Si vous avez 5 minutes</w:t>
      </w:r>
    </w:p>
    <w:p>
      <w:pPr>
        <w:spacing w:after="120" w:line="312" w:lineRule="auto"/>
      </w:pPr>
      <w:r>
        <w:rPr>
          <w:rFonts w:ascii="Calibri" w:hAnsi="Calibri" w:cs="Calibri"/>
          <w:b w:val="0"/>
          <w:i w:val="0"/>
          <w:color w:val="1A3A00"/>
          <w:sz w:val="22"/>
        </w:rPr>
        <w:t>Document 01 — Executive Summary</w:t>
      </w:r>
    </w:p>
    <w:p>
      <w:pPr>
        <w:spacing w:before="200" w:after="80"/>
      </w:pPr>
      <w:r>
        <w:rPr>
          <w:rFonts w:ascii="Calibri" w:hAnsi="Calibri" w:cs="Calibri"/>
          <w:b/>
          <w:i w:val="0"/>
          <w:color w:val="0A4800"/>
          <w:sz w:val="24"/>
        </w:rPr>
        <w:t>Si vous avez 30 minutes</w:t>
      </w:r>
    </w:p>
    <w:p>
      <w:pPr>
        <w:spacing w:after="120" w:line="312" w:lineRule="auto"/>
      </w:pPr>
      <w:r>
        <w:rPr>
          <w:rFonts w:ascii="Calibri" w:hAnsi="Calibri" w:cs="Calibri"/>
          <w:b w:val="0"/>
          <w:i w:val="0"/>
          <w:color w:val="1A3A00"/>
          <w:sz w:val="22"/>
        </w:rPr>
        <w:t>Documents 01 + 02 (pitch deck) + onglets « Synthèse » et « TIR » du modèle financier 04</w:t>
      </w:r>
    </w:p>
    <w:p>
      <w:pPr>
        <w:spacing w:before="200" w:after="80"/>
      </w:pPr>
      <w:r>
        <w:rPr>
          <w:rFonts w:ascii="Calibri" w:hAnsi="Calibri" w:cs="Calibri"/>
          <w:b/>
          <w:i w:val="0"/>
          <w:color w:val="0A4800"/>
          <w:sz w:val="24"/>
        </w:rPr>
        <w:t>Si vous menez une due diligence</w:t>
      </w:r>
    </w:p>
    <w:p>
      <w:pPr>
        <w:spacing w:after="120" w:line="312" w:lineRule="auto"/>
      </w:pPr>
      <w:r>
        <w:rPr>
          <w:rFonts w:ascii="Calibri" w:hAnsi="Calibri" w:cs="Calibri"/>
          <w:b w:val="0"/>
          <w:i w:val="0"/>
          <w:color w:val="1A3A00"/>
          <w:sz w:val="22"/>
        </w:rPr>
        <w:t>L'intégralité des documents 02 à 08 + les pièces jointes</w:t>
      </w:r>
    </w:p>
    <w:p>
      <w:pPr>
        <w:spacing w:before="200" w:after="80"/>
      </w:pPr>
      <w:r>
        <w:rPr>
          <w:rFonts w:ascii="Calibri" w:hAnsi="Calibri" w:cs="Calibri"/>
          <w:b/>
          <w:i w:val="0"/>
          <w:color w:val="0A4800"/>
          <w:sz w:val="24"/>
        </w:rPr>
        <w:t>Si vous êtes intéressé pour investir</w:t>
      </w:r>
    </w:p>
    <w:p>
      <w:pPr>
        <w:spacing w:after="120" w:line="312" w:lineRule="auto"/>
      </w:pPr>
      <w:r>
        <w:rPr>
          <w:rFonts w:ascii="Calibri" w:hAnsi="Calibri" w:cs="Calibri"/>
          <w:b w:val="0"/>
          <w:i w:val="0"/>
          <w:color w:val="1A3A00"/>
          <w:sz w:val="22"/>
        </w:rPr>
        <w:t>Document 06 (term sheet) + RDV avec l'équipe fondatrice</w:t>
      </w:r>
    </w:p>
    <w:p>
      <w:pPr>
        <w:pBdr>
          <w:bottom w:val="single" w:sz="8" w:space="1" w:color="33CC00"/>
        </w:pBdr>
      </w:pPr>
    </w:p>
    <w:p>
      <w:pPr>
        <w:spacing w:before="280" w:after="120"/>
        <w:pBdr>
          <w:bottom w:val="single" w:sz="12" w:space="1" w:color="33CC00"/>
        </w:pBdr>
      </w:pPr>
      <w:r>
        <w:rPr>
          <w:rFonts w:ascii="Calibri" w:hAnsi="Calibri" w:cs="Calibri"/>
          <w:b/>
          <w:i w:val="0"/>
          <w:color w:val="0A4800"/>
          <w:sz w:val="28"/>
        </w:rPr>
        <w:t>Chiffres clés du projet</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Indicateur</w:t>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Valeur</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Capital recherché (Série Seed)</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300 000 EUR</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Valorisation pré-money proposée</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700 000 EUR</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Valorisation post-money</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1 000 000 EUR</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Dilution proposée aux investisseurs</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 30 %</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Plan de déploiement</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20 PDC initial + 10 PDC/an = 60 PDC à fin An 5</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Horizon de sortie</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7 à 8 ans</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TIR cible (scénario médian)</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8 à 12 %</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Multiple de sortie cible</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x1,7 à x2,3</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Subvention ADVENIR sécurisée (couverture)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75,2 %</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1ère mise en service prévue</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T+5 mois après closing</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1er EBITDA positif prévu</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An 5 (2030)</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Revenu cumulé 5 ans (médian)</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1,0 M EUR</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EBITDA An 5</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90 k EUR</w:t>
            </w:r>
          </w:p>
        </w:tc>
      </w:tr>
    </w:tbl>
    <w:p>
      <w:pPr>
        <w:pBdr>
          <w:bottom w:val="single" w:sz="8" w:space="1" w:color="33CC00"/>
        </w:pBdr>
      </w:pPr>
    </w:p>
    <w:p>
      <w:pPr>
        <w:spacing w:before="280" w:after="120"/>
        <w:pBdr>
          <w:bottom w:val="single" w:sz="12" w:space="1" w:color="33CC00"/>
        </w:pBdr>
      </w:pPr>
      <w:r>
        <w:rPr>
          <w:rFonts w:ascii="Calibri" w:hAnsi="Calibri" w:cs="Calibri"/>
          <w:b/>
          <w:i w:val="0"/>
          <w:color w:val="0A4800"/>
          <w:sz w:val="28"/>
        </w:rPr>
        <w:t>Pourquoi maintenant ?</w:t>
      </w:r>
    </w:p>
    <w:p>
      <w:pPr>
        <w:pStyle w:val="ListNumber"/>
        <w:spacing w:after="40" w:line="288" w:lineRule="auto"/>
      </w:pPr>
      <w:r>
        <w:rPr>
          <w:rFonts w:ascii="Calibri" w:hAnsi="Calibri" w:cs="Calibri"/>
          <w:b/>
          <w:i w:val="0"/>
          <w:color w:val="0A4800"/>
          <w:sz w:val="22"/>
        </w:rPr>
        <w:t>Fenêtre réglementaire fermée fin 2026</w:t>
      </w:r>
      <w:r>
        <w:rPr>
          <w:rFonts w:ascii="Calibri" w:hAnsi="Calibri" w:cs="Calibri"/>
          <w:b w:val="0"/>
          <w:i w:val="0"/>
          <w:color w:val="1A3A00"/>
          <w:sz w:val="22"/>
        </w:rPr>
        <w:t xml:space="preserve"> — la subvention ADVENIR à 75,2 % de couverture en outre-mer est exceptionnelle et ne sera pas reconduite à ce taux.</w:t>
      </w:r>
    </w:p>
    <w:p>
      <w:pPr>
        <w:pStyle w:val="ListNumber"/>
        <w:spacing w:after="40" w:line="288" w:lineRule="auto"/>
      </w:pPr>
      <w:r>
        <w:rPr>
          <w:rFonts w:ascii="Calibri" w:hAnsi="Calibri" w:cs="Calibri"/>
          <w:b/>
          <w:i w:val="0"/>
          <w:color w:val="0A4800"/>
          <w:sz w:val="22"/>
        </w:rPr>
        <w:t>Marché vierge</w:t>
      </w:r>
      <w:r>
        <w:rPr>
          <w:rFonts w:ascii="Calibri" w:hAnsi="Calibri" w:cs="Calibri"/>
          <w:b w:val="0"/>
          <w:i w:val="0"/>
          <w:color w:val="1A3A00"/>
          <w:sz w:val="22"/>
        </w:rPr>
        <w:t xml:space="preserve"> — aucun opérateur structuré de bornes publiques en Guyane à ce jour. Premier arrivé = leader.</w:t>
      </w:r>
    </w:p>
    <w:p>
      <w:pPr>
        <w:pStyle w:val="ListNumber"/>
        <w:spacing w:after="40" w:line="288" w:lineRule="auto"/>
      </w:pPr>
      <w:r>
        <w:rPr>
          <w:rFonts w:ascii="Calibri" w:hAnsi="Calibri" w:cs="Calibri"/>
          <w:b/>
          <w:i w:val="0"/>
          <w:color w:val="0A4800"/>
          <w:sz w:val="22"/>
        </w:rPr>
        <w:t>Obligation AFIR 2024 dès 2027</w:t>
      </w:r>
      <w:r>
        <w:rPr>
          <w:rFonts w:ascii="Calibri" w:hAnsi="Calibri" w:cs="Calibri"/>
          <w:b w:val="0"/>
          <w:i w:val="0"/>
          <w:color w:val="1A3A00"/>
          <w:sz w:val="22"/>
        </w:rPr>
        <w:t xml:space="preserve"> — toutes les communes doivent disposer de bornes ; refuser, c'est subir le coût plus tard.</w:t>
      </w:r>
    </w:p>
    <w:p>
      <w:pPr>
        <w:pStyle w:val="ListNumber"/>
        <w:spacing w:after="40" w:line="288" w:lineRule="auto"/>
      </w:pPr>
      <w:r>
        <w:rPr>
          <w:rFonts w:ascii="Calibri" w:hAnsi="Calibri" w:cs="Calibri"/>
          <w:b/>
          <w:i w:val="0"/>
          <w:color w:val="0A4800"/>
          <w:sz w:val="22"/>
        </w:rPr>
        <w:t>Parc VE en croissance +35 % par an</w:t>
      </w:r>
      <w:r>
        <w:rPr>
          <w:rFonts w:ascii="Calibri" w:hAnsi="Calibri" w:cs="Calibri"/>
          <w:b w:val="0"/>
          <w:i w:val="0"/>
          <w:color w:val="1A3A00"/>
          <w:sz w:val="22"/>
        </w:rPr>
        <w:t xml:space="preserve"> — la demande dépasse déjà l'offre.</w:t>
      </w:r>
    </w:p>
    <w:p>
      <w:pPr>
        <w:pStyle w:val="ListNumber"/>
        <w:spacing w:after="40" w:line="288" w:lineRule="auto"/>
      </w:pPr>
      <w:r>
        <w:rPr>
          <w:rFonts w:ascii="Calibri" w:hAnsi="Calibri" w:cs="Calibri"/>
          <w:b/>
          <w:i w:val="0"/>
          <w:color w:val="0A4800"/>
          <w:sz w:val="22"/>
        </w:rPr>
        <w:t>Modèle de revenus diversifié</w:t>
      </w:r>
      <w:r>
        <w:rPr>
          <w:rFonts w:ascii="Calibri" w:hAnsi="Calibri" w:cs="Calibri"/>
          <w:b w:val="0"/>
          <w:i w:val="0"/>
          <w:color w:val="1A3A00"/>
          <w:sz w:val="22"/>
        </w:rPr>
        <w:t xml:space="preserve"> — voirie publique (B2G), LOA entreprises (B2B), sessions privées (B2C).</w:t>
      </w:r>
    </w:p>
    <w:p>
      <w:pPr>
        <w:pBdr>
          <w:bottom w:val="single" w:sz="8" w:space="1" w:color="33CC00"/>
        </w:pBdr>
      </w:pPr>
    </w:p>
    <w:p>
      <w:pPr>
        <w:spacing w:before="280" w:after="120"/>
        <w:pBdr>
          <w:bottom w:val="single" w:sz="12" w:space="1" w:color="33CC00"/>
        </w:pBdr>
      </w:pPr>
      <w:r>
        <w:rPr>
          <w:rFonts w:ascii="Calibri" w:hAnsi="Calibri" w:cs="Calibri"/>
          <w:b/>
          <w:i w:val="0"/>
          <w:color w:val="0A4800"/>
          <w:sz w:val="28"/>
        </w:rPr>
        <w:t>Ce que vous trouverez dans ce dossier</w:t>
      </w:r>
    </w:p>
    <w:p>
      <w:pPr>
        <w:pStyle w:val="ListBullet"/>
        <w:spacing w:after="40" w:line="288" w:lineRule="auto"/>
      </w:pPr>
      <w:r>
        <w:rPr>
          <w:rFonts w:ascii="Calibri" w:hAnsi="Calibri" w:cs="Calibri"/>
          <w:b w:val="0"/>
          <w:i w:val="0"/>
          <w:color w:val="1A3A00"/>
          <w:sz w:val="22"/>
        </w:rPr>
        <w:t>Une analyse de marché complète et chiffrée</w:t>
      </w:r>
    </w:p>
    <w:p>
      <w:pPr>
        <w:pStyle w:val="ListBullet"/>
        <w:spacing w:after="40" w:line="288" w:lineRule="auto"/>
      </w:pPr>
      <w:r>
        <w:rPr>
          <w:rFonts w:ascii="Calibri" w:hAnsi="Calibri" w:cs="Calibri"/>
          <w:b w:val="0"/>
          <w:i w:val="0"/>
          <w:color w:val="1A3A00"/>
          <w:sz w:val="22"/>
        </w:rPr>
        <w:t>Un business model éprouvé déjà testé via le programme ADVENIR</w:t>
      </w:r>
    </w:p>
    <w:p>
      <w:pPr>
        <w:pStyle w:val="ListBullet"/>
        <w:spacing w:after="40" w:line="288" w:lineRule="auto"/>
      </w:pPr>
      <w:r>
        <w:rPr>
          <w:rFonts w:ascii="Calibri" w:hAnsi="Calibri" w:cs="Calibri"/>
          <w:b w:val="0"/>
          <w:i w:val="0"/>
          <w:color w:val="1A3A00"/>
          <w:sz w:val="22"/>
        </w:rPr>
        <w:t>Un plan financier sur 5 ans avec 3 scénarios (pessimiste / médian / optimiste)</w:t>
      </w:r>
    </w:p>
    <w:p>
      <w:pPr>
        <w:pStyle w:val="ListBullet"/>
        <w:spacing w:after="40" w:line="288" w:lineRule="auto"/>
      </w:pPr>
      <w:r>
        <w:rPr>
          <w:rFonts w:ascii="Calibri" w:hAnsi="Calibri" w:cs="Calibri"/>
          <w:b w:val="0"/>
          <w:i w:val="0"/>
          <w:color w:val="1A3A00"/>
          <w:sz w:val="22"/>
        </w:rPr>
        <w:t>Une équipe fondatrice locale avec connaissance du terrain</w:t>
      </w:r>
    </w:p>
    <w:p>
      <w:pPr>
        <w:pStyle w:val="ListBullet"/>
        <w:spacing w:after="40" w:line="288" w:lineRule="auto"/>
      </w:pPr>
      <w:r>
        <w:rPr>
          <w:rFonts w:ascii="Calibri" w:hAnsi="Calibri" w:cs="Calibri"/>
          <w:b w:val="0"/>
          <w:i w:val="0"/>
          <w:color w:val="1A3A00"/>
          <w:sz w:val="22"/>
        </w:rPr>
        <w:t>Des fournisseurs sélectionnés (E-TOTEM, GIREVE) et des subventions sécurisées</w:t>
      </w:r>
    </w:p>
    <w:p>
      <w:pPr>
        <w:pStyle w:val="ListBullet"/>
        <w:spacing w:after="40" w:line="288" w:lineRule="auto"/>
      </w:pPr>
      <w:r>
        <w:rPr>
          <w:rFonts w:ascii="Calibri" w:hAnsi="Calibri" w:cs="Calibri"/>
          <w:b w:val="0"/>
          <w:i w:val="0"/>
          <w:color w:val="1A3A00"/>
          <w:sz w:val="22"/>
        </w:rPr>
        <w:t>Une stratégie de sortie claire (cession industrielle, acteur national, IPO)</w:t>
      </w:r>
    </w:p>
    <w:p>
      <w:pPr>
        <w:pBdr>
          <w:bottom w:val="single" w:sz="8" w:space="1" w:color="33CC00"/>
        </w:pBdr>
      </w:pPr>
    </w:p>
    <w:p>
      <w:pPr>
        <w:spacing w:before="280" w:after="120"/>
        <w:pBdr>
          <w:bottom w:val="single" w:sz="12" w:space="1" w:color="33CC00"/>
        </w:pBdr>
      </w:pPr>
      <w:r>
        <w:rPr>
          <w:rFonts w:ascii="Calibri" w:hAnsi="Calibri" w:cs="Calibri"/>
          <w:b/>
          <w:i w:val="0"/>
          <w:color w:val="0A4800"/>
          <w:sz w:val="28"/>
        </w:rPr>
        <w:t>Contact direct</w:t>
      </w:r>
    </w:p>
    <w:p>
      <w:pPr>
        <w:spacing w:after="120" w:line="312" w:lineRule="auto"/>
      </w:pPr>
      <w:r>
        <w:rPr>
          <w:rFonts w:ascii="Calibri" w:hAnsi="Calibri" w:cs="Calibri"/>
          <w:b/>
          <w:i w:val="0"/>
          <w:color w:val="0A4800"/>
          <w:sz w:val="22"/>
        </w:rPr>
        <w:t>Loïc Yves LUDOSKY</w:t>
      </w:r>
      <w:r>
        <w:rPr>
          <w:rFonts w:ascii="Calibri" w:hAnsi="Calibri" w:cs="Calibri"/>
          <w:b w:val="0"/>
          <w:i w:val="0"/>
          <w:color w:val="1A3A00"/>
          <w:sz w:val="22"/>
        </w:rPr>
        <w:t xml:space="preserve"> — Président Fondateur</w:t>
        <w:br/>
      </w:r>
      <w:r>
        <w:rPr>
          <w:rFonts w:ascii="Calibri" w:hAnsi="Calibri" w:cs="Calibri"/>
          <w:b/>
          <w:i w:val="0"/>
          <w:color w:val="0A4800"/>
          <w:sz w:val="22"/>
        </w:rPr>
        <w:t>Patrice Claude LUDOSKY</w:t>
      </w:r>
      <w:r>
        <w:rPr>
          <w:rFonts w:ascii="Calibri" w:hAnsi="Calibri" w:cs="Calibri"/>
          <w:b w:val="0"/>
          <w:i w:val="0"/>
          <w:color w:val="1A3A00"/>
          <w:sz w:val="22"/>
        </w:rPr>
        <w:t xml:space="preserve"> — Directeur Général</w:t>
      </w:r>
    </w:p>
    <w:p>
      <w:pPr>
        <w:spacing w:after="120" w:line="312" w:lineRule="auto"/>
      </w:pPr>
      <w:r>
        <w:rPr>
          <w:rFonts w:ascii="Calibri" w:hAnsi="Calibri" w:cs="Calibri"/>
          <w:b w:val="0"/>
          <w:i w:val="0"/>
          <w:color w:val="1A3A00"/>
          <w:sz w:val="22"/>
        </w:rPr>
        <w:t>Tél : +33 6 51 14 11 18</w:t>
        <w:br/>
        <w:t>Email : egreencitys@gmail.com</w:t>
        <w:br/>
        <w:t>Demandes RDV investisseurs : egreencitys@gmail.com (objet : « Investissement »)</w:t>
      </w:r>
    </w:p>
    <w:p>
      <w:pPr>
        <w:spacing w:after="120" w:line="312" w:lineRule="auto"/>
      </w:pPr>
      <w:r>
        <w:rPr>
          <w:rFonts w:ascii="Calibri" w:hAnsi="Calibri" w:cs="Calibri"/>
          <w:b w:val="0"/>
          <w:i/>
          <w:color w:val="2B4DB5"/>
          <w:sz w:val="22"/>
        </w:rPr>
        <w:t>Document confidentiel — ne pas diffuser sans accord écrit d'EGREENCITY'S SAS — Mai 2026</w:t>
      </w:r>
    </w:p>
    <w:sectPr w:rsidR="00FC693F" w:rsidRPr="0006063C" w:rsidSect="00034616">
      <w:headerReference w:type="default" r:id="rId9"/>
      <w:footerReference w:type="default" r:id="rId10"/>
      <w:pgSz w:w="12240" w:h="15840"/>
      <w:pgMar w:top="1247" w:right="1134" w:bottom="136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888888"/>
        <w:sz w:val="16"/>
      </w:rPr>
      <w:t>EGREENCITY'S SAS · RCS Cayenne 878 682 854 · egreencitys@gmail.com · +33 6 51 14 11 18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620000" cy="447261"/>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620000" cy="44726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3A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