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  <w:shd w:val="clear" w:fill="0A4800"/>
        <w:pBdr>
          <w:left w:val="single" w:sz="24" w:space="4" w:color="33CC00"/>
        </w:pBdr>
        <w:ind w:left="227"/>
      </w:pPr>
      <w:r>
        <w:rPr>
          <w:rFonts w:ascii="Calibri" w:hAnsi="Calibri" w:cs="Calibri"/>
          <w:b/>
          <w:i w:val="0"/>
          <w:color w:val="FFFFFF"/>
          <w:sz w:val="36"/>
        </w:rPr>
        <w:t>Executive Summary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EGREENCITY'S — Levée de fonds Seed 300 000 EUR — Mai 2026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Plan simple et réalisable : 20 PDC initial + 10 PDC/an sur 5 ans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L'entreprise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EGREENCITY'S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est un opérateur guyanais de bornes de recharge pour véhicules électriques, fondé en 2025 par les frères </w:t>
      </w:r>
      <w:r>
        <w:rPr>
          <w:rFonts w:ascii="Calibri" w:hAnsi="Calibri" w:cs="Calibri"/>
          <w:b/>
          <w:i w:val="0"/>
          <w:color w:val="0A4800"/>
          <w:sz w:val="22"/>
        </w:rPr>
        <w:t>Loïc Yves LUDOSKY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(Président) et </w:t>
      </w:r>
      <w:r>
        <w:rPr>
          <w:rFonts w:ascii="Calibri" w:hAnsi="Calibri" w:cs="Calibri"/>
          <w:b/>
          <w:i w:val="0"/>
          <w:color w:val="0A4800"/>
          <w:sz w:val="22"/>
        </w:rPr>
        <w:t>Patrice Claude LUDOSKY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(Directeur Général), tous deux établis en Guyane française. Siège social à Macouria, sur le territoire que nous opérons.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Le problème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La Guyane française compte </w:t>
      </w:r>
      <w:r>
        <w:rPr>
          <w:rFonts w:ascii="Calibri" w:hAnsi="Calibri" w:cs="Calibri"/>
          <w:b/>
          <w:i w:val="0"/>
          <w:color w:val="0A4800"/>
          <w:sz w:val="22"/>
        </w:rPr>
        <w:t>290 000 habitants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, </w:t>
      </w:r>
      <w:r>
        <w:rPr>
          <w:rFonts w:ascii="Calibri" w:hAnsi="Calibri" w:cs="Calibri"/>
          <w:b/>
          <w:i w:val="0"/>
          <w:color w:val="0A4800"/>
          <w:sz w:val="22"/>
        </w:rPr>
        <w:t>environ 400 véhicules électriques en 2026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(croissance </w:t>
      </w:r>
      <w:r>
        <w:rPr>
          <w:rFonts w:ascii="Calibri" w:hAnsi="Calibri" w:cs="Calibri"/>
          <w:b/>
          <w:i w:val="0"/>
          <w:color w:val="0A4800"/>
          <w:sz w:val="22"/>
        </w:rPr>
        <w:t>+35 %/an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), et </w:t>
      </w:r>
      <w:r>
        <w:rPr>
          <w:rFonts w:ascii="Calibri" w:hAnsi="Calibri" w:cs="Calibri"/>
          <w:b/>
          <w:i w:val="0"/>
          <w:color w:val="0A4800"/>
          <w:sz w:val="22"/>
        </w:rPr>
        <w:t>moins de 10 bornes publiques opérationnelles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sur tout le département. La directive européenne </w:t>
      </w:r>
      <w:r>
        <w:rPr>
          <w:rFonts w:ascii="Calibri" w:hAnsi="Calibri" w:cs="Calibri"/>
          <w:b/>
          <w:i w:val="0"/>
          <w:color w:val="0A4800"/>
          <w:sz w:val="22"/>
        </w:rPr>
        <w:t>AFIR 2024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impose un point de recharge tous les 60 km sur les axes structurants </w:t>
      </w:r>
      <w:r>
        <w:rPr>
          <w:rFonts w:ascii="Calibri" w:hAnsi="Calibri" w:cs="Calibri"/>
          <w:b/>
          <w:i w:val="0"/>
          <w:color w:val="0A4800"/>
          <w:sz w:val="22"/>
        </w:rPr>
        <w:t>dès 2027</w:t>
      </w:r>
      <w:r>
        <w:rPr>
          <w:rFonts w:ascii="Calibri" w:hAnsi="Calibri" w:cs="Calibri"/>
          <w:b w:val="0"/>
          <w:i w:val="0"/>
          <w:color w:val="1A3A00"/>
          <w:sz w:val="22"/>
        </w:rPr>
        <w:t>. Aucune commune guyanaise n'est aujourd'hui en règle.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La solution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Nous déployons un </w:t>
      </w:r>
      <w:r>
        <w:rPr>
          <w:rFonts w:ascii="Calibri" w:hAnsi="Calibri" w:cs="Calibri"/>
          <w:b/>
          <w:i w:val="0"/>
          <w:color w:val="0A4800"/>
          <w:sz w:val="22"/>
        </w:rPr>
        <w:t>réseau structuré de 10 stations / 20 points de charge sur 8 communes du littoral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, financé à </w:t>
      </w:r>
      <w:r>
        <w:rPr>
          <w:rFonts w:ascii="Calibri" w:hAnsi="Calibri" w:cs="Calibri"/>
          <w:b/>
          <w:i w:val="0"/>
          <w:color w:val="0A4800"/>
          <w:sz w:val="22"/>
        </w:rPr>
        <w:t>75,2 % par le programme national ADVENIR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(taux exceptionnel en outre-mer). Nous complétons ce maillage public par une offre </w:t>
      </w:r>
      <w:r>
        <w:rPr>
          <w:rFonts w:ascii="Calibri" w:hAnsi="Calibri" w:cs="Calibri"/>
          <w:b/>
          <w:i w:val="0"/>
          <w:color w:val="0A4800"/>
          <w:sz w:val="22"/>
        </w:rPr>
        <w:t>LOA Entreprises (89 EUR/mois HT/PDC)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ciblant 49 entreprises identifiées (hôtels, grande distribution, automobile, banques, CSG, aéroport).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Le marché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Segment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Volume potentiel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Couverture EGREENCITY'S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Voirie publique (8 communes)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50 + bornes d'ici 2030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100 % phase 1 (20 PDC)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LOA Entreprises (cibles 50+)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200 + bornes d'ici 2030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Pole position locale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Sessions de recharge B2C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400 + VE croissants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Réseau exclusif local</w:t>
            </w:r>
          </w:p>
        </w:tc>
      </w:tr>
    </w:tbl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Le modèle économique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3 sources de revenus :</w:t>
        <w:br/>
        <w:t xml:space="preserve">1. </w:t>
      </w:r>
      <w:r>
        <w:rPr>
          <w:rFonts w:ascii="Calibri" w:hAnsi="Calibri" w:cs="Calibri"/>
          <w:b/>
          <w:i w:val="0"/>
          <w:color w:val="0A4800"/>
          <w:sz w:val="22"/>
        </w:rPr>
        <w:t>B2G (voirie publique)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sessions de recharge sur les bornes ADVENIR (~ 0,45 EUR/kWh facturés, marge ~ 0,27 EUR/kWh)</w:t>
        <w:br/>
        <w:t xml:space="preserve">2. </w:t>
      </w:r>
      <w:r>
        <w:rPr>
          <w:rFonts w:ascii="Calibri" w:hAnsi="Calibri" w:cs="Calibri"/>
          <w:b/>
          <w:i w:val="0"/>
          <w:color w:val="0A4800"/>
          <w:sz w:val="22"/>
        </w:rPr>
        <w:t>B2B (LOA entreprises)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89 à 169 EUR/mois HT/PDC sur 72 mois, travaux à la charge du client</w:t>
        <w:br/>
        <w:t xml:space="preserve">3. </w:t>
      </w:r>
      <w:r>
        <w:rPr>
          <w:rFonts w:ascii="Calibri" w:hAnsi="Calibri" w:cs="Calibri"/>
          <w:b/>
          <w:i w:val="0"/>
          <w:color w:val="0A4800"/>
          <w:sz w:val="22"/>
        </w:rPr>
        <w:t>B2C (sessions privées)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exploitation des bornes privées en mode pay-as-you-go avec partage de revenus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Traction sécurisée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Subvention ADVENIR confirmée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37 200 EUR (75,2 % de couverture)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Devis E-TOTEM signé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DEV26000037 du 30/04/2026 — 4 948 EUR HT/borne Premium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8 lettres d'intention mairies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en cours d'envoi (LRAR)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49 cibles entreprises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identifiées et qualifiées (ID + secteur + tarif)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Site web en ligne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egreencitys.com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Documentation complète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dossier ADVENIR (10 pièces), offre LOA, contrats types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Plan de déploiement (simple et réalisable)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Année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PDC publics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PDC LOA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DC fast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Total cumul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An 1 (2026)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 (ADVENIR)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20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An 2 (2027)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10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30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An 3 (2028)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40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An 4 (2029)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26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50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An 5 (2030)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32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8</w:t>
            </w:r>
          </w:p>
        </w:tc>
        <w:tc>
          <w:tcPr>
            <w:tcW w:type="dxa" w:w="199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60</w:t>
            </w:r>
          </w:p>
        </w:tc>
      </w:tr>
    </w:tbl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Logique : nous démarrons avec 10 bornes (= 20 PDC) sur le réseau ADVENIR voirie publique , financées par le Seed de 300 000 EUR. Puis +10 PDC/an sur 5 ans, autofinancés par le cash flow opérationnel + une Série A optionnelle (200 k€) en An 3 . Les 4 stations DC fast (8 PDC au total) en An 4-5 boostent fortement le revenu unitaire.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Projection 5 ans (scénario médian)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Année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Revenu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EBITDA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Marge EBITDA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2026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35 k€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-185 k€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n.s. (lancement)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2027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85 k€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-155 k€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n.s. (ramp-up)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2028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170 k€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-100 k€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n.s.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2029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290 k€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-20 k€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équilibre proche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2030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430 k€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90 k€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21 %</w:t>
            </w:r>
          </w:p>
        </w:tc>
      </w:tr>
    </w:tbl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TIR investisseur médian sur 7 ans : 8-12 %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| </w:t>
      </w:r>
      <w:r>
        <w:rPr>
          <w:rFonts w:ascii="Calibri" w:hAnsi="Calibri" w:cs="Calibri"/>
          <w:b/>
          <w:i w:val="0"/>
          <w:color w:val="0A4800"/>
          <w:sz w:val="22"/>
        </w:rPr>
        <w:t>Multiple de sortie : x1,7 à x2,3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Le plan privilégie une croissance maîtrisée, autofinancée et réalisable , avec un horizon de sortie à 7-8 ans. Le scénario optimiste (Antilles + DC fast accéléré + sponsoring) porte le TIR jusqu'à 22-28 %.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La levée de fonds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Tour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Montant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Cible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Seed (en cours)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300 000 EUR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BPI Guyane + business angels régionaux + crowdfunding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Série A (optionnel — 2028)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200 000 EUR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Banque régionale en crédit-bail / fonds outre-mer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(Optionnel) Série B (2030)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1 000 000 EUR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Expansion Antilles + DC fast réseau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Utilisation des fonds Seed (300 000 EUR)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33 %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(99 k€) — CAPEX bornes initial : 10 bornes (20 PDC) ADVENIR voirie publique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22 %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(65 k€) — Travaux génie civil et raccordement EDF SEI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25 %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(75 k€) — Recrutement (4 ETP partiels An 1)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8 %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 (25 k€) — Marketing &amp; développement commercial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5 %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 (15 k€) — R&amp;D / application mobile (version simple)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4 %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 (12 k€) — Fonds de roulement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3 %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 (9 k€)  — Frais juridiques, conseil, structuration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Note : la subvention ADVENIR (37 200 EUR) est perçue en cours d'année 1 et abonde directement la trésorerie.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Pourquoi investir maintenant ?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Fenêtre ADVENIR fermée fin 2026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taux 75,2 % outre-mer non reconductible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Premier arrivé = leader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sur un marché vierge de 290 000 habitants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Modèle économique prouvé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en métropole et adapté au contexte ultramarin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Équipe fondatrice locale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connaissance fine du terrain et des institutions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Diversification des revenus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sur 3 axes (B2G, B2B, B2C) limitant le risque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Ancrage territorial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entreprise guyanaise pour la transition guyanaise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Sortie envisagée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Cession industrielle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à un acteur national (Engie Vianeo, TotalEnergies Charging, Allego France, ChargeGuru) — multiple x5-7 sur EBITDA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Cession à un fonds infrastructure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mobilité durable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IPO Euronext Growth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(peu probable mais ouvert) horizon 7-10 ans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Buy-back fondateurs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si dynamique le permet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Contact direct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Loïc Yves LUDOSKY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Président</w:t>
        <w:br/>
        <w:t>+33 6 51 14 11 18 — egreencitys@gmail.com — egreencitys.com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Demandez le pitch deck complet et le modèle financier : email avec mention « Investissement EGREENCITY'S — Seed 2026 ».</w:t>
      </w:r>
    </w:p>
    <w:p>
      <w:pPr>
        <w:pBdr>
          <w:bottom w:val="single" w:sz="8" w:space="1" w:color="33CC00"/>
        </w:pBdr>
      </w:pPr>
    </w:p>
    <w:p>
      <w:pPr>
        <w:spacing w:after="120" w:line="312" w:lineRule="auto"/>
      </w:pPr>
      <w:r>
        <w:rPr>
          <w:rFonts w:ascii="Calibri" w:hAnsi="Calibri" w:cs="Calibri"/>
          <w:b w:val="0"/>
          <w:i/>
          <w:color w:val="2B4DB5"/>
          <w:sz w:val="22"/>
        </w:rPr>
        <w:t>Document confidentiel — EGREENCITY'S SAS — Mai 2026 — RCS Cayenne 878 682 854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888888"/>
        <w:sz w:val="16"/>
      </w:rPr>
      <w:t>EGREENCITY'S SAS · RCS Cayenne 878 682 854 · egreencitys@gmail.com · +33 6 51 14 11 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620000" cy="44726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0000" cy="44726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3A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