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280"/>
        <w:shd w:val="clear" w:fill="0A4800"/>
        <w:pBdr>
          <w:left w:val="single" w:sz="24" w:space="4" w:color="33CC00"/>
        </w:pBdr>
        <w:ind w:left="227"/>
      </w:pPr>
      <w:r>
        <w:rPr>
          <w:rFonts w:ascii="Calibri" w:hAnsi="Calibri" w:cs="Calibri"/>
          <w:b/>
          <w:i w:val="0"/>
          <w:color w:val="FFFFFF"/>
          <w:sz w:val="36"/>
        </w:rPr>
        <w:t>Pitch Deck Investisseur EGREENCITY'S</w:t>
      </w:r>
    </w:p>
    <w:p>
      <w:pPr>
        <w:spacing w:before="280" w:after="120"/>
        <w:pBdr>
          <w:bottom w:val="single" w:sz="12" w:space="1" w:color="33CC00"/>
        </w:pBdr>
      </w:pPr>
      <w:r>
        <w:rPr>
          <w:rFonts w:ascii="Calibri" w:hAnsi="Calibri" w:cs="Calibri"/>
          <w:b/>
          <w:i w:val="0"/>
          <w:color w:val="0A4800"/>
          <w:sz w:val="28"/>
        </w:rPr>
        <w:t>Mai 2026 — Seed Round 300 000 EUR</w:t>
      </w:r>
    </w:p>
    <w:p>
      <w:pPr>
        <w:spacing w:before="200" w:after="80"/>
      </w:pPr>
      <w:r>
        <w:rPr>
          <w:rFonts w:ascii="Calibri" w:hAnsi="Calibri" w:cs="Calibri"/>
          <w:b/>
          <w:i w:val="0"/>
          <w:color w:val="0A4800"/>
          <w:sz w:val="24"/>
        </w:rPr>
        <w:t>Plan simple et réalisable : 20 PDC initial + 10 PDC/an</w:t>
      </w:r>
    </w:p>
    <w:p>
      <w:pPr>
        <w:pBdr>
          <w:bottom w:val="single" w:sz="8" w:space="1" w:color="33CC00"/>
        </w:pBdr>
      </w:pPr>
    </w:p>
    <w:p>
      <w:pPr>
        <w:spacing w:before="280" w:after="120"/>
        <w:pBdr>
          <w:bottom w:val="single" w:sz="12" w:space="1" w:color="33CC00"/>
        </w:pBdr>
      </w:pPr>
      <w:r>
        <w:rPr>
          <w:rFonts w:ascii="Calibri" w:hAnsi="Calibri" w:cs="Calibri"/>
          <w:b/>
          <w:i w:val="0"/>
          <w:color w:val="0A4800"/>
          <w:sz w:val="28"/>
        </w:rPr>
        <w:t>SLIDE 1 — Couverture</w:t>
      </w:r>
    </w:p>
    <w:p>
      <w:pPr>
        <w:spacing w:before="120" w:after="280"/>
        <w:shd w:val="clear" w:fill="0A4800"/>
        <w:pBdr>
          <w:left w:val="single" w:sz="24" w:space="4" w:color="33CC00"/>
        </w:pBdr>
        <w:ind w:left="227"/>
      </w:pPr>
      <w:r>
        <w:rPr>
          <w:rFonts w:ascii="Calibri" w:hAnsi="Calibri" w:cs="Calibri"/>
          <w:b/>
          <w:i w:val="0"/>
          <w:color w:val="FFFFFF"/>
          <w:sz w:val="36"/>
        </w:rPr>
        <w:t>EGREENCITY'S</w:t>
      </w:r>
    </w:p>
    <w:p>
      <w:pPr>
        <w:spacing w:before="280" w:after="120"/>
        <w:pBdr>
          <w:bottom w:val="single" w:sz="12" w:space="1" w:color="33CC00"/>
        </w:pBdr>
      </w:pPr>
      <w:r>
        <w:rPr>
          <w:rFonts w:ascii="Calibri" w:hAnsi="Calibri" w:cs="Calibri"/>
          <w:b/>
          <w:i w:val="0"/>
          <w:color w:val="0A4800"/>
          <w:sz w:val="28"/>
        </w:rPr>
        <w:t>Le réseau pionnier de bornes de recharge électrique en Guyane</w:t>
      </w:r>
    </w:p>
    <w:p>
      <w:pPr>
        <w:spacing w:before="120" w:after="120" w:line="312" w:lineRule="auto"/>
        <w:ind w:left="283"/>
        <w:pBdr>
          <w:left w:val="single" w:sz="24" w:space="8" w:color="2B4DB5"/>
        </w:pBdr>
        <w:shd w:val="clear" w:fill="F0F3FB"/>
      </w:pPr>
      <w:r>
        <w:rPr>
          <w:rFonts w:ascii="Calibri" w:hAnsi="Calibri" w:cs="Calibri"/>
          <w:b w:val="0"/>
          <w:i/>
          <w:color w:val="1A3A00"/>
          <w:sz w:val="20"/>
        </w:rPr>
        <w:t>« Nous électrifions la mobilité en outre-mer, station par station. »</w:t>
      </w:r>
    </w:p>
    <w:p>
      <w:pPr>
        <w:spacing w:after="120" w:line="312" w:lineRule="auto"/>
      </w:pPr>
      <w:r>
        <w:rPr>
          <w:rFonts w:ascii="Calibri" w:hAnsi="Calibri" w:cs="Calibri"/>
          <w:b/>
          <w:i w:val="0"/>
          <w:color w:val="0A4800"/>
          <w:sz w:val="22"/>
        </w:rPr>
        <w:t>Loïc Yves LUDOSKY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— Président Fondateur</w:t>
        <w:br/>
      </w:r>
      <w:r>
        <w:rPr>
          <w:rFonts w:ascii="Calibri" w:hAnsi="Calibri" w:cs="Calibri"/>
          <w:b/>
          <w:i w:val="0"/>
          <w:color w:val="0A4800"/>
          <w:sz w:val="22"/>
        </w:rPr>
        <w:t>Patrice Claude LUDOSKY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— Directeur Général</w:t>
      </w:r>
    </w:p>
    <w:p>
      <w:pPr>
        <w:spacing w:after="120" w:line="312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>Macouria, Guyane française | Mai 2026</w:t>
        <w:br/>
        <w:t>RCS Cayenne 878 682 854 | egreencitys@gmail.com</w:t>
      </w:r>
    </w:p>
    <w:p>
      <w:pPr>
        <w:pBdr>
          <w:bottom w:val="single" w:sz="8" w:space="1" w:color="33CC00"/>
        </w:pBdr>
      </w:pPr>
    </w:p>
    <w:p>
      <w:pPr>
        <w:spacing w:before="280" w:after="120"/>
        <w:pBdr>
          <w:bottom w:val="single" w:sz="12" w:space="1" w:color="33CC00"/>
        </w:pBdr>
      </w:pPr>
      <w:r>
        <w:rPr>
          <w:rFonts w:ascii="Calibri" w:hAnsi="Calibri" w:cs="Calibri"/>
          <w:b/>
          <w:i w:val="0"/>
          <w:color w:val="0A4800"/>
          <w:sz w:val="28"/>
        </w:rPr>
        <w:t>SLIDE 2 — Le problème</w:t>
      </w:r>
    </w:p>
    <w:p>
      <w:pPr>
        <w:spacing w:before="200" w:after="80"/>
      </w:pPr>
      <w:r>
        <w:rPr>
          <w:rFonts w:ascii="Calibri" w:hAnsi="Calibri" w:cs="Calibri"/>
          <w:b/>
          <w:i w:val="0"/>
          <w:color w:val="0A4800"/>
          <w:sz w:val="24"/>
        </w:rPr>
        <w:t>La Guyane est un territoire en transition énergétique négligé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A480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Constat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A480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Donnée 2026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Population guyanaise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290 000 hab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Parc VE / VHR estimé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~ 400 véhicules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Croissance annuelle du parc VE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0A4800"/>
                <w:sz w:val="19"/>
              </w:rPr>
              <w:t>+35 %/an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Bornes de recharge publiques opérationnelles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&lt; 10 sur tout le département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Communes en règle vis-à-vis de la directive AFIR 2024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0A4800"/>
                <w:sz w:val="19"/>
              </w:rPr>
              <w:t>0 sur 22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Prix carburant pompe (gasoil 2026)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1,82 EUR/L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Coût recharge VE équivalent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0,06 EUR/km vs 0,12 EUR/km gasoil</w:t>
            </w:r>
          </w:p>
        </w:tc>
      </w:tr>
    </w:tbl>
    <w:p>
      <w:pPr>
        <w:spacing w:before="120" w:after="120" w:line="312" w:lineRule="auto"/>
        <w:ind w:left="283"/>
        <w:pBdr>
          <w:left w:val="single" w:sz="24" w:space="8" w:color="2B4DB5"/>
        </w:pBdr>
        <w:shd w:val="clear" w:fill="F0F3FB"/>
      </w:pPr>
      <w:r>
        <w:rPr>
          <w:rFonts w:ascii="Calibri" w:hAnsi="Calibri" w:cs="Calibri"/>
          <w:b w:val="0"/>
          <w:i/>
          <w:color w:val="1A3A00"/>
          <w:sz w:val="20"/>
        </w:rPr>
        <w:t>Conséquence : les Guyanais qui veulent passer au VE en sont dissuadés par l'absence d'infrastructure de recharge accessible.</w:t>
      </w:r>
    </w:p>
    <w:p>
      <w:pPr>
        <w:pBdr>
          <w:bottom w:val="single" w:sz="8" w:space="1" w:color="33CC00"/>
        </w:pBdr>
      </w:pPr>
    </w:p>
    <w:p>
      <w:pPr>
        <w:spacing w:before="280" w:after="120"/>
        <w:pBdr>
          <w:bottom w:val="single" w:sz="12" w:space="1" w:color="33CC00"/>
        </w:pBdr>
      </w:pPr>
      <w:r>
        <w:rPr>
          <w:rFonts w:ascii="Calibri" w:hAnsi="Calibri" w:cs="Calibri"/>
          <w:b/>
          <w:i w:val="0"/>
          <w:color w:val="0A4800"/>
          <w:sz w:val="28"/>
        </w:rPr>
        <w:t>SLIDE 3 — La solution</w:t>
      </w:r>
    </w:p>
    <w:p>
      <w:pPr>
        <w:spacing w:before="200" w:after="80"/>
      </w:pPr>
      <w:r>
        <w:rPr>
          <w:rFonts w:ascii="Calibri" w:hAnsi="Calibri" w:cs="Calibri"/>
          <w:b/>
          <w:i w:val="0"/>
          <w:color w:val="0A4800"/>
          <w:sz w:val="24"/>
        </w:rPr>
        <w:t>EGREENCITY'S : un réseau structuré et financé en 3 strates</w:t>
      </w:r>
    </w:p>
    <w:p>
      <w:pPr>
        <w:spacing w:after="120" w:line="312" w:lineRule="auto"/>
      </w:pPr>
      <w:r>
        <w:rPr>
          <w:rFonts w:ascii="Calibri" w:hAnsi="Calibri" w:cs="Calibri"/>
          <w:b/>
          <w:i w:val="0"/>
          <w:color w:val="0A4800"/>
          <w:sz w:val="22"/>
        </w:rPr>
        <w:t>Strate 1 — Voirie publique (B2G)</w:t>
      </w:r>
      <w:r>
        <w:rPr>
          <w:rFonts w:ascii="Calibri" w:hAnsi="Calibri" w:cs="Calibri"/>
          <w:b w:val="0"/>
          <w:i w:val="0"/>
          <w:color w:val="1A3A00"/>
          <w:sz w:val="22"/>
        </w:rPr>
        <w:br/>
        <w:t>10 stations / 20 points de charge sur 8 communes du littoral</w:t>
        <w:br/>
        <w:t xml:space="preserve">Financement : </w:t>
      </w:r>
      <w:r>
        <w:rPr>
          <w:rFonts w:ascii="Calibri" w:hAnsi="Calibri" w:cs="Calibri"/>
          <w:b/>
          <w:i w:val="0"/>
          <w:color w:val="0A4800"/>
          <w:sz w:val="22"/>
        </w:rPr>
        <w:t>75,2 % programme ADVENIR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(subvention sécurisée 37 200 EUR)</w:t>
      </w:r>
    </w:p>
    <w:p>
      <w:pPr>
        <w:spacing w:after="120" w:line="312" w:lineRule="auto"/>
      </w:pPr>
      <w:r>
        <w:rPr>
          <w:rFonts w:ascii="Calibri" w:hAnsi="Calibri" w:cs="Calibri"/>
          <w:b/>
          <w:i w:val="0"/>
          <w:color w:val="0A4800"/>
          <w:sz w:val="22"/>
        </w:rPr>
        <w:t>Strate 2 — Entreprises (B2B / LOA)</w:t>
      </w:r>
      <w:r>
        <w:rPr>
          <w:rFonts w:ascii="Calibri" w:hAnsi="Calibri" w:cs="Calibri"/>
          <w:b w:val="0"/>
          <w:i w:val="0"/>
          <w:color w:val="1A3A00"/>
          <w:sz w:val="22"/>
        </w:rPr>
        <w:br/>
        <w:t>50 cibles identifiées (hôtels, distribution, automobile, banques, CSG)</w:t>
        <w:br/>
        <w:t xml:space="preserve">Modèle : </w:t>
      </w:r>
      <w:r>
        <w:rPr>
          <w:rFonts w:ascii="Calibri" w:hAnsi="Calibri" w:cs="Calibri"/>
          <w:b/>
          <w:i w:val="0"/>
          <w:color w:val="0A4800"/>
          <w:sz w:val="22"/>
        </w:rPr>
        <w:t>Location avec Option d'Achat 72 mois</w:t>
      </w:r>
      <w:r>
        <w:rPr>
          <w:rFonts w:ascii="Calibri" w:hAnsi="Calibri" w:cs="Calibri"/>
          <w:b w:val="0"/>
          <w:i w:val="0"/>
          <w:color w:val="1A3A00"/>
          <w:sz w:val="22"/>
        </w:rPr>
        <w:t>, à partir de 89 EUR/mois HT/PDC</w:t>
      </w:r>
    </w:p>
    <w:p>
      <w:pPr>
        <w:spacing w:after="120" w:line="312" w:lineRule="auto"/>
      </w:pPr>
      <w:r>
        <w:rPr>
          <w:rFonts w:ascii="Calibri" w:hAnsi="Calibri" w:cs="Calibri"/>
          <w:b/>
          <w:i w:val="0"/>
          <w:color w:val="0A4800"/>
          <w:sz w:val="22"/>
        </w:rPr>
        <w:t>Strate 3 — Sessions de recharge (B2C)</w:t>
      </w:r>
      <w:r>
        <w:rPr>
          <w:rFonts w:ascii="Calibri" w:hAnsi="Calibri" w:cs="Calibri"/>
          <w:b w:val="0"/>
          <w:i w:val="0"/>
          <w:color w:val="1A3A00"/>
          <w:sz w:val="22"/>
        </w:rPr>
        <w:br/>
        <w:t>Application mobile + badge RFID + interopérabilité GIREVE</w:t>
        <w:br/>
        <w:t>Pricing : 0,45 EUR/kWh (vs ~0,18 EUR/kWh coût d'achat EDF SEI)</w:t>
      </w:r>
    </w:p>
    <w:p>
      <w:pPr>
        <w:spacing w:before="120" w:after="120" w:line="312" w:lineRule="auto"/>
        <w:ind w:left="283"/>
        <w:pBdr>
          <w:left w:val="single" w:sz="24" w:space="8" w:color="2B4DB5"/>
        </w:pBdr>
        <w:shd w:val="clear" w:fill="F0F3FB"/>
      </w:pPr>
      <w:r>
        <w:rPr>
          <w:rFonts w:ascii="Calibri" w:hAnsi="Calibri" w:cs="Calibri"/>
          <w:b w:val="0"/>
          <w:i/>
          <w:color w:val="1A3A00"/>
          <w:sz w:val="20"/>
        </w:rPr>
        <w:t>Une infrastructure unique, trois modèles de revenus complémentaires.</w:t>
      </w:r>
    </w:p>
    <w:p>
      <w:pPr>
        <w:pBdr>
          <w:bottom w:val="single" w:sz="8" w:space="1" w:color="33CC00"/>
        </w:pBdr>
      </w:pPr>
    </w:p>
    <w:p>
      <w:pPr>
        <w:spacing w:before="280" w:after="120"/>
        <w:pBdr>
          <w:bottom w:val="single" w:sz="12" w:space="1" w:color="33CC00"/>
        </w:pBdr>
      </w:pPr>
      <w:r>
        <w:rPr>
          <w:rFonts w:ascii="Calibri" w:hAnsi="Calibri" w:cs="Calibri"/>
          <w:b/>
          <w:i w:val="0"/>
          <w:color w:val="0A4800"/>
          <w:sz w:val="28"/>
        </w:rPr>
        <w:t>SLIDE 4 — Le marché</w:t>
      </w:r>
    </w:p>
    <w:p>
      <w:pPr>
        <w:spacing w:before="200" w:after="80"/>
      </w:pPr>
      <w:r>
        <w:rPr>
          <w:rFonts w:ascii="Calibri" w:hAnsi="Calibri" w:cs="Calibri"/>
          <w:b/>
          <w:i w:val="0"/>
          <w:color w:val="0A4800"/>
          <w:sz w:val="24"/>
        </w:rPr>
        <w:t>Un marché captif en explosion</w:t>
      </w:r>
    </w:p>
    <w:p>
      <w:pPr>
        <w:spacing w:after="120" w:line="312" w:lineRule="auto"/>
      </w:pPr>
      <w:r>
        <w:rPr>
          <w:rFonts w:ascii="Calibri" w:hAnsi="Calibri" w:cs="Calibri"/>
          <w:b/>
          <w:i w:val="0"/>
          <w:color w:val="0A4800"/>
          <w:sz w:val="22"/>
        </w:rPr>
        <w:t>Marché adressable total (TAM) à horizon 2030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A480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Segment</w:t>
            </w:r>
          </w:p>
        </w:tc>
        <w:tc>
          <w:tcPr>
            <w:tcW w:type="dxa" w:w="249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A480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Bornes potentielles</w:t>
            </w:r>
          </w:p>
        </w:tc>
        <w:tc>
          <w:tcPr>
            <w:tcW w:type="dxa" w:w="249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A480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Revenu annuel par borne</w:t>
            </w:r>
          </w:p>
        </w:tc>
        <w:tc>
          <w:tcPr>
            <w:tcW w:type="dxa" w:w="249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A480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TAM 2030</w:t>
            </w:r>
          </w:p>
        </w:tc>
      </w:tr>
      <w:tr>
        <w:tc>
          <w:tcPr>
            <w:tcW w:type="dxa" w:w="249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Voirie publique 22 communes</w:t>
            </w:r>
          </w:p>
        </w:tc>
        <w:tc>
          <w:tcPr>
            <w:tcW w:type="dxa" w:w="249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100 +</w:t>
            </w:r>
          </w:p>
        </w:tc>
        <w:tc>
          <w:tcPr>
            <w:tcW w:type="dxa" w:w="249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5 000 EUR</w:t>
            </w:r>
          </w:p>
        </w:tc>
        <w:tc>
          <w:tcPr>
            <w:tcW w:type="dxa" w:w="249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500 k€</w:t>
            </w:r>
          </w:p>
        </w:tc>
      </w:tr>
      <w:tr>
        <w:tc>
          <w:tcPr>
            <w:tcW w:type="dxa" w:w="249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LOA Entreprises (Guyane + Antilles)</w:t>
            </w:r>
          </w:p>
        </w:tc>
        <w:tc>
          <w:tcPr>
            <w:tcW w:type="dxa" w:w="249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500 +</w:t>
            </w:r>
          </w:p>
        </w:tc>
        <w:tc>
          <w:tcPr>
            <w:tcW w:type="dxa" w:w="249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2 500 EUR</w:t>
            </w:r>
          </w:p>
        </w:tc>
        <w:tc>
          <w:tcPr>
            <w:tcW w:type="dxa" w:w="249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1 250 k€</w:t>
            </w:r>
          </w:p>
        </w:tc>
      </w:tr>
      <w:tr>
        <w:tc>
          <w:tcPr>
            <w:tcW w:type="dxa" w:w="249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Sessions B2C</w:t>
            </w:r>
          </w:p>
        </w:tc>
        <w:tc>
          <w:tcPr>
            <w:tcW w:type="dxa" w:w="249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600 +</w:t>
            </w:r>
          </w:p>
        </w:tc>
        <w:tc>
          <w:tcPr>
            <w:tcW w:type="dxa" w:w="249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1 800 EUR</w:t>
            </w:r>
          </w:p>
        </w:tc>
        <w:tc>
          <w:tcPr>
            <w:tcW w:type="dxa" w:w="249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1 080 k€</w:t>
            </w:r>
          </w:p>
        </w:tc>
      </w:tr>
      <w:tr>
        <w:tc>
          <w:tcPr>
            <w:tcW w:type="dxa" w:w="249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0A4800"/>
                <w:sz w:val="19"/>
              </w:rPr>
              <w:t>TAM total Guyane</w:t>
            </w:r>
          </w:p>
        </w:tc>
        <w:tc>
          <w:tcPr>
            <w:tcW w:type="dxa" w:w="249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</w:p>
        </w:tc>
        <w:tc>
          <w:tcPr>
            <w:tcW w:type="dxa" w:w="249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</w:p>
        </w:tc>
        <w:tc>
          <w:tcPr>
            <w:tcW w:type="dxa" w:w="249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0A4800"/>
                <w:sz w:val="19"/>
              </w:rPr>
              <w:t>~ 2,8 M€/an</w:t>
            </w:r>
          </w:p>
        </w:tc>
      </w:tr>
      <w:tr>
        <w:tc>
          <w:tcPr>
            <w:tcW w:type="dxa" w:w="249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0A4800"/>
                <w:sz w:val="19"/>
              </w:rPr>
              <w:t>TAM Antilles + Guyane</w:t>
            </w:r>
          </w:p>
        </w:tc>
        <w:tc>
          <w:tcPr>
            <w:tcW w:type="dxa" w:w="249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</w:p>
        </w:tc>
        <w:tc>
          <w:tcPr>
            <w:tcW w:type="dxa" w:w="249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</w:p>
        </w:tc>
        <w:tc>
          <w:tcPr>
            <w:tcW w:type="dxa" w:w="249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0A4800"/>
                <w:sz w:val="19"/>
              </w:rPr>
              <w:t>~ 12 M€/an</w:t>
            </w:r>
          </w:p>
        </w:tc>
      </w:tr>
    </w:tbl>
    <w:p>
      <w:pPr>
        <w:spacing w:after="120" w:line="312" w:lineRule="auto"/>
      </w:pPr>
      <w:r>
        <w:rPr>
          <w:rFonts w:ascii="Calibri" w:hAnsi="Calibri" w:cs="Calibri"/>
          <w:b/>
          <w:i w:val="0"/>
          <w:color w:val="0A4800"/>
          <w:sz w:val="22"/>
        </w:rPr>
        <w:t>Marché serviceable (SAM) à horizon 2030 (focus Guyane) : ~ 2,8 M€/an</w:t>
      </w:r>
      <w:r>
        <w:rPr>
          <w:rFonts w:ascii="Calibri" w:hAnsi="Calibri" w:cs="Calibri"/>
          <w:b w:val="0"/>
          <w:i w:val="0"/>
          <w:color w:val="1A3A00"/>
          <w:sz w:val="22"/>
        </w:rPr>
        <w:br/>
      </w:r>
      <w:r>
        <w:rPr>
          <w:rFonts w:ascii="Calibri" w:hAnsi="Calibri" w:cs="Calibri"/>
          <w:b/>
          <w:i w:val="0"/>
          <w:color w:val="0A4800"/>
          <w:sz w:val="22"/>
        </w:rPr>
        <w:t>Marché serviceable obtenable (SOM) cible : ~ 1,7 M€/an d'ici 5 ans</w:t>
      </w:r>
    </w:p>
    <w:p>
      <w:pPr>
        <w:spacing w:before="200" w:after="80"/>
      </w:pPr>
      <w:r>
        <w:rPr>
          <w:rFonts w:ascii="Calibri" w:hAnsi="Calibri" w:cs="Calibri"/>
          <w:b/>
          <w:i w:val="0"/>
          <w:color w:val="0A4800"/>
          <w:sz w:val="24"/>
        </w:rPr>
        <w:t>Drivers de croissance</w:t>
      </w:r>
    </w:p>
    <w:p>
      <w:pPr>
        <w:pStyle w:val="ListBullet"/>
        <w:spacing w:after="40" w:line="288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 xml:space="preserve">Directive </w:t>
      </w:r>
      <w:r>
        <w:rPr>
          <w:rFonts w:ascii="Calibri" w:hAnsi="Calibri" w:cs="Calibri"/>
          <w:b/>
          <w:i w:val="0"/>
          <w:color w:val="0A4800"/>
          <w:sz w:val="22"/>
        </w:rPr>
        <w:t>AFIR 2024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(1 PDC/60 km) — obligation 2027</w:t>
      </w:r>
    </w:p>
    <w:p>
      <w:pPr>
        <w:pStyle w:val="ListBullet"/>
        <w:spacing w:after="40" w:line="288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 xml:space="preserve">Subvention </w:t>
      </w:r>
      <w:r>
        <w:rPr>
          <w:rFonts w:ascii="Calibri" w:hAnsi="Calibri" w:cs="Calibri"/>
          <w:b/>
          <w:i w:val="0"/>
          <w:color w:val="0A4800"/>
          <w:sz w:val="22"/>
        </w:rPr>
        <w:t>ADVENIR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outre-mer 75,2 %</w:t>
      </w:r>
    </w:p>
    <w:p>
      <w:pPr>
        <w:pStyle w:val="ListBullet"/>
        <w:spacing w:after="40" w:line="288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 xml:space="preserve">Avere-France </w:t>
      </w:r>
      <w:r>
        <w:rPr>
          <w:rFonts w:ascii="Calibri" w:hAnsi="Calibri" w:cs="Calibri"/>
          <w:b/>
          <w:i w:val="0"/>
          <w:color w:val="0A4800"/>
          <w:sz w:val="22"/>
        </w:rPr>
        <w:t>Plan Outre-mer 2026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: 2 000 PDC d'ici 2030</w:t>
      </w:r>
    </w:p>
    <w:p>
      <w:pPr>
        <w:pStyle w:val="ListBullet"/>
        <w:spacing w:after="40" w:line="288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 xml:space="preserve">Loi </w:t>
      </w:r>
      <w:r>
        <w:rPr>
          <w:rFonts w:ascii="Calibri" w:hAnsi="Calibri" w:cs="Calibri"/>
          <w:b/>
          <w:i w:val="0"/>
          <w:color w:val="0A4800"/>
          <w:sz w:val="22"/>
        </w:rPr>
        <w:t>LOM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: flottes professionnelles VE &gt; 50 % d'ici 2030</w:t>
      </w:r>
    </w:p>
    <w:p>
      <w:pPr>
        <w:pBdr>
          <w:bottom w:val="single" w:sz="8" w:space="1" w:color="33CC00"/>
        </w:pBdr>
      </w:pPr>
    </w:p>
    <w:p>
      <w:pPr>
        <w:spacing w:before="280" w:after="120"/>
        <w:pBdr>
          <w:bottom w:val="single" w:sz="12" w:space="1" w:color="33CC00"/>
        </w:pBdr>
      </w:pPr>
      <w:r>
        <w:rPr>
          <w:rFonts w:ascii="Calibri" w:hAnsi="Calibri" w:cs="Calibri"/>
          <w:b/>
          <w:i w:val="0"/>
          <w:color w:val="0A4800"/>
          <w:sz w:val="28"/>
        </w:rPr>
        <w:t>SLIDE 5 — Notre traction</w:t>
      </w:r>
    </w:p>
    <w:p>
      <w:pPr>
        <w:spacing w:before="200" w:after="80"/>
      </w:pPr>
      <w:r>
        <w:rPr>
          <w:rFonts w:ascii="Calibri" w:hAnsi="Calibri" w:cs="Calibri"/>
          <w:b/>
          <w:i w:val="0"/>
          <w:color w:val="0A4800"/>
          <w:sz w:val="24"/>
        </w:rPr>
        <w:t>Du concret en main, dès aujourd'hui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A480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Élément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A480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Statut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Subvention ADVENIR 37 200 EUR — 75,2 %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[OK] Confirmée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Devis E-TOTEM signé (DEV26000037)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[OK] 30/04/2026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Site web egreencitys.com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[OK] En ligne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Plaquette commerciale 13 pages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[OK] Diffusée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Dossier ADVENIR complet (10 pièces)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[OK] Prêt à déposer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8 lettres d'intention mairies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[OK] LRAR en cours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49 cibles entreprises B2B qualifiées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[OK] Base Excel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Note de cadrage 12 pages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[OK] Diffusée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Modèle de contrat LOA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[OK] Rédigé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Tableau 20 PDC + budget détaillé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[OK] Prêt</w:t>
            </w:r>
          </w:p>
        </w:tc>
      </w:tr>
    </w:tbl>
    <w:p>
      <w:pPr>
        <w:spacing w:before="120" w:after="120" w:line="312" w:lineRule="auto"/>
        <w:ind w:left="283"/>
        <w:pBdr>
          <w:left w:val="single" w:sz="24" w:space="8" w:color="2B4DB5"/>
        </w:pBdr>
        <w:shd w:val="clear" w:fill="F0F3FB"/>
      </w:pPr>
      <w:r>
        <w:rPr>
          <w:rFonts w:ascii="Calibri" w:hAnsi="Calibri" w:cs="Calibri"/>
          <w:b w:val="0"/>
          <w:i/>
          <w:color w:val="1A3A00"/>
          <w:sz w:val="20"/>
        </w:rPr>
        <w:t>6 mois de travail préparatoire — nous sommes en condition d'opérer dès closing du seed.</w:t>
      </w:r>
    </w:p>
    <w:p>
      <w:pPr>
        <w:pBdr>
          <w:bottom w:val="single" w:sz="8" w:space="1" w:color="33CC00"/>
        </w:pBdr>
      </w:pPr>
    </w:p>
    <w:p>
      <w:pPr>
        <w:spacing w:before="280" w:after="120"/>
        <w:pBdr>
          <w:bottom w:val="single" w:sz="12" w:space="1" w:color="33CC00"/>
        </w:pBdr>
      </w:pPr>
      <w:r>
        <w:rPr>
          <w:rFonts w:ascii="Calibri" w:hAnsi="Calibri" w:cs="Calibri"/>
          <w:b/>
          <w:i w:val="0"/>
          <w:color w:val="0A4800"/>
          <w:sz w:val="28"/>
        </w:rPr>
        <w:t>SLIDE 6 — Modèle économique</w:t>
      </w:r>
    </w:p>
    <w:p>
      <w:pPr>
        <w:spacing w:before="200" w:after="80"/>
      </w:pPr>
      <w:r>
        <w:rPr>
          <w:rFonts w:ascii="Calibri" w:hAnsi="Calibri" w:cs="Calibri"/>
          <w:b/>
          <w:i w:val="0"/>
          <w:color w:val="0A4800"/>
          <w:sz w:val="24"/>
        </w:rPr>
        <w:t>Comment nous gagnons de l'argent</w:t>
      </w:r>
    </w:p>
    <w:p>
      <w:pPr>
        <w:spacing w:after="120" w:line="312" w:lineRule="auto"/>
      </w:pPr>
      <w:r>
        <w:rPr>
          <w:rFonts w:ascii="Calibri" w:hAnsi="Calibri" w:cs="Calibri"/>
          <w:b/>
          <w:i w:val="0"/>
          <w:color w:val="0A4800"/>
          <w:sz w:val="22"/>
        </w:rPr>
        <w:t>Revenu par borne / an (en régime stable An 3-5)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A480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Source</w:t>
            </w:r>
          </w:p>
        </w:tc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A480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Voirie publique (B2G)</w:t>
            </w:r>
          </w:p>
        </w:tc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A480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LOA Entreprises (B2B)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Sessions de recharge</w:t>
            </w:r>
          </w:p>
        </w:tc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4 500 EUR/an</w:t>
            </w:r>
          </w:p>
        </w:tc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1 800 EUR/an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Loyer LOA (B2B uniquement)</w:t>
            </w:r>
          </w:p>
        </w:tc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n.a.</w:t>
            </w:r>
          </w:p>
        </w:tc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1 668 EUR/an (89 EUR x 12 x 1 PDC) à 4 056 EUR (169 EUR x 12 x 2 PDC)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Sponsoring / publicité écran</w:t>
            </w:r>
          </w:p>
        </w:tc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600 EUR/an</w:t>
            </w:r>
          </w:p>
        </w:tc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400 EUR/an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Reporting clients</w:t>
            </w:r>
          </w:p>
        </w:tc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n.a.</w:t>
            </w:r>
          </w:p>
        </w:tc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200 EUR/an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0A4800"/>
                <w:sz w:val="19"/>
              </w:rPr>
              <w:t>Revenu brut annuel/borne</w:t>
            </w:r>
          </w:p>
        </w:tc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0A4800"/>
                <w:sz w:val="19"/>
              </w:rPr>
              <w:t>5 100 EUR</w:t>
            </w:r>
          </w:p>
        </w:tc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0A4800"/>
                <w:sz w:val="19"/>
              </w:rPr>
              <w:t>2 500 à 6 200 EUR</w:t>
            </w:r>
          </w:p>
        </w:tc>
      </w:tr>
    </w:tbl>
    <w:p>
      <w:pPr>
        <w:spacing w:after="120" w:line="312" w:lineRule="auto"/>
      </w:pPr>
      <w:r>
        <w:rPr>
          <w:rFonts w:ascii="Calibri" w:hAnsi="Calibri" w:cs="Calibri"/>
          <w:b/>
          <w:i w:val="0"/>
          <w:color w:val="0A4800"/>
          <w:sz w:val="22"/>
        </w:rPr>
        <w:t>Coûts par borne / an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A480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Poste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A480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Coût annuel/borne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Énergie consommée (rachat EDF SEI)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1 200 EUR (B2G)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Maintenance / supervision GIREVE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350 EUR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Assurance, télécoms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100 EUR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Amortissement matériel (5 ans)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990 EUR (HT/5)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0A4800"/>
                <w:sz w:val="19"/>
              </w:rPr>
              <w:t>Coût annuel/borne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0A4800"/>
                <w:sz w:val="19"/>
              </w:rPr>
              <w:t>2 640 EUR</w:t>
            </w:r>
          </w:p>
        </w:tc>
      </w:tr>
    </w:tbl>
    <w:p>
      <w:pPr>
        <w:spacing w:before="120" w:after="120" w:line="312" w:lineRule="auto"/>
        <w:ind w:left="283"/>
        <w:pBdr>
          <w:left w:val="single" w:sz="24" w:space="8" w:color="2B4DB5"/>
        </w:pBdr>
        <w:shd w:val="clear" w:fill="F0F3FB"/>
      </w:pPr>
      <w:r>
        <w:rPr>
          <w:rFonts w:ascii="Calibri" w:hAnsi="Calibri" w:cs="Calibri"/>
          <w:b w:val="0"/>
          <w:i/>
          <w:color w:val="1A3A00"/>
          <w:sz w:val="20"/>
        </w:rPr>
        <w:t>Marge nette par borne en régime stable : 35 à 50 %.</w:t>
      </w:r>
    </w:p>
    <w:p>
      <w:pPr>
        <w:pBdr>
          <w:bottom w:val="single" w:sz="8" w:space="1" w:color="33CC00"/>
        </w:pBdr>
      </w:pPr>
    </w:p>
    <w:p>
      <w:pPr>
        <w:spacing w:before="280" w:after="120"/>
        <w:pBdr>
          <w:bottom w:val="single" w:sz="12" w:space="1" w:color="33CC00"/>
        </w:pBdr>
      </w:pPr>
      <w:r>
        <w:rPr>
          <w:rFonts w:ascii="Calibri" w:hAnsi="Calibri" w:cs="Calibri"/>
          <w:b/>
          <w:i w:val="0"/>
          <w:color w:val="0A4800"/>
          <w:sz w:val="28"/>
        </w:rPr>
        <w:t>SLIDE 7 — Avantage concurrentiel</w:t>
      </w:r>
    </w:p>
    <w:p>
      <w:pPr>
        <w:spacing w:before="200" w:after="80"/>
      </w:pPr>
      <w:r>
        <w:rPr>
          <w:rFonts w:ascii="Calibri" w:hAnsi="Calibri" w:cs="Calibri"/>
          <w:b/>
          <w:i w:val="0"/>
          <w:color w:val="0A4800"/>
          <w:sz w:val="24"/>
        </w:rPr>
        <w:t>Pourquoi EGREENCITY'S et pas un autre ?</w:t>
      </w:r>
    </w:p>
    <w:p>
      <w:pPr>
        <w:spacing w:after="120" w:line="312" w:lineRule="auto"/>
      </w:pPr>
      <w:r>
        <w:rPr>
          <w:rFonts w:ascii="Calibri" w:hAnsi="Calibri" w:cs="Calibri"/>
          <w:b/>
          <w:i w:val="0"/>
          <w:color w:val="0A4800"/>
          <w:sz w:val="22"/>
        </w:rPr>
        <w:t>Premier arrivé sur un marché vierge</w:t>
      </w:r>
      <w:r>
        <w:rPr>
          <w:rFonts w:ascii="Calibri" w:hAnsi="Calibri" w:cs="Calibri"/>
          <w:b w:val="0"/>
          <w:i w:val="0"/>
          <w:color w:val="1A3A00"/>
          <w:sz w:val="22"/>
        </w:rPr>
        <w:br/>
        <w:t>Aucun opérateur structuré local. Engie Vianeo, TotalEnergies, Allego = absents en Guyane.</w:t>
      </w:r>
    </w:p>
    <w:p>
      <w:pPr>
        <w:spacing w:after="120" w:line="312" w:lineRule="auto"/>
      </w:pPr>
      <w:r>
        <w:rPr>
          <w:rFonts w:ascii="Calibri" w:hAnsi="Calibri" w:cs="Calibri"/>
          <w:b/>
          <w:i w:val="0"/>
          <w:color w:val="0A4800"/>
          <w:sz w:val="22"/>
        </w:rPr>
        <w:t>Connaissance fine du terrain</w:t>
      </w:r>
      <w:r>
        <w:rPr>
          <w:rFonts w:ascii="Calibri" w:hAnsi="Calibri" w:cs="Calibri"/>
          <w:b w:val="0"/>
          <w:i w:val="0"/>
          <w:color w:val="1A3A00"/>
          <w:sz w:val="22"/>
        </w:rPr>
        <w:br/>
        <w:t>Frères LUDOSKY nés et résidents en Guyane. Carnets d'adresses politique, économique, technique locaux.</w:t>
      </w:r>
    </w:p>
    <w:p>
      <w:pPr>
        <w:spacing w:after="120" w:line="312" w:lineRule="auto"/>
      </w:pPr>
      <w:r>
        <w:rPr>
          <w:rFonts w:ascii="Calibri" w:hAnsi="Calibri" w:cs="Calibri"/>
          <w:b/>
          <w:i w:val="0"/>
          <w:color w:val="0A4800"/>
          <w:sz w:val="22"/>
        </w:rPr>
        <w:t>Subventions sécurisées</w:t>
      </w:r>
      <w:r>
        <w:rPr>
          <w:rFonts w:ascii="Calibri" w:hAnsi="Calibri" w:cs="Calibri"/>
          <w:b w:val="0"/>
          <w:i w:val="0"/>
          <w:color w:val="1A3A00"/>
          <w:sz w:val="22"/>
        </w:rPr>
        <w:br/>
        <w:t>75,2 % de couverture ADVENIR = 100 % d'avantage prix vs un concurrent qui arriverait sans.</w:t>
      </w:r>
    </w:p>
    <w:p>
      <w:pPr>
        <w:spacing w:after="120" w:line="312" w:lineRule="auto"/>
      </w:pPr>
      <w:r>
        <w:rPr>
          <w:rFonts w:ascii="Calibri" w:hAnsi="Calibri" w:cs="Calibri"/>
          <w:b/>
          <w:i w:val="0"/>
          <w:color w:val="0A4800"/>
          <w:sz w:val="22"/>
        </w:rPr>
        <w:t>Choix matériel optimisé</w:t>
      </w:r>
      <w:r>
        <w:rPr>
          <w:rFonts w:ascii="Calibri" w:hAnsi="Calibri" w:cs="Calibri"/>
          <w:b w:val="0"/>
          <w:i w:val="0"/>
          <w:color w:val="1A3A00"/>
          <w:sz w:val="22"/>
        </w:rPr>
        <w:br/>
        <w:t xml:space="preserve">Borne </w:t>
      </w:r>
      <w:r>
        <w:rPr>
          <w:rFonts w:ascii="Calibri" w:hAnsi="Calibri" w:cs="Calibri"/>
          <w:b/>
          <w:i w:val="0"/>
          <w:color w:val="0A4800"/>
          <w:sz w:val="22"/>
        </w:rPr>
        <w:t>e-Premium AC 2x22 kW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E-TOTEM — fabrication française, peinture milieu humide tropicale, certification CE — meilleur rapport qualité/prix/SAV pour les DROM.</w:t>
      </w:r>
    </w:p>
    <w:p>
      <w:pPr>
        <w:spacing w:after="120" w:line="312" w:lineRule="auto"/>
      </w:pPr>
      <w:r>
        <w:rPr>
          <w:rFonts w:ascii="Calibri" w:hAnsi="Calibri" w:cs="Calibri"/>
          <w:b/>
          <w:i w:val="0"/>
          <w:color w:val="0A4800"/>
          <w:sz w:val="22"/>
        </w:rPr>
        <w:t>Interopérabilité maximale</w:t>
      </w:r>
      <w:r>
        <w:rPr>
          <w:rFonts w:ascii="Calibri" w:hAnsi="Calibri" w:cs="Calibri"/>
          <w:b w:val="0"/>
          <w:i w:val="0"/>
          <w:color w:val="1A3A00"/>
          <w:sz w:val="22"/>
        </w:rPr>
        <w:br/>
        <w:t xml:space="preserve">Connexion </w:t>
      </w:r>
      <w:r>
        <w:rPr>
          <w:rFonts w:ascii="Calibri" w:hAnsi="Calibri" w:cs="Calibri"/>
          <w:b/>
          <w:i w:val="0"/>
          <w:color w:val="0A4800"/>
          <w:sz w:val="22"/>
        </w:rPr>
        <w:t>GIREVE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(visible sur Chargemap, PlugShare, Waze, app constructeurs VE), badge RFID universel, compatibilité OCPP 1.6J.</w:t>
      </w:r>
    </w:p>
    <w:p>
      <w:pPr>
        <w:spacing w:after="120" w:line="312" w:lineRule="auto"/>
      </w:pPr>
      <w:r>
        <w:rPr>
          <w:rFonts w:ascii="Calibri" w:hAnsi="Calibri" w:cs="Calibri"/>
          <w:b/>
          <w:i w:val="0"/>
          <w:color w:val="0A4800"/>
          <w:sz w:val="22"/>
        </w:rPr>
        <w:t>Modèle financier diversifié</w:t>
      </w:r>
      <w:r>
        <w:rPr>
          <w:rFonts w:ascii="Calibri" w:hAnsi="Calibri" w:cs="Calibri"/>
          <w:b w:val="0"/>
          <w:i w:val="0"/>
          <w:color w:val="1A3A00"/>
          <w:sz w:val="22"/>
        </w:rPr>
        <w:br/>
        <w:t>3 piliers de revenus (B2G + B2B + B2C) protègent contre la concentration du risque.</w:t>
      </w:r>
    </w:p>
    <w:p>
      <w:pPr>
        <w:pBdr>
          <w:bottom w:val="single" w:sz="8" w:space="1" w:color="33CC00"/>
        </w:pBdr>
      </w:pPr>
    </w:p>
    <w:p>
      <w:pPr>
        <w:spacing w:before="280" w:after="120"/>
        <w:pBdr>
          <w:bottom w:val="single" w:sz="12" w:space="1" w:color="33CC00"/>
        </w:pBdr>
      </w:pPr>
      <w:r>
        <w:rPr>
          <w:rFonts w:ascii="Calibri" w:hAnsi="Calibri" w:cs="Calibri"/>
          <w:b/>
          <w:i w:val="0"/>
          <w:color w:val="0A4800"/>
          <w:sz w:val="28"/>
        </w:rPr>
        <w:t>SLIDE 8 — Concurrence</w:t>
      </w:r>
    </w:p>
    <w:p>
      <w:pPr>
        <w:spacing w:before="200" w:after="80"/>
      </w:pPr>
      <w:r>
        <w:rPr>
          <w:rFonts w:ascii="Calibri" w:hAnsi="Calibri" w:cs="Calibri"/>
          <w:b/>
          <w:i w:val="0"/>
          <w:color w:val="0A4800"/>
          <w:sz w:val="24"/>
        </w:rPr>
        <w:t>Cartographie concurrentielle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A480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Opérateur</w:t>
            </w:r>
          </w:p>
        </w:tc>
        <w:tc>
          <w:tcPr>
            <w:tcW w:type="dxa" w:w="249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A480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Présence Guyane</w:t>
            </w:r>
          </w:p>
        </w:tc>
        <w:tc>
          <w:tcPr>
            <w:tcW w:type="dxa" w:w="249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A480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Force</w:t>
            </w:r>
          </w:p>
        </w:tc>
        <w:tc>
          <w:tcPr>
            <w:tcW w:type="dxa" w:w="249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A480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Faiblesse</w:t>
            </w:r>
          </w:p>
        </w:tc>
      </w:tr>
      <w:tr>
        <w:tc>
          <w:tcPr>
            <w:tcW w:type="dxa" w:w="249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0A4800"/>
                <w:sz w:val="19"/>
              </w:rPr>
              <w:t>EGREENCITY'S</w:t>
            </w:r>
          </w:p>
        </w:tc>
        <w:tc>
          <w:tcPr>
            <w:tcW w:type="dxa" w:w="249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0A4800"/>
                <w:sz w:val="19"/>
              </w:rPr>
              <w:t>Oui — exclusif</w:t>
            </w:r>
          </w:p>
        </w:tc>
        <w:tc>
          <w:tcPr>
            <w:tcW w:type="dxa" w:w="249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0A4800"/>
                <w:sz w:val="19"/>
              </w:rPr>
              <w:t>Local, ADVENIR sécurisé</w:t>
            </w:r>
          </w:p>
        </w:tc>
        <w:tc>
          <w:tcPr>
            <w:tcW w:type="dxa" w:w="249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Jeune entreprise</w:t>
            </w:r>
          </w:p>
        </w:tc>
      </w:tr>
      <w:tr>
        <w:tc>
          <w:tcPr>
            <w:tcW w:type="dxa" w:w="249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Engie Vianeo</w:t>
            </w:r>
          </w:p>
        </w:tc>
        <w:tc>
          <w:tcPr>
            <w:tcW w:type="dxa" w:w="249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Non (métropole + Antilles partielles)</w:t>
            </w:r>
          </w:p>
        </w:tc>
        <w:tc>
          <w:tcPr>
            <w:tcW w:type="dxa" w:w="249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Marque, capital</w:t>
            </w:r>
          </w:p>
        </w:tc>
        <w:tc>
          <w:tcPr>
            <w:tcW w:type="dxa" w:w="249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Coûts d'entrée élevés</w:t>
            </w:r>
          </w:p>
        </w:tc>
      </w:tr>
      <w:tr>
        <w:tc>
          <w:tcPr>
            <w:tcW w:type="dxa" w:w="249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TotalEnergies Charging</w:t>
            </w:r>
          </w:p>
        </w:tc>
        <w:tc>
          <w:tcPr>
            <w:tcW w:type="dxa" w:w="249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Non en Guyane</w:t>
            </w:r>
          </w:p>
        </w:tc>
        <w:tc>
          <w:tcPr>
            <w:tcW w:type="dxa" w:w="249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Stations-service partout</w:t>
            </w:r>
          </w:p>
        </w:tc>
        <w:tc>
          <w:tcPr>
            <w:tcW w:type="dxa" w:w="249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Pas adapté au flux local</w:t>
            </w:r>
          </w:p>
        </w:tc>
      </w:tr>
      <w:tr>
        <w:tc>
          <w:tcPr>
            <w:tcW w:type="dxa" w:w="249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Allego</w:t>
            </w:r>
          </w:p>
        </w:tc>
        <w:tc>
          <w:tcPr>
            <w:tcW w:type="dxa" w:w="249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Non</w:t>
            </w:r>
          </w:p>
        </w:tc>
        <w:tc>
          <w:tcPr>
            <w:tcW w:type="dxa" w:w="249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Réseau européen</w:t>
            </w:r>
          </w:p>
        </w:tc>
        <w:tc>
          <w:tcPr>
            <w:tcW w:type="dxa" w:w="249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Pas d'ancrage outre-mer</w:t>
            </w:r>
          </w:p>
        </w:tc>
      </w:tr>
      <w:tr>
        <w:tc>
          <w:tcPr>
            <w:tcW w:type="dxa" w:w="249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ChargeGuru (B2B uniquement)</w:t>
            </w:r>
          </w:p>
        </w:tc>
        <w:tc>
          <w:tcPr>
            <w:tcW w:type="dxa" w:w="249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Non</w:t>
            </w:r>
          </w:p>
        </w:tc>
        <w:tc>
          <w:tcPr>
            <w:tcW w:type="dxa" w:w="249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Spécialiste B2B</w:t>
            </w:r>
          </w:p>
        </w:tc>
        <w:tc>
          <w:tcPr>
            <w:tcW w:type="dxa" w:w="249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Sans présence locale</w:t>
            </w:r>
          </w:p>
        </w:tc>
      </w:tr>
      <w:tr>
        <w:tc>
          <w:tcPr>
            <w:tcW w:type="dxa" w:w="249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Acteur local indépendant</w:t>
            </w:r>
          </w:p>
        </w:tc>
        <w:tc>
          <w:tcPr>
            <w:tcW w:type="dxa" w:w="249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Bricolage 1-2 bornes</w:t>
            </w:r>
          </w:p>
        </w:tc>
        <w:tc>
          <w:tcPr>
            <w:tcW w:type="dxa" w:w="249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Connaît le terrain</w:t>
            </w:r>
          </w:p>
        </w:tc>
        <w:tc>
          <w:tcPr>
            <w:tcW w:type="dxa" w:w="249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Pas de structuration</w:t>
            </w:r>
          </w:p>
        </w:tc>
      </w:tr>
    </w:tbl>
    <w:p>
      <w:pPr>
        <w:spacing w:before="200" w:after="80"/>
      </w:pPr>
      <w:r>
        <w:rPr>
          <w:rFonts w:ascii="Calibri" w:hAnsi="Calibri" w:cs="Calibri"/>
          <w:b/>
          <w:i w:val="0"/>
          <w:color w:val="0A4800"/>
          <w:sz w:val="24"/>
        </w:rPr>
        <w:t>Barrière à l'entrée que nous bâtissons</w:t>
      </w:r>
    </w:p>
    <w:p>
      <w:pPr>
        <w:pStyle w:val="ListNumber"/>
        <w:spacing w:after="40" w:line="288" w:lineRule="auto"/>
      </w:pPr>
      <w:r>
        <w:rPr>
          <w:rFonts w:ascii="Calibri" w:hAnsi="Calibri" w:cs="Calibri"/>
          <w:b/>
          <w:i w:val="0"/>
          <w:color w:val="0A4800"/>
          <w:sz w:val="22"/>
        </w:rPr>
        <w:t>Convention occupation domaine public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signée avec 8 communes = exclusivité géographique de fait</w:t>
      </w:r>
    </w:p>
    <w:p>
      <w:pPr>
        <w:pStyle w:val="ListNumber"/>
        <w:spacing w:after="40" w:line="288" w:lineRule="auto"/>
      </w:pPr>
      <w:r>
        <w:rPr>
          <w:rFonts w:ascii="Calibri" w:hAnsi="Calibri" w:cs="Calibri"/>
          <w:b/>
          <w:i w:val="0"/>
          <w:color w:val="0A4800"/>
          <w:sz w:val="22"/>
        </w:rPr>
        <w:t>Maillage exhaustif littoral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= pas de place pour un 2e opérateur sur les mêmes sites</w:t>
      </w:r>
    </w:p>
    <w:p>
      <w:pPr>
        <w:pStyle w:val="ListNumber"/>
        <w:spacing w:after="40" w:line="288" w:lineRule="auto"/>
      </w:pPr>
      <w:r>
        <w:rPr>
          <w:rFonts w:ascii="Calibri" w:hAnsi="Calibri" w:cs="Calibri"/>
          <w:b/>
          <w:i w:val="0"/>
          <w:color w:val="0A4800"/>
          <w:sz w:val="22"/>
        </w:rPr>
        <w:t>Réputation locale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ancrée</w:t>
      </w:r>
    </w:p>
    <w:p>
      <w:pPr>
        <w:pStyle w:val="ListNumber"/>
        <w:spacing w:after="40" w:line="288" w:lineRule="auto"/>
      </w:pPr>
      <w:r>
        <w:rPr>
          <w:rFonts w:ascii="Calibri" w:hAnsi="Calibri" w:cs="Calibri"/>
          <w:b/>
          <w:i w:val="0"/>
          <w:color w:val="0A4800"/>
          <w:sz w:val="22"/>
        </w:rPr>
        <w:t>Coût d'opportunité ADVENIR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: un concurrent qui voudrait entrer doit financer 100 % vs nos 25 %</w:t>
      </w:r>
    </w:p>
    <w:p>
      <w:pPr>
        <w:pBdr>
          <w:bottom w:val="single" w:sz="8" w:space="1" w:color="33CC00"/>
        </w:pBdr>
      </w:pPr>
    </w:p>
    <w:p>
      <w:pPr>
        <w:spacing w:before="280" w:after="120"/>
        <w:pBdr>
          <w:bottom w:val="single" w:sz="12" w:space="1" w:color="33CC00"/>
        </w:pBdr>
      </w:pPr>
      <w:r>
        <w:rPr>
          <w:rFonts w:ascii="Calibri" w:hAnsi="Calibri" w:cs="Calibri"/>
          <w:b/>
          <w:i w:val="0"/>
          <w:color w:val="0A4800"/>
          <w:sz w:val="28"/>
        </w:rPr>
        <w:t>SLIDE 9 — Équipe</w:t>
      </w:r>
    </w:p>
    <w:p>
      <w:pPr>
        <w:spacing w:before="200" w:after="80"/>
      </w:pPr>
      <w:r>
        <w:rPr>
          <w:rFonts w:ascii="Calibri" w:hAnsi="Calibri" w:cs="Calibri"/>
          <w:b/>
          <w:i w:val="0"/>
          <w:color w:val="0A4800"/>
          <w:sz w:val="24"/>
        </w:rPr>
        <w:t>Une équipe fondatrice ancrée localement</w:t>
      </w:r>
    </w:p>
    <w:p>
      <w:pPr>
        <w:spacing w:after="120" w:line="312" w:lineRule="auto"/>
      </w:pPr>
      <w:r>
        <w:rPr>
          <w:rFonts w:ascii="Calibri" w:hAnsi="Calibri" w:cs="Calibri"/>
          <w:b/>
          <w:i w:val="0"/>
          <w:color w:val="0A4800"/>
          <w:sz w:val="22"/>
        </w:rPr>
        <w:t>Loïc Yves LUDOSKY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— Président Fondateur (Né en Guyane)</w:t>
        <w:br/>
        <w:t>- Entrepreneur, vision stratégique, relations institutionnelles</w:t>
        <w:br/>
        <w:t>- Pilote la stratégie commerciale et la levée de fonds</w:t>
        <w:br/>
        <w:t>- Représentation auprès des mairies et de la Collectivité Territoriale de Guyane</w:t>
      </w:r>
    </w:p>
    <w:p>
      <w:pPr>
        <w:spacing w:after="120" w:line="312" w:lineRule="auto"/>
      </w:pPr>
      <w:r>
        <w:rPr>
          <w:rFonts w:ascii="Calibri" w:hAnsi="Calibri" w:cs="Calibri"/>
          <w:b/>
          <w:i w:val="0"/>
          <w:color w:val="0A4800"/>
          <w:sz w:val="22"/>
        </w:rPr>
        <w:t>Patrice Claude LUDOSKY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— Directeur Général</w:t>
        <w:br/>
        <w:t>- Opérationnel, terrain, suivi technique</w:t>
        <w:br/>
        <w:t>- Pilote les déploiements, la maintenance, les relations fournisseurs</w:t>
        <w:br/>
        <w:t>- Présent au quotidien sur les sites guyanais</w:t>
      </w:r>
    </w:p>
    <w:p>
      <w:pPr>
        <w:spacing w:before="200" w:after="80"/>
      </w:pPr>
      <w:r>
        <w:rPr>
          <w:rFonts w:ascii="Calibri" w:hAnsi="Calibri" w:cs="Calibri"/>
          <w:b/>
          <w:i w:val="0"/>
          <w:color w:val="0A4800"/>
          <w:sz w:val="24"/>
        </w:rPr>
        <w:t>Équipe à recruter (post-closing seed)</w:t>
      </w:r>
    </w:p>
    <w:p>
      <w:pPr>
        <w:pStyle w:val="ListBullet"/>
        <w:spacing w:after="40" w:line="288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>1 Responsable commercial Guyane (fixe + variable)</w:t>
      </w:r>
    </w:p>
    <w:p>
      <w:pPr>
        <w:pStyle w:val="ListBullet"/>
        <w:spacing w:after="40" w:line="288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>1 Chef de projet déploiement (IRVE Qualifelec)</w:t>
      </w:r>
    </w:p>
    <w:p>
      <w:pPr>
        <w:pStyle w:val="ListBullet"/>
        <w:spacing w:after="40" w:line="288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>5 Techniciens IRVE Qualifelec (en CDI Guyane — création d'emplois locaux)</w:t>
      </w:r>
    </w:p>
    <w:p>
      <w:pPr>
        <w:pStyle w:val="ListBullet"/>
        <w:spacing w:after="40" w:line="288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>1 Responsable administratif et financier (mi-temps mutualisé)</w:t>
      </w:r>
    </w:p>
    <w:p>
      <w:pPr>
        <w:pStyle w:val="ListBullet"/>
        <w:spacing w:after="40" w:line="288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>1 Développeur backend / supervision (en sous-traitance France métropolitaine)</w:t>
      </w:r>
    </w:p>
    <w:p>
      <w:pPr>
        <w:spacing w:before="200" w:after="80"/>
      </w:pPr>
      <w:r>
        <w:rPr>
          <w:rFonts w:ascii="Calibri" w:hAnsi="Calibri" w:cs="Calibri"/>
          <w:b/>
          <w:i w:val="0"/>
          <w:color w:val="0A4800"/>
          <w:sz w:val="24"/>
        </w:rPr>
        <w:t>Conseil et advisors</w:t>
      </w:r>
    </w:p>
    <w:p>
      <w:pPr>
        <w:pStyle w:val="ListBullet"/>
        <w:spacing w:after="40" w:line="288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>E-TOTEM (fabricant) — référent technique borne</w:t>
      </w:r>
    </w:p>
    <w:p>
      <w:pPr>
        <w:pStyle w:val="ListBullet"/>
        <w:spacing w:after="40" w:line="288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>AVERE-France — référent réglementaire</w:t>
      </w:r>
    </w:p>
    <w:p>
      <w:pPr>
        <w:pStyle w:val="ListBullet"/>
        <w:spacing w:after="40" w:line="288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>BPI Guyane — référent financement</w:t>
      </w:r>
    </w:p>
    <w:p>
      <w:pPr>
        <w:pStyle w:val="ListBullet"/>
        <w:spacing w:after="40" w:line="288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>Cabinet juridique local pour les contrats domaine public</w:t>
      </w:r>
    </w:p>
    <w:p>
      <w:pPr>
        <w:pBdr>
          <w:bottom w:val="single" w:sz="8" w:space="1" w:color="33CC00"/>
        </w:pBdr>
      </w:pPr>
    </w:p>
    <w:p>
      <w:pPr>
        <w:spacing w:before="280" w:after="120"/>
        <w:pBdr>
          <w:bottom w:val="single" w:sz="12" w:space="1" w:color="33CC00"/>
        </w:pBdr>
      </w:pPr>
      <w:r>
        <w:rPr>
          <w:rFonts w:ascii="Calibri" w:hAnsi="Calibri" w:cs="Calibri"/>
          <w:b/>
          <w:i w:val="0"/>
          <w:color w:val="0A4800"/>
          <w:sz w:val="28"/>
        </w:rPr>
        <w:t>SLIDE 10 — Plan financier 5 ans</w:t>
      </w:r>
    </w:p>
    <w:p>
      <w:pPr>
        <w:spacing w:before="200" w:after="80"/>
      </w:pPr>
      <w:r>
        <w:rPr>
          <w:rFonts w:ascii="Calibri" w:hAnsi="Calibri" w:cs="Calibri"/>
          <w:b/>
          <w:i w:val="0"/>
          <w:color w:val="0A4800"/>
          <w:sz w:val="24"/>
        </w:rPr>
        <w:t>Plan SIMPLE : 20 PDC initial + 10 PDC/an = 60 PDC à fin An 5</w:t>
      </w:r>
    </w:p>
    <w:p>
      <w:pPr>
        <w:spacing w:after="120" w:line="312" w:lineRule="auto"/>
      </w:pPr>
      <w:r>
        <w:rPr>
          <w:rFonts w:ascii="Calibri" w:hAnsi="Calibri" w:cs="Calibri"/>
          <w:b/>
          <w:i w:val="0"/>
          <w:color w:val="0A4800"/>
          <w:sz w:val="22"/>
        </w:rPr>
        <w:t>Hypothèses (scénario médian)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A480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Indicateur</w:t>
            </w:r>
          </w:p>
        </w:tc>
        <w:tc>
          <w:tcPr>
            <w:tcW w:type="dxa" w:w="1662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A480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An 1 (2026)</w:t>
            </w:r>
          </w:p>
        </w:tc>
        <w:tc>
          <w:tcPr>
            <w:tcW w:type="dxa" w:w="1662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A480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An 2 (2027)</w:t>
            </w:r>
          </w:p>
        </w:tc>
        <w:tc>
          <w:tcPr>
            <w:tcW w:type="dxa" w:w="1662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A480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An 3 (2028)</w:t>
            </w:r>
          </w:p>
        </w:tc>
        <w:tc>
          <w:tcPr>
            <w:tcW w:type="dxa" w:w="1662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A480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An 4 (2029)</w:t>
            </w:r>
          </w:p>
        </w:tc>
        <w:tc>
          <w:tcPr>
            <w:tcW w:type="dxa" w:w="1662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A480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An 5 (2030)</w:t>
            </w:r>
          </w:p>
        </w:tc>
      </w:tr>
      <w:tr>
        <w:tc>
          <w:tcPr>
            <w:tcW w:type="dxa" w:w="1662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PDC publics (cumul)</w:t>
            </w:r>
          </w:p>
        </w:tc>
        <w:tc>
          <w:tcPr>
            <w:tcW w:type="dxa" w:w="1662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20</w:t>
            </w:r>
          </w:p>
        </w:tc>
        <w:tc>
          <w:tcPr>
            <w:tcW w:type="dxa" w:w="1662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20</w:t>
            </w:r>
          </w:p>
        </w:tc>
        <w:tc>
          <w:tcPr>
            <w:tcW w:type="dxa" w:w="1662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20</w:t>
            </w:r>
          </w:p>
        </w:tc>
        <w:tc>
          <w:tcPr>
            <w:tcW w:type="dxa" w:w="1662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20</w:t>
            </w:r>
          </w:p>
        </w:tc>
        <w:tc>
          <w:tcPr>
            <w:tcW w:type="dxa" w:w="1662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20</w:t>
            </w:r>
          </w:p>
        </w:tc>
      </w:tr>
      <w:tr>
        <w:tc>
          <w:tcPr>
            <w:tcW w:type="dxa" w:w="1662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PDC LOA (cumul)</w:t>
            </w:r>
          </w:p>
        </w:tc>
        <w:tc>
          <w:tcPr>
            <w:tcW w:type="dxa" w:w="1662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0</w:t>
            </w:r>
          </w:p>
        </w:tc>
        <w:tc>
          <w:tcPr>
            <w:tcW w:type="dxa" w:w="1662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10</w:t>
            </w:r>
          </w:p>
        </w:tc>
        <w:tc>
          <w:tcPr>
            <w:tcW w:type="dxa" w:w="1662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20</w:t>
            </w:r>
          </w:p>
        </w:tc>
        <w:tc>
          <w:tcPr>
            <w:tcW w:type="dxa" w:w="1662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26</w:t>
            </w:r>
          </w:p>
        </w:tc>
        <w:tc>
          <w:tcPr>
            <w:tcW w:type="dxa" w:w="1662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32</w:t>
            </w:r>
          </w:p>
        </w:tc>
      </w:tr>
      <w:tr>
        <w:tc>
          <w:tcPr>
            <w:tcW w:type="dxa" w:w="1662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PDC DC fast (cumul)</w:t>
            </w:r>
          </w:p>
        </w:tc>
        <w:tc>
          <w:tcPr>
            <w:tcW w:type="dxa" w:w="1662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0</w:t>
            </w:r>
          </w:p>
        </w:tc>
        <w:tc>
          <w:tcPr>
            <w:tcW w:type="dxa" w:w="1662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0</w:t>
            </w:r>
          </w:p>
        </w:tc>
        <w:tc>
          <w:tcPr>
            <w:tcW w:type="dxa" w:w="1662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0</w:t>
            </w:r>
          </w:p>
        </w:tc>
        <w:tc>
          <w:tcPr>
            <w:tcW w:type="dxa" w:w="1662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4</w:t>
            </w:r>
          </w:p>
        </w:tc>
        <w:tc>
          <w:tcPr>
            <w:tcW w:type="dxa" w:w="1662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8</w:t>
            </w:r>
          </w:p>
        </w:tc>
      </w:tr>
      <w:tr>
        <w:tc>
          <w:tcPr>
            <w:tcW w:type="dxa" w:w="1662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0A4800"/>
                <w:sz w:val="19"/>
              </w:rPr>
              <w:t>Total PDC</w:t>
            </w:r>
          </w:p>
        </w:tc>
        <w:tc>
          <w:tcPr>
            <w:tcW w:type="dxa" w:w="1662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0A4800"/>
                <w:sz w:val="19"/>
              </w:rPr>
              <w:t>20</w:t>
            </w:r>
          </w:p>
        </w:tc>
        <w:tc>
          <w:tcPr>
            <w:tcW w:type="dxa" w:w="1662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0A4800"/>
                <w:sz w:val="19"/>
              </w:rPr>
              <w:t>30</w:t>
            </w:r>
          </w:p>
        </w:tc>
        <w:tc>
          <w:tcPr>
            <w:tcW w:type="dxa" w:w="1662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0A4800"/>
                <w:sz w:val="19"/>
              </w:rPr>
              <w:t>40</w:t>
            </w:r>
          </w:p>
        </w:tc>
        <w:tc>
          <w:tcPr>
            <w:tcW w:type="dxa" w:w="1662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0A4800"/>
                <w:sz w:val="19"/>
              </w:rPr>
              <w:t>50</w:t>
            </w:r>
          </w:p>
        </w:tc>
        <w:tc>
          <w:tcPr>
            <w:tcW w:type="dxa" w:w="1662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0A4800"/>
                <w:sz w:val="19"/>
              </w:rPr>
              <w:t>60</w:t>
            </w:r>
          </w:p>
        </w:tc>
      </w:tr>
      <w:tr>
        <w:tc>
          <w:tcPr>
            <w:tcW w:type="dxa" w:w="1662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Sessions de recharge / an</w:t>
            </w:r>
          </w:p>
        </w:tc>
        <w:tc>
          <w:tcPr>
            <w:tcW w:type="dxa" w:w="1662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2 000</w:t>
            </w:r>
          </w:p>
        </w:tc>
        <w:tc>
          <w:tcPr>
            <w:tcW w:type="dxa" w:w="1662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5 600</w:t>
            </w:r>
          </w:p>
        </w:tc>
        <w:tc>
          <w:tcPr>
            <w:tcW w:type="dxa" w:w="1662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13 000</w:t>
            </w:r>
          </w:p>
        </w:tc>
        <w:tc>
          <w:tcPr>
            <w:tcW w:type="dxa" w:w="1662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23 000</w:t>
            </w:r>
          </w:p>
        </w:tc>
        <w:tc>
          <w:tcPr>
            <w:tcW w:type="dxa" w:w="1662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37 000</w:t>
            </w:r>
          </w:p>
        </w:tc>
      </w:tr>
      <w:tr>
        <w:tc>
          <w:tcPr>
            <w:tcW w:type="dxa" w:w="1662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0A4800"/>
                <w:sz w:val="19"/>
              </w:rPr>
              <w:t>Revenu total</w:t>
            </w:r>
          </w:p>
        </w:tc>
        <w:tc>
          <w:tcPr>
            <w:tcW w:type="dxa" w:w="1662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0A4800"/>
                <w:sz w:val="19"/>
              </w:rPr>
              <w:t>35 k€</w:t>
            </w:r>
          </w:p>
        </w:tc>
        <w:tc>
          <w:tcPr>
            <w:tcW w:type="dxa" w:w="1662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0A4800"/>
                <w:sz w:val="19"/>
              </w:rPr>
              <w:t>85 k€</w:t>
            </w:r>
          </w:p>
        </w:tc>
        <w:tc>
          <w:tcPr>
            <w:tcW w:type="dxa" w:w="1662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0A4800"/>
                <w:sz w:val="19"/>
              </w:rPr>
              <w:t>170 k€</w:t>
            </w:r>
          </w:p>
        </w:tc>
        <w:tc>
          <w:tcPr>
            <w:tcW w:type="dxa" w:w="1662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0A4800"/>
                <w:sz w:val="19"/>
              </w:rPr>
              <w:t>290 k€</w:t>
            </w:r>
          </w:p>
        </w:tc>
        <w:tc>
          <w:tcPr>
            <w:tcW w:type="dxa" w:w="1662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0A4800"/>
                <w:sz w:val="19"/>
              </w:rPr>
              <w:t>430 k€</w:t>
            </w:r>
          </w:p>
        </w:tc>
      </w:tr>
      <w:tr>
        <w:tc>
          <w:tcPr>
            <w:tcW w:type="dxa" w:w="1662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Coûts opérationnels</w:t>
            </w:r>
          </w:p>
        </w:tc>
        <w:tc>
          <w:tcPr>
            <w:tcW w:type="dxa" w:w="1662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220 k€</w:t>
            </w:r>
          </w:p>
        </w:tc>
        <w:tc>
          <w:tcPr>
            <w:tcW w:type="dxa" w:w="1662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240 k€</w:t>
            </w:r>
          </w:p>
        </w:tc>
        <w:tc>
          <w:tcPr>
            <w:tcW w:type="dxa" w:w="1662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270 k€</w:t>
            </w:r>
          </w:p>
        </w:tc>
        <w:tc>
          <w:tcPr>
            <w:tcW w:type="dxa" w:w="1662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310 k€</w:t>
            </w:r>
          </w:p>
        </w:tc>
        <w:tc>
          <w:tcPr>
            <w:tcW w:type="dxa" w:w="1662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340 k€</w:t>
            </w:r>
          </w:p>
        </w:tc>
      </w:tr>
      <w:tr>
        <w:tc>
          <w:tcPr>
            <w:tcW w:type="dxa" w:w="1662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0A4800"/>
                <w:sz w:val="19"/>
              </w:rPr>
              <w:t>EBITDA</w:t>
            </w:r>
          </w:p>
        </w:tc>
        <w:tc>
          <w:tcPr>
            <w:tcW w:type="dxa" w:w="1662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0A4800"/>
                <w:sz w:val="19"/>
              </w:rPr>
              <w:t>-185 k€</w:t>
            </w:r>
          </w:p>
        </w:tc>
        <w:tc>
          <w:tcPr>
            <w:tcW w:type="dxa" w:w="1662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0A4800"/>
                <w:sz w:val="19"/>
              </w:rPr>
              <w:t>-155 k€</w:t>
            </w:r>
          </w:p>
        </w:tc>
        <w:tc>
          <w:tcPr>
            <w:tcW w:type="dxa" w:w="1662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0A4800"/>
                <w:sz w:val="19"/>
              </w:rPr>
              <w:t>-100 k€</w:t>
            </w:r>
          </w:p>
        </w:tc>
        <w:tc>
          <w:tcPr>
            <w:tcW w:type="dxa" w:w="1662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0A4800"/>
                <w:sz w:val="19"/>
              </w:rPr>
              <w:t>-20 k€</w:t>
            </w:r>
          </w:p>
        </w:tc>
        <w:tc>
          <w:tcPr>
            <w:tcW w:type="dxa" w:w="1662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0A4800"/>
                <w:sz w:val="19"/>
              </w:rPr>
              <w:t>90 k€</w:t>
            </w:r>
          </w:p>
        </w:tc>
      </w:tr>
      <w:tr>
        <w:tc>
          <w:tcPr>
            <w:tcW w:type="dxa" w:w="1662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Marge EBITDA</w:t>
            </w:r>
          </w:p>
        </w:tc>
        <w:tc>
          <w:tcPr>
            <w:tcW w:type="dxa" w:w="1662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n.s.</w:t>
            </w:r>
          </w:p>
        </w:tc>
        <w:tc>
          <w:tcPr>
            <w:tcW w:type="dxa" w:w="1662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n.s.</w:t>
            </w:r>
          </w:p>
        </w:tc>
        <w:tc>
          <w:tcPr>
            <w:tcW w:type="dxa" w:w="1662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n.s.</w:t>
            </w:r>
          </w:p>
        </w:tc>
        <w:tc>
          <w:tcPr>
            <w:tcW w:type="dxa" w:w="1662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proche équilibre</w:t>
            </w:r>
          </w:p>
        </w:tc>
        <w:tc>
          <w:tcPr>
            <w:tcW w:type="dxa" w:w="1662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21 %</w:t>
            </w:r>
          </w:p>
        </w:tc>
      </w:tr>
      <w:tr>
        <w:tc>
          <w:tcPr>
            <w:tcW w:type="dxa" w:w="1662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Cash position fin d'année</w:t>
            </w:r>
          </w:p>
        </w:tc>
        <w:tc>
          <w:tcPr>
            <w:tcW w:type="dxa" w:w="1662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165 k€</w:t>
            </w:r>
          </w:p>
        </w:tc>
        <w:tc>
          <w:tcPr>
            <w:tcW w:type="dxa" w:w="1662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50 k€</w:t>
            </w:r>
          </w:p>
        </w:tc>
        <w:tc>
          <w:tcPr>
            <w:tcW w:type="dxa" w:w="1662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15 k€</w:t>
            </w:r>
          </w:p>
        </w:tc>
        <w:tc>
          <w:tcPr>
            <w:tcW w:type="dxa" w:w="1662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80 k€</w:t>
            </w:r>
          </w:p>
        </w:tc>
        <w:tc>
          <w:tcPr>
            <w:tcW w:type="dxa" w:w="1662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170 k€</w:t>
            </w:r>
          </w:p>
        </w:tc>
      </w:tr>
    </w:tbl>
    <w:p>
      <w:pPr>
        <w:spacing w:before="120" w:after="120" w:line="312" w:lineRule="auto"/>
        <w:ind w:left="283"/>
        <w:pBdr>
          <w:left w:val="single" w:sz="24" w:space="8" w:color="2B4DB5"/>
        </w:pBdr>
        <w:shd w:val="clear" w:fill="F0F3FB"/>
      </w:pPr>
      <w:r>
        <w:rPr>
          <w:rFonts w:ascii="Calibri" w:hAnsi="Calibri" w:cs="Calibri"/>
          <w:b w:val="0"/>
          <w:i/>
          <w:color w:val="1A3A00"/>
          <w:sz w:val="20"/>
        </w:rPr>
        <w:t>EBITDA positif An 5 — Croissance régulière, plan réalisable. Croissance autofinancée par le cash flow + Série A optionnelle (200 k€) en An 3.</w:t>
      </w:r>
    </w:p>
    <w:p>
      <w:pPr>
        <w:spacing w:before="200" w:after="80"/>
      </w:pPr>
      <w:r>
        <w:rPr>
          <w:rFonts w:ascii="Calibri" w:hAnsi="Calibri" w:cs="Calibri"/>
          <w:b/>
          <w:i w:val="0"/>
          <w:color w:val="0A4800"/>
          <w:sz w:val="24"/>
        </w:rPr>
        <w:t>3 scénarios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A480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Scénario</w:t>
            </w:r>
          </w:p>
        </w:tc>
        <w:tc>
          <w:tcPr>
            <w:tcW w:type="dxa" w:w="249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A480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Hypothèse</w:t>
            </w:r>
          </w:p>
        </w:tc>
        <w:tc>
          <w:tcPr>
            <w:tcW w:type="dxa" w:w="249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A480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EBITDA An 5</w:t>
            </w:r>
          </w:p>
        </w:tc>
        <w:tc>
          <w:tcPr>
            <w:tcW w:type="dxa" w:w="249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A480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TIR investisseur 7 ans</w:t>
            </w:r>
          </w:p>
        </w:tc>
      </w:tr>
      <w:tr>
        <w:tc>
          <w:tcPr>
            <w:tcW w:type="dxa" w:w="249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Pessimiste</w:t>
            </w:r>
          </w:p>
        </w:tc>
        <w:tc>
          <w:tcPr>
            <w:tcW w:type="dxa" w:w="249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Adoption VE -30 %, pas de DC fast</w:t>
            </w:r>
          </w:p>
        </w:tc>
        <w:tc>
          <w:tcPr>
            <w:tcW w:type="dxa" w:w="249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-75 k€</w:t>
            </w:r>
          </w:p>
        </w:tc>
        <w:tc>
          <w:tcPr>
            <w:tcW w:type="dxa" w:w="249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0-2 %</w:t>
            </w:r>
          </w:p>
        </w:tc>
      </w:tr>
      <w:tr>
        <w:tc>
          <w:tcPr>
            <w:tcW w:type="dxa" w:w="249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0A4800"/>
                <w:sz w:val="19"/>
              </w:rPr>
              <w:t>Médian</w:t>
            </w:r>
          </w:p>
        </w:tc>
        <w:tc>
          <w:tcPr>
            <w:tcW w:type="dxa" w:w="249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0A4800"/>
                <w:sz w:val="19"/>
              </w:rPr>
              <w:t>Plan simple : 60 PDC, 4 stations DC fast</w:t>
            </w:r>
          </w:p>
        </w:tc>
        <w:tc>
          <w:tcPr>
            <w:tcW w:type="dxa" w:w="249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0A4800"/>
                <w:sz w:val="19"/>
              </w:rPr>
              <w:t>90 k€</w:t>
            </w:r>
          </w:p>
        </w:tc>
        <w:tc>
          <w:tcPr>
            <w:tcW w:type="dxa" w:w="249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0A4800"/>
                <w:sz w:val="19"/>
              </w:rPr>
              <w:t>8-12 %</w:t>
            </w:r>
          </w:p>
        </w:tc>
      </w:tr>
      <w:tr>
        <w:tc>
          <w:tcPr>
            <w:tcW w:type="dxa" w:w="249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Optimiste</w:t>
            </w:r>
          </w:p>
        </w:tc>
        <w:tc>
          <w:tcPr>
            <w:tcW w:type="dxa" w:w="249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Phase 2 Antilles + partenariat industriel</w:t>
            </w:r>
          </w:p>
        </w:tc>
        <w:tc>
          <w:tcPr>
            <w:tcW w:type="dxa" w:w="249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240 k€</w:t>
            </w:r>
          </w:p>
        </w:tc>
        <w:tc>
          <w:tcPr>
            <w:tcW w:type="dxa" w:w="249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22-28 %</w:t>
            </w:r>
          </w:p>
        </w:tc>
      </w:tr>
    </w:tbl>
    <w:p>
      <w:pPr>
        <w:pBdr>
          <w:bottom w:val="single" w:sz="8" w:space="1" w:color="33CC00"/>
        </w:pBdr>
      </w:pPr>
    </w:p>
    <w:p>
      <w:pPr>
        <w:spacing w:before="280" w:after="120"/>
        <w:pBdr>
          <w:bottom w:val="single" w:sz="12" w:space="1" w:color="33CC00"/>
        </w:pBdr>
      </w:pPr>
      <w:r>
        <w:rPr>
          <w:rFonts w:ascii="Calibri" w:hAnsi="Calibri" w:cs="Calibri"/>
          <w:b/>
          <w:i w:val="0"/>
          <w:color w:val="0A4800"/>
          <w:sz w:val="28"/>
        </w:rPr>
        <w:t>SLIDE 11 — Demande d'investissement</w:t>
      </w:r>
    </w:p>
    <w:p>
      <w:pPr>
        <w:spacing w:before="200" w:after="80"/>
      </w:pPr>
      <w:r>
        <w:rPr>
          <w:rFonts w:ascii="Calibri" w:hAnsi="Calibri" w:cs="Calibri"/>
          <w:b/>
          <w:i w:val="0"/>
          <w:color w:val="0A4800"/>
          <w:sz w:val="24"/>
        </w:rPr>
        <w:t>300 000 EUR pour démarrer un projet simple et réalisable</w:t>
      </w:r>
    </w:p>
    <w:p>
      <w:pPr>
        <w:spacing w:after="120" w:line="312" w:lineRule="auto"/>
      </w:pPr>
      <w:r>
        <w:rPr>
          <w:rFonts w:ascii="Calibri" w:hAnsi="Calibri" w:cs="Calibri"/>
          <w:b/>
          <w:i w:val="0"/>
          <w:color w:val="0A4800"/>
          <w:sz w:val="22"/>
        </w:rPr>
        <w:t>Structure proposée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A480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Paramètre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A480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Valeur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Montant levé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300 000 EUR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Valorisation pré-money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700 000 EUR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Valorisation post-money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1 000 000 EUR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Dilution fondateurs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~ 30 %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Type de titres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Actions ordinaires + BSA salariés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Pacte d'actionnaires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Standard SAS — droit de préférence, drag-along, tag-along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Gouvernance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Comité stratégique trimestriel + 1 siège observateur investisseur lead</w:t>
            </w:r>
          </w:p>
        </w:tc>
      </w:tr>
    </w:tbl>
    <w:p>
      <w:pPr>
        <w:spacing w:after="120" w:line="312" w:lineRule="auto"/>
      </w:pPr>
      <w:r>
        <w:rPr>
          <w:rFonts w:ascii="Calibri" w:hAnsi="Calibri" w:cs="Calibri"/>
          <w:b/>
          <w:i w:val="0"/>
          <w:color w:val="0A4800"/>
          <w:sz w:val="22"/>
        </w:rPr>
        <w:t>Utilisation des fonds (300 000 EUR)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A480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Poste</w:t>
            </w:r>
          </w:p>
        </w:tc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A480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Montant</w:t>
            </w:r>
          </w:p>
        </w:tc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A480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%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CAPEX bornes initial (10 bornes = 20 PDC publics ADVENIR)</w:t>
            </w:r>
          </w:p>
        </w:tc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99 000 EUR</w:t>
            </w:r>
          </w:p>
        </w:tc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33 %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Travaux génie civil et raccordement EDF SEI</w:t>
            </w:r>
          </w:p>
        </w:tc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65 000 EUR</w:t>
            </w:r>
          </w:p>
        </w:tc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22 %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Recrutement (4 ETP partiels An 1)</w:t>
            </w:r>
          </w:p>
        </w:tc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75 000 EUR</w:t>
            </w:r>
          </w:p>
        </w:tc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25 %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Marketing &amp; développement commercial</w:t>
            </w:r>
          </w:p>
        </w:tc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25 000 EUR</w:t>
            </w:r>
          </w:p>
        </w:tc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8 %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R&amp;D / app mobile (version simple)</w:t>
            </w:r>
          </w:p>
        </w:tc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15 000 EUR</w:t>
            </w:r>
          </w:p>
        </w:tc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5 %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Fonds de roulement</w:t>
            </w:r>
          </w:p>
        </w:tc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12 000 EUR</w:t>
            </w:r>
          </w:p>
        </w:tc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4 %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Frais juridiques, conseil, structuration</w:t>
            </w:r>
          </w:p>
        </w:tc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9 000 EUR</w:t>
            </w:r>
          </w:p>
        </w:tc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3 %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0A4800"/>
                <w:sz w:val="19"/>
              </w:rPr>
              <w:t>TOTAL</w:t>
            </w:r>
          </w:p>
        </w:tc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0A4800"/>
                <w:sz w:val="19"/>
              </w:rPr>
              <w:t>300 000 EUR</w:t>
            </w:r>
          </w:p>
        </w:tc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0A4800"/>
                <w:sz w:val="19"/>
              </w:rPr>
              <w:t>100 %</w:t>
            </w:r>
          </w:p>
        </w:tc>
      </w:tr>
    </w:tbl>
    <w:p>
      <w:pPr>
        <w:spacing w:before="120" w:after="120" w:line="312" w:lineRule="auto"/>
        <w:ind w:left="283"/>
        <w:pBdr>
          <w:left w:val="single" w:sz="24" w:space="8" w:color="2B4DB5"/>
        </w:pBdr>
        <w:shd w:val="clear" w:fill="F0F3FB"/>
      </w:pPr>
      <w:r>
        <w:rPr>
          <w:rFonts w:ascii="Calibri" w:hAnsi="Calibri" w:cs="Calibri"/>
          <w:b w:val="0"/>
          <w:i/>
          <w:color w:val="1A3A00"/>
          <w:sz w:val="20"/>
        </w:rPr>
        <w:t>Le Seed couvre les 10 bornes initiales (20 PDC publics ADVENIR) + 12 mois de runway.</w:t>
        <w:br/>
        <w:t>La subvention ADVENIR (37 200 EUR) abonde la trésorerie en cours d'année 1.</w:t>
        <w:br/>
        <w:t>Les +10 PDC/an sur les années 2 à 5 sont autofinancés par le cash flow + Série A optionnelle (200 k€ en An 3).</w:t>
      </w:r>
    </w:p>
    <w:p>
      <w:pPr>
        <w:pBdr>
          <w:bottom w:val="single" w:sz="8" w:space="1" w:color="33CC00"/>
        </w:pBdr>
      </w:pPr>
    </w:p>
    <w:p>
      <w:pPr>
        <w:spacing w:before="280" w:after="120"/>
        <w:pBdr>
          <w:bottom w:val="single" w:sz="12" w:space="1" w:color="33CC00"/>
        </w:pBdr>
      </w:pPr>
      <w:r>
        <w:rPr>
          <w:rFonts w:ascii="Calibri" w:hAnsi="Calibri" w:cs="Calibri"/>
          <w:b/>
          <w:i w:val="0"/>
          <w:color w:val="0A4800"/>
          <w:sz w:val="28"/>
        </w:rPr>
        <w:t>SLIDE 12 — Sortie</w:t>
      </w:r>
    </w:p>
    <w:p>
      <w:pPr>
        <w:spacing w:before="200" w:after="80"/>
      </w:pPr>
      <w:r>
        <w:rPr>
          <w:rFonts w:ascii="Calibri" w:hAnsi="Calibri" w:cs="Calibri"/>
          <w:b/>
          <w:i w:val="0"/>
          <w:color w:val="0A4800"/>
          <w:sz w:val="24"/>
        </w:rPr>
        <w:t>3 trajectoires de sortie crédibles à 5-7 ans</w:t>
      </w:r>
    </w:p>
    <w:p>
      <w:pPr>
        <w:spacing w:after="120" w:line="312" w:lineRule="auto"/>
      </w:pPr>
      <w:r>
        <w:rPr>
          <w:rFonts w:ascii="Calibri" w:hAnsi="Calibri" w:cs="Calibri"/>
          <w:b/>
          <w:i w:val="0"/>
          <w:color w:val="0A4800"/>
          <w:sz w:val="22"/>
        </w:rPr>
        <w:t>Option A — Cession industrielle (probabilité élevée)</w:t>
      </w:r>
      <w:r>
        <w:rPr>
          <w:rFonts w:ascii="Calibri" w:hAnsi="Calibri" w:cs="Calibri"/>
          <w:b w:val="0"/>
          <w:i w:val="0"/>
          <w:color w:val="1A3A00"/>
          <w:sz w:val="22"/>
        </w:rPr>
        <w:br/>
        <w:t>Acheteur potentiel : Engie Vianeo, TotalEnergies Charging, Allego France, ChargeGuru, Bouygues Energies</w:t>
        <w:br/>
        <w:t xml:space="preserve">Prix indicatif : 5 à 7 x EBITDA An 5 = </w:t>
      </w:r>
      <w:r>
        <w:rPr>
          <w:rFonts w:ascii="Calibri" w:hAnsi="Calibri" w:cs="Calibri"/>
          <w:b/>
          <w:i w:val="0"/>
          <w:color w:val="0A4800"/>
          <w:sz w:val="22"/>
        </w:rPr>
        <w:t>4,5 à 6,3 M€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soit </w:t>
      </w:r>
      <w:r>
        <w:rPr>
          <w:rFonts w:ascii="Calibri" w:hAnsi="Calibri" w:cs="Calibri"/>
          <w:b/>
          <w:i w:val="0"/>
          <w:color w:val="0A4800"/>
          <w:sz w:val="22"/>
        </w:rPr>
        <w:t>multiple x4 à x6 sur valuation seed</w:t>
      </w:r>
    </w:p>
    <w:p>
      <w:pPr>
        <w:spacing w:after="120" w:line="312" w:lineRule="auto"/>
      </w:pPr>
      <w:r>
        <w:rPr>
          <w:rFonts w:ascii="Calibri" w:hAnsi="Calibri" w:cs="Calibri"/>
          <w:b/>
          <w:i w:val="0"/>
          <w:color w:val="0A4800"/>
          <w:sz w:val="22"/>
        </w:rPr>
        <w:t>Option B — Cession à un fonds infrastructure</w:t>
      </w:r>
      <w:r>
        <w:rPr>
          <w:rFonts w:ascii="Calibri" w:hAnsi="Calibri" w:cs="Calibri"/>
          <w:b w:val="0"/>
          <w:i w:val="0"/>
          <w:color w:val="1A3A00"/>
          <w:sz w:val="22"/>
        </w:rPr>
        <w:br/>
        <w:t>Acheteur potentiel : Demeter, Mirova Energy Transition, RIVE Private Investment</w:t>
        <w:br/>
        <w:t xml:space="preserve">Prix indicatif : 6 à 8 x EBITDA An 5 = </w:t>
      </w:r>
      <w:r>
        <w:rPr>
          <w:rFonts w:ascii="Calibri" w:hAnsi="Calibri" w:cs="Calibri"/>
          <w:b/>
          <w:i w:val="0"/>
          <w:color w:val="0A4800"/>
          <w:sz w:val="22"/>
        </w:rPr>
        <w:t>5,4 à 7,2 M€</w:t>
      </w:r>
    </w:p>
    <w:p>
      <w:pPr>
        <w:spacing w:after="120" w:line="312" w:lineRule="auto"/>
      </w:pPr>
      <w:r>
        <w:rPr>
          <w:rFonts w:ascii="Calibri" w:hAnsi="Calibri" w:cs="Calibri"/>
          <w:b/>
          <w:i w:val="0"/>
          <w:color w:val="0A4800"/>
          <w:sz w:val="22"/>
        </w:rPr>
        <w:t>Option C — IPO Euronext Growth Paris (horizon 7-10 ans)</w:t>
      </w:r>
      <w:r>
        <w:rPr>
          <w:rFonts w:ascii="Calibri" w:hAnsi="Calibri" w:cs="Calibri"/>
          <w:b w:val="0"/>
          <w:i w:val="0"/>
          <w:color w:val="1A3A00"/>
          <w:sz w:val="22"/>
        </w:rPr>
        <w:br/>
        <w:t>Conditions : EBITDA &gt; 2 M€, croissance &gt; 30 %, équipe étoffée</w:t>
        <w:br/>
        <w:t>Probabilité : conditionnée à expansion Antilles + Caraïbe française</w:t>
      </w:r>
    </w:p>
    <w:p>
      <w:pPr>
        <w:spacing w:before="200" w:after="80"/>
      </w:pPr>
      <w:r>
        <w:rPr>
          <w:rFonts w:ascii="Calibri" w:hAnsi="Calibri" w:cs="Calibri"/>
          <w:b/>
          <w:i w:val="0"/>
          <w:color w:val="0A4800"/>
          <w:sz w:val="24"/>
        </w:rPr>
        <w:t>Scénario de sortie médian (plan simple : 60 PDC An 5)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A480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Année de sortie</w:t>
            </w:r>
          </w:p>
        </w:tc>
        <w:tc>
          <w:tcPr>
            <w:tcW w:type="dxa" w:w="199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A480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Type</w:t>
            </w:r>
          </w:p>
        </w:tc>
        <w:tc>
          <w:tcPr>
            <w:tcW w:type="dxa" w:w="199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A480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EBITDA réf</w:t>
            </w:r>
          </w:p>
        </w:tc>
        <w:tc>
          <w:tcPr>
            <w:tcW w:type="dxa" w:w="199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A480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Prix</w:t>
            </w:r>
          </w:p>
        </w:tc>
        <w:tc>
          <w:tcPr>
            <w:tcW w:type="dxa" w:w="199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A480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Multiple investisseur</w:t>
            </w:r>
          </w:p>
        </w:tc>
      </w:tr>
      <w:tr>
        <w:tc>
          <w:tcPr>
            <w:tcW w:type="dxa" w:w="199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An 7 (2032)</w:t>
            </w:r>
          </w:p>
        </w:tc>
        <w:tc>
          <w:tcPr>
            <w:tcW w:type="dxa" w:w="199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Cession industrielle (x8)</w:t>
            </w:r>
          </w:p>
        </w:tc>
        <w:tc>
          <w:tcPr>
            <w:tcW w:type="dxa" w:w="199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200 k€</w:t>
            </w:r>
          </w:p>
        </w:tc>
        <w:tc>
          <w:tcPr>
            <w:tcW w:type="dxa" w:w="199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1,6 M€</w:t>
            </w:r>
          </w:p>
        </w:tc>
        <w:tc>
          <w:tcPr>
            <w:tcW w:type="dxa" w:w="199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x1,6</w:t>
            </w:r>
          </w:p>
        </w:tc>
      </w:tr>
      <w:tr>
        <w:tc>
          <w:tcPr>
            <w:tcW w:type="dxa" w:w="199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An 7 (2032)</w:t>
            </w:r>
          </w:p>
        </w:tc>
        <w:tc>
          <w:tcPr>
            <w:tcW w:type="dxa" w:w="199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Cession à un fonds (x8)</w:t>
            </w:r>
          </w:p>
        </w:tc>
        <w:tc>
          <w:tcPr>
            <w:tcW w:type="dxa" w:w="199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250 k€</w:t>
            </w:r>
          </w:p>
        </w:tc>
        <w:tc>
          <w:tcPr>
            <w:tcW w:type="dxa" w:w="199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2,0 M€</w:t>
            </w:r>
          </w:p>
        </w:tc>
        <w:tc>
          <w:tcPr>
            <w:tcW w:type="dxa" w:w="199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x2,0</w:t>
            </w:r>
          </w:p>
        </w:tc>
      </w:tr>
      <w:tr>
        <w:tc>
          <w:tcPr>
            <w:tcW w:type="dxa" w:w="199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An 8 (2033)</w:t>
            </w:r>
          </w:p>
        </w:tc>
        <w:tc>
          <w:tcPr>
            <w:tcW w:type="dxa" w:w="199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Cession industrielle (x8)</w:t>
            </w:r>
          </w:p>
        </w:tc>
        <w:tc>
          <w:tcPr>
            <w:tcW w:type="dxa" w:w="199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350 k€</w:t>
            </w:r>
          </w:p>
        </w:tc>
        <w:tc>
          <w:tcPr>
            <w:tcW w:type="dxa" w:w="199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2,8 M€</w:t>
            </w:r>
          </w:p>
        </w:tc>
        <w:tc>
          <w:tcPr>
            <w:tcW w:type="dxa" w:w="199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x2,8</w:t>
            </w:r>
          </w:p>
        </w:tc>
      </w:tr>
      <w:tr>
        <w:tc>
          <w:tcPr>
            <w:tcW w:type="dxa" w:w="199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An 8 (2033)</w:t>
            </w:r>
          </w:p>
        </w:tc>
        <w:tc>
          <w:tcPr>
            <w:tcW w:type="dxa" w:w="199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Fonds infrastructure (x10)</w:t>
            </w:r>
          </w:p>
        </w:tc>
        <w:tc>
          <w:tcPr>
            <w:tcW w:type="dxa" w:w="199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400 k€</w:t>
            </w:r>
          </w:p>
        </w:tc>
        <w:tc>
          <w:tcPr>
            <w:tcW w:type="dxa" w:w="199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4,0 M€</w:t>
            </w:r>
          </w:p>
        </w:tc>
        <w:tc>
          <w:tcPr>
            <w:tcW w:type="dxa" w:w="199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x4,0</w:t>
            </w:r>
          </w:p>
        </w:tc>
      </w:tr>
    </w:tbl>
    <w:p>
      <w:pPr>
        <w:spacing w:after="120" w:line="312" w:lineRule="auto"/>
      </w:pPr>
      <w:r>
        <w:rPr>
          <w:rFonts w:ascii="Calibri" w:hAnsi="Calibri" w:cs="Calibri"/>
          <w:b/>
          <w:i w:val="0"/>
          <w:color w:val="0A4800"/>
          <w:sz w:val="22"/>
        </w:rPr>
        <w:t>TIR investisseur médian sur 7 ans : 8-12 % — sur 8 ans : 12-16 %</w:t>
      </w:r>
    </w:p>
    <w:p>
      <w:pPr>
        <w:spacing w:before="120" w:after="120" w:line="312" w:lineRule="auto"/>
        <w:ind w:left="283"/>
        <w:pBdr>
          <w:left w:val="single" w:sz="24" w:space="8" w:color="2B4DB5"/>
        </w:pBdr>
        <w:shd w:val="clear" w:fill="F0F3FB"/>
      </w:pPr>
      <w:r>
        <w:rPr>
          <w:rFonts w:ascii="Calibri" w:hAnsi="Calibri" w:cs="Calibri"/>
          <w:b w:val="0"/>
          <w:i/>
          <w:color w:val="1A3A00"/>
          <w:sz w:val="20"/>
        </w:rPr>
        <w:t>Sortie envisagée à 7-8 ans pour ce plan simple et mesuré, le temps que les PDC LOA et DC fast atteignent leur régime de croisière. Le scénario optimiste (Antilles + partenariat) peut porter la sortie à x4-x5 sur 7 ans.</w:t>
      </w:r>
    </w:p>
    <w:p>
      <w:pPr>
        <w:pBdr>
          <w:bottom w:val="single" w:sz="8" w:space="1" w:color="33CC00"/>
        </w:pBdr>
      </w:pPr>
    </w:p>
    <w:p>
      <w:pPr>
        <w:spacing w:before="280" w:after="120"/>
        <w:pBdr>
          <w:bottom w:val="single" w:sz="12" w:space="1" w:color="33CC00"/>
        </w:pBdr>
      </w:pPr>
      <w:r>
        <w:rPr>
          <w:rFonts w:ascii="Calibri" w:hAnsi="Calibri" w:cs="Calibri"/>
          <w:b/>
          <w:i w:val="0"/>
          <w:color w:val="0A4800"/>
          <w:sz w:val="28"/>
        </w:rPr>
        <w:t>SLIDE 13 — Risques et mitigation</w:t>
      </w:r>
    </w:p>
    <w:p>
      <w:pPr>
        <w:spacing w:before="200" w:after="80"/>
      </w:pPr>
      <w:r>
        <w:rPr>
          <w:rFonts w:ascii="Calibri" w:hAnsi="Calibri" w:cs="Calibri"/>
          <w:b/>
          <w:i w:val="0"/>
          <w:color w:val="0A4800"/>
          <w:sz w:val="24"/>
        </w:rPr>
        <w:t>Cartographie des risques principaux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A480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Risque</w:t>
            </w:r>
          </w:p>
        </w:tc>
        <w:tc>
          <w:tcPr>
            <w:tcW w:type="dxa" w:w="249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A480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Probabilité</w:t>
            </w:r>
          </w:p>
        </w:tc>
        <w:tc>
          <w:tcPr>
            <w:tcW w:type="dxa" w:w="249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A480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Impact</w:t>
            </w:r>
          </w:p>
        </w:tc>
        <w:tc>
          <w:tcPr>
            <w:tcW w:type="dxa" w:w="249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A480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Mitigation</w:t>
            </w:r>
          </w:p>
        </w:tc>
      </w:tr>
      <w:tr>
        <w:tc>
          <w:tcPr>
            <w:tcW w:type="dxa" w:w="249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Retard programme ADVENIR</w:t>
            </w:r>
          </w:p>
        </w:tc>
        <w:tc>
          <w:tcPr>
            <w:tcW w:type="dxa" w:w="249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Moyenne</w:t>
            </w:r>
          </w:p>
        </w:tc>
        <w:tc>
          <w:tcPr>
            <w:tcW w:type="dxa" w:w="249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Élevé</w:t>
            </w:r>
          </w:p>
        </w:tc>
        <w:tc>
          <w:tcPr>
            <w:tcW w:type="dxa" w:w="249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Fonds de roulement 80 k€ + relations BPI</w:t>
            </w:r>
          </w:p>
        </w:tc>
      </w:tr>
      <w:tr>
        <w:tc>
          <w:tcPr>
            <w:tcW w:type="dxa" w:w="249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Concurrence d'un acteur national</w:t>
            </w:r>
          </w:p>
        </w:tc>
        <w:tc>
          <w:tcPr>
            <w:tcW w:type="dxa" w:w="249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Faible</w:t>
            </w:r>
          </w:p>
        </w:tc>
        <w:tc>
          <w:tcPr>
            <w:tcW w:type="dxa" w:w="249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Élevé</w:t>
            </w:r>
          </w:p>
        </w:tc>
        <w:tc>
          <w:tcPr>
            <w:tcW w:type="dxa" w:w="249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Conventions exclusivité communes, premier arrivé</w:t>
            </w:r>
          </w:p>
        </w:tc>
      </w:tr>
      <w:tr>
        <w:tc>
          <w:tcPr>
            <w:tcW w:type="dxa" w:w="249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Panne fournisseur E-TOTEM</w:t>
            </w:r>
          </w:p>
        </w:tc>
        <w:tc>
          <w:tcPr>
            <w:tcW w:type="dxa" w:w="249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Faible</w:t>
            </w:r>
          </w:p>
        </w:tc>
        <w:tc>
          <w:tcPr>
            <w:tcW w:type="dxa" w:w="249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Moyen</w:t>
            </w:r>
          </w:p>
        </w:tc>
        <w:tc>
          <w:tcPr>
            <w:tcW w:type="dxa" w:w="249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Convention SAV 5 ans, stocks tampon, plan B fournisseur</w:t>
            </w:r>
          </w:p>
        </w:tc>
      </w:tr>
      <w:tr>
        <w:tc>
          <w:tcPr>
            <w:tcW w:type="dxa" w:w="249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Inflation prix électricité</w:t>
            </w:r>
          </w:p>
        </w:tc>
        <w:tc>
          <w:tcPr>
            <w:tcW w:type="dxa" w:w="249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Moyenne</w:t>
            </w:r>
          </w:p>
        </w:tc>
        <w:tc>
          <w:tcPr>
            <w:tcW w:type="dxa" w:w="249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Faible</w:t>
            </w:r>
          </w:p>
        </w:tc>
        <w:tc>
          <w:tcPr>
            <w:tcW w:type="dxa" w:w="249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Indexation tarifs sessions, contrats LOA fixes</w:t>
            </w:r>
          </w:p>
        </w:tc>
      </w:tr>
      <w:tr>
        <w:tc>
          <w:tcPr>
            <w:tcW w:type="dxa" w:w="249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Manque de techniciens IRVE</w:t>
            </w:r>
          </w:p>
        </w:tc>
        <w:tc>
          <w:tcPr>
            <w:tcW w:type="dxa" w:w="249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Élevée</w:t>
            </w:r>
          </w:p>
        </w:tc>
        <w:tc>
          <w:tcPr>
            <w:tcW w:type="dxa" w:w="249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Moyen</w:t>
            </w:r>
          </w:p>
        </w:tc>
        <w:tc>
          <w:tcPr>
            <w:tcW w:type="dxa" w:w="249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Plan formation + contrat école d'apprentissage</w:t>
            </w:r>
          </w:p>
        </w:tc>
      </w:tr>
      <w:tr>
        <w:tc>
          <w:tcPr>
            <w:tcW w:type="dxa" w:w="249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Adoption VE inférieure</w:t>
            </w:r>
          </w:p>
        </w:tc>
        <w:tc>
          <w:tcPr>
            <w:tcW w:type="dxa" w:w="249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Faible</w:t>
            </w:r>
          </w:p>
        </w:tc>
        <w:tc>
          <w:tcPr>
            <w:tcW w:type="dxa" w:w="249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Moyen</w:t>
            </w:r>
          </w:p>
        </w:tc>
        <w:tc>
          <w:tcPr>
            <w:tcW w:type="dxa" w:w="249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Diversification 3 sources de revenus</w:t>
            </w:r>
          </w:p>
        </w:tc>
      </w:tr>
      <w:tr>
        <w:tc>
          <w:tcPr>
            <w:tcW w:type="dxa" w:w="249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Cyberattaque infrastructure</w:t>
            </w:r>
          </w:p>
        </w:tc>
        <w:tc>
          <w:tcPr>
            <w:tcW w:type="dxa" w:w="249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Moyenne</w:t>
            </w:r>
          </w:p>
        </w:tc>
        <w:tc>
          <w:tcPr>
            <w:tcW w:type="dxa" w:w="249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Élevé</w:t>
            </w:r>
          </w:p>
        </w:tc>
        <w:tc>
          <w:tcPr>
            <w:tcW w:type="dxa" w:w="249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OCPP sécurisé + assurance cyber</w:t>
            </w:r>
          </w:p>
        </w:tc>
      </w:tr>
    </w:tbl>
    <w:p>
      <w:pPr>
        <w:spacing w:before="200" w:after="80"/>
      </w:pPr>
      <w:r>
        <w:rPr>
          <w:rFonts w:ascii="Calibri" w:hAnsi="Calibri" w:cs="Calibri"/>
          <w:b/>
          <w:i w:val="0"/>
          <w:color w:val="0A4800"/>
          <w:sz w:val="24"/>
        </w:rPr>
        <w:t>Couverture financière</w:t>
      </w:r>
    </w:p>
    <w:p>
      <w:pPr>
        <w:pStyle w:val="ListBullet"/>
        <w:spacing w:after="40" w:line="288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>80 k€ fonds de roulement = 6 mois de coûts fixes</w:t>
      </w:r>
    </w:p>
    <w:p>
      <w:pPr>
        <w:pStyle w:val="ListBullet"/>
        <w:spacing w:after="40" w:line="288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>Subvention ADVENIR sécurisée non conditionnée à la levée</w:t>
      </w:r>
    </w:p>
    <w:p>
      <w:pPr>
        <w:pStyle w:val="ListBullet"/>
        <w:spacing w:after="40" w:line="288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>Modèle LOA = revenus contractuels fermes 72 mois</w:t>
      </w:r>
    </w:p>
    <w:p>
      <w:pPr>
        <w:pBdr>
          <w:bottom w:val="single" w:sz="8" w:space="1" w:color="33CC00"/>
        </w:pBdr>
      </w:pPr>
    </w:p>
    <w:p>
      <w:pPr>
        <w:spacing w:before="280" w:after="120"/>
        <w:pBdr>
          <w:bottom w:val="single" w:sz="12" w:space="1" w:color="33CC00"/>
        </w:pBdr>
      </w:pPr>
      <w:r>
        <w:rPr>
          <w:rFonts w:ascii="Calibri" w:hAnsi="Calibri" w:cs="Calibri"/>
          <w:b/>
          <w:i w:val="0"/>
          <w:color w:val="0A4800"/>
          <w:sz w:val="28"/>
        </w:rPr>
        <w:t>SLIDE 14 — Roadmap 18 mois post-closing</w:t>
      </w:r>
    </w:p>
    <w:p>
      <w:pPr>
        <w:spacing w:before="200" w:after="80"/>
      </w:pPr>
      <w:r>
        <w:rPr>
          <w:rFonts w:ascii="Calibri" w:hAnsi="Calibri" w:cs="Calibri"/>
          <w:b/>
          <w:i w:val="0"/>
          <w:color w:val="0A4800"/>
          <w:sz w:val="24"/>
        </w:rPr>
        <w:t>Que se passe-t-il après votre investissement ?</w:t>
      </w:r>
    </w:p>
    <w:p>
      <w:pPr>
        <w:spacing w:after="120" w:line="312" w:lineRule="auto"/>
      </w:pPr>
      <w:r>
        <w:rPr>
          <w:rFonts w:ascii="Calibri" w:hAnsi="Calibri" w:cs="Calibri"/>
          <w:b/>
          <w:i w:val="0"/>
          <w:color w:val="0A4800"/>
          <w:sz w:val="22"/>
        </w:rPr>
        <w:t>T+0 à T+3 mois — Mise en place</w:t>
      </w:r>
      <w:r>
        <w:rPr>
          <w:rFonts w:ascii="Calibri" w:hAnsi="Calibri" w:cs="Calibri"/>
          <w:b w:val="0"/>
          <w:i w:val="0"/>
          <w:color w:val="1A3A00"/>
          <w:sz w:val="22"/>
        </w:rPr>
        <w:br/>
        <w:t>- Closing financement seed</w:t>
        <w:br/>
        <w:t>- Recrutement core team (commercial + chef de projet)</w:t>
        <w:br/>
        <w:t>- Signature 5 conventions de domaine public communes</w:t>
        <w:br/>
        <w:t>- Commande ferme matériel E-TOTEM (LOT 1A — 49 480 EUR)</w:t>
      </w:r>
    </w:p>
    <w:p>
      <w:pPr>
        <w:spacing w:after="120" w:line="312" w:lineRule="auto"/>
      </w:pPr>
      <w:r>
        <w:rPr>
          <w:rFonts w:ascii="Calibri" w:hAnsi="Calibri" w:cs="Calibri"/>
          <w:b/>
          <w:i w:val="0"/>
          <w:color w:val="0A4800"/>
          <w:sz w:val="22"/>
        </w:rPr>
        <w:t>T+3 à T+6 mois — Premières mises en service</w:t>
      </w:r>
      <w:r>
        <w:rPr>
          <w:rFonts w:ascii="Calibri" w:hAnsi="Calibri" w:cs="Calibri"/>
          <w:b w:val="0"/>
          <w:i w:val="0"/>
          <w:color w:val="1A3A00"/>
          <w:sz w:val="22"/>
        </w:rPr>
        <w:br/>
        <w:t>- Travaux génie civil sur 5 sites prioritaires (Cayenne, Macouria, Iracoubo)</w:t>
        <w:br/>
        <w:t>- Première borne opérationnelle (Macouria — site pilote)</w:t>
        <w:br/>
        <w:t>- Lancement campagne LOA Entreprises (cibles priorité 1)</w:t>
      </w:r>
    </w:p>
    <w:p>
      <w:pPr>
        <w:spacing w:after="120" w:line="312" w:lineRule="auto"/>
      </w:pPr>
      <w:r>
        <w:rPr>
          <w:rFonts w:ascii="Calibri" w:hAnsi="Calibri" w:cs="Calibri"/>
          <w:b/>
          <w:i w:val="0"/>
          <w:color w:val="0A4800"/>
          <w:sz w:val="22"/>
        </w:rPr>
        <w:t>T+6 à T+12 mois — Ramp-up</w:t>
      </w:r>
      <w:r>
        <w:rPr>
          <w:rFonts w:ascii="Calibri" w:hAnsi="Calibri" w:cs="Calibri"/>
          <w:b w:val="0"/>
          <w:i w:val="0"/>
          <w:color w:val="1A3A00"/>
          <w:sz w:val="22"/>
        </w:rPr>
        <w:br/>
        <w:t>- 20 PDC publics opérationnels — réseau ADVENIR complet</w:t>
        <w:br/>
        <w:t>- 30 contrats LOA signés</w:t>
        <w:br/>
        <w:t>- Application mobile EGREENCITY'S en production</w:t>
        <w:br/>
        <w:t>- Premier audit financier indépendant</w:t>
      </w:r>
    </w:p>
    <w:p>
      <w:pPr>
        <w:spacing w:after="120" w:line="312" w:lineRule="auto"/>
      </w:pPr>
      <w:r>
        <w:rPr>
          <w:rFonts w:ascii="Calibri" w:hAnsi="Calibri" w:cs="Calibri"/>
          <w:b/>
          <w:i w:val="0"/>
          <w:color w:val="0A4800"/>
          <w:sz w:val="22"/>
        </w:rPr>
        <w:t>T+12 à T+18 mois — Croissance</w:t>
      </w:r>
      <w:r>
        <w:rPr>
          <w:rFonts w:ascii="Calibri" w:hAnsi="Calibri" w:cs="Calibri"/>
          <w:b w:val="0"/>
          <w:i w:val="0"/>
          <w:color w:val="1A3A00"/>
          <w:sz w:val="22"/>
        </w:rPr>
        <w:br/>
        <w:t>- 70 PDC LOA en service</w:t>
        <w:br/>
        <w:t>- Lancement étude phase 2 (Antilles ?)</w:t>
        <w:br/>
        <w:t>- Préparation Série A (2 M€)</w:t>
        <w:br/>
        <w:t>- EBITDA positif confirmé</w:t>
      </w:r>
    </w:p>
    <w:p>
      <w:pPr>
        <w:pBdr>
          <w:bottom w:val="single" w:sz="8" w:space="1" w:color="33CC00"/>
        </w:pBdr>
      </w:pPr>
    </w:p>
    <w:p>
      <w:pPr>
        <w:spacing w:before="280" w:after="120"/>
        <w:pBdr>
          <w:bottom w:val="single" w:sz="12" w:space="1" w:color="33CC00"/>
        </w:pBdr>
      </w:pPr>
      <w:r>
        <w:rPr>
          <w:rFonts w:ascii="Calibri" w:hAnsi="Calibri" w:cs="Calibri"/>
          <w:b/>
          <w:i w:val="0"/>
          <w:color w:val="0A4800"/>
          <w:sz w:val="28"/>
        </w:rPr>
        <w:t>SLIDE 15 — Appel à l'action</w:t>
      </w:r>
    </w:p>
    <w:p>
      <w:pPr>
        <w:spacing w:before="200" w:after="80"/>
      </w:pPr>
      <w:r>
        <w:rPr>
          <w:rFonts w:ascii="Calibri" w:hAnsi="Calibri" w:cs="Calibri"/>
          <w:b/>
          <w:i w:val="0"/>
          <w:color w:val="0A4800"/>
          <w:sz w:val="24"/>
        </w:rPr>
        <w:t>Ce que nous demandons</w:t>
      </w:r>
    </w:p>
    <w:p>
      <w:pPr>
        <w:pStyle w:val="ListNumber"/>
        <w:spacing w:after="40" w:line="288" w:lineRule="auto"/>
      </w:pPr>
      <w:r>
        <w:rPr>
          <w:rFonts w:ascii="Calibri" w:hAnsi="Calibri" w:cs="Calibri"/>
          <w:b/>
          <w:i w:val="0"/>
          <w:color w:val="0A4800"/>
          <w:sz w:val="22"/>
        </w:rPr>
        <w:t>Une décision en 60 jours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pour ne pas manquer la fenêtre ADVENIR</w:t>
      </w:r>
    </w:p>
    <w:p>
      <w:pPr>
        <w:pStyle w:val="ListNumber"/>
        <w:spacing w:after="40" w:line="288" w:lineRule="auto"/>
      </w:pPr>
      <w:r>
        <w:rPr>
          <w:rFonts w:ascii="Calibri" w:hAnsi="Calibri" w:cs="Calibri"/>
          <w:b/>
          <w:i w:val="0"/>
          <w:color w:val="0A4800"/>
          <w:sz w:val="22"/>
        </w:rPr>
        <w:t>Un investisseur lead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prêt à mobiliser 300 à 500 k€</w:t>
      </w:r>
    </w:p>
    <w:p>
      <w:pPr>
        <w:pStyle w:val="ListNumber"/>
        <w:spacing w:after="40" w:line="288" w:lineRule="auto"/>
      </w:pPr>
      <w:r>
        <w:rPr>
          <w:rFonts w:ascii="Calibri" w:hAnsi="Calibri" w:cs="Calibri"/>
          <w:b/>
          <w:i w:val="0"/>
          <w:color w:val="0A4800"/>
          <w:sz w:val="22"/>
        </w:rPr>
        <w:t>Des co-investisseurs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régionaux pour compléter (BPI Guyane, France Active, business angels antillais)</w:t>
      </w:r>
    </w:p>
    <w:p>
      <w:pPr>
        <w:pStyle w:val="ListNumber"/>
        <w:spacing w:after="40" w:line="288" w:lineRule="auto"/>
      </w:pPr>
      <w:r>
        <w:rPr>
          <w:rFonts w:ascii="Calibri" w:hAnsi="Calibri" w:cs="Calibri"/>
          <w:b/>
          <w:i w:val="0"/>
          <w:color w:val="0A4800"/>
          <w:sz w:val="22"/>
        </w:rPr>
        <w:t>Un partenariat de gouvernance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avec 1 siège observateur</w:t>
      </w:r>
    </w:p>
    <w:p>
      <w:pPr>
        <w:spacing w:before="200" w:after="80"/>
      </w:pPr>
      <w:r>
        <w:rPr>
          <w:rFonts w:ascii="Calibri" w:hAnsi="Calibri" w:cs="Calibri"/>
          <w:b/>
          <w:i w:val="0"/>
          <w:color w:val="0A4800"/>
          <w:sz w:val="24"/>
        </w:rPr>
        <w:t>Ce que nous offrons</w:t>
      </w:r>
    </w:p>
    <w:p>
      <w:pPr>
        <w:pStyle w:val="ListNumber"/>
        <w:spacing w:after="40" w:line="288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>Un projet d'</w:t>
      </w:r>
      <w:r>
        <w:rPr>
          <w:rFonts w:ascii="Calibri" w:hAnsi="Calibri" w:cs="Calibri"/>
          <w:b/>
          <w:i w:val="0"/>
          <w:color w:val="0A4800"/>
          <w:sz w:val="22"/>
        </w:rPr>
        <w:t>impact territorial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mesurable (transition énergétique Guyane)</w:t>
      </w:r>
    </w:p>
    <w:p>
      <w:pPr>
        <w:pStyle w:val="ListNumber"/>
        <w:spacing w:after="40" w:line="288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 xml:space="preserve">Une </w:t>
      </w:r>
      <w:r>
        <w:rPr>
          <w:rFonts w:ascii="Calibri" w:hAnsi="Calibri" w:cs="Calibri"/>
          <w:b/>
          <w:i w:val="0"/>
          <w:color w:val="0A4800"/>
          <w:sz w:val="22"/>
        </w:rPr>
        <w:t>équipe locale engagée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sur 5 ans minimum</w:t>
      </w:r>
    </w:p>
    <w:p>
      <w:pPr>
        <w:pStyle w:val="ListNumber"/>
        <w:spacing w:after="40" w:line="288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 xml:space="preserve">Une </w:t>
      </w:r>
      <w:r>
        <w:rPr>
          <w:rFonts w:ascii="Calibri" w:hAnsi="Calibri" w:cs="Calibri"/>
          <w:b/>
          <w:i w:val="0"/>
          <w:color w:val="0A4800"/>
          <w:sz w:val="22"/>
        </w:rPr>
        <w:t>transparence totale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: reporting trimestriel financier + opérationnel</w:t>
      </w:r>
    </w:p>
    <w:p>
      <w:pPr>
        <w:pStyle w:val="ListNumber"/>
        <w:spacing w:after="40" w:line="288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 xml:space="preserve">Une </w:t>
      </w:r>
      <w:r>
        <w:rPr>
          <w:rFonts w:ascii="Calibri" w:hAnsi="Calibri" w:cs="Calibri"/>
          <w:b/>
          <w:i w:val="0"/>
          <w:color w:val="0A4800"/>
          <w:sz w:val="22"/>
        </w:rPr>
        <w:t>sortie claire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à 5-7 ans avec multiple cible x4 à x6</w:t>
      </w:r>
    </w:p>
    <w:p>
      <w:pPr>
        <w:pStyle w:val="ListNumber"/>
        <w:spacing w:after="40" w:line="288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 xml:space="preserve">La </w:t>
      </w:r>
      <w:r>
        <w:rPr>
          <w:rFonts w:ascii="Calibri" w:hAnsi="Calibri" w:cs="Calibri"/>
          <w:b/>
          <w:i w:val="0"/>
          <w:color w:val="0A4800"/>
          <w:sz w:val="22"/>
        </w:rPr>
        <w:t>fierté d'avoir contribué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à l'électrification de la Guyane</w:t>
      </w:r>
    </w:p>
    <w:p>
      <w:pPr>
        <w:pBdr>
          <w:bottom w:val="single" w:sz="8" w:space="1" w:color="33CC00"/>
        </w:pBdr>
      </w:pPr>
    </w:p>
    <w:p>
      <w:pPr>
        <w:spacing w:before="280" w:after="120"/>
        <w:pBdr>
          <w:bottom w:val="single" w:sz="12" w:space="1" w:color="33CC00"/>
        </w:pBdr>
      </w:pPr>
      <w:r>
        <w:rPr>
          <w:rFonts w:ascii="Calibri" w:hAnsi="Calibri" w:cs="Calibri"/>
          <w:b/>
          <w:i w:val="0"/>
          <w:color w:val="0A4800"/>
          <w:sz w:val="28"/>
        </w:rPr>
        <w:t>Contact</w:t>
      </w:r>
    </w:p>
    <w:p>
      <w:pPr>
        <w:spacing w:after="120" w:line="312" w:lineRule="auto"/>
      </w:pPr>
      <w:r>
        <w:rPr>
          <w:rFonts w:ascii="Calibri" w:hAnsi="Calibri" w:cs="Calibri"/>
          <w:b/>
          <w:i w:val="0"/>
          <w:color w:val="0A4800"/>
          <w:sz w:val="22"/>
        </w:rPr>
        <w:t>Loïc Yves LUDOSKY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— Président</w:t>
        <w:br/>
      </w:r>
      <w:r>
        <w:rPr>
          <w:rFonts w:ascii="Calibri" w:hAnsi="Calibri" w:cs="Calibri"/>
          <w:b/>
          <w:i w:val="0"/>
          <w:color w:val="0A4800"/>
          <w:sz w:val="22"/>
        </w:rPr>
        <w:t>Patrice Claude LUDOSKY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— Directeur Général</w:t>
      </w:r>
    </w:p>
    <w:p>
      <w:pPr>
        <w:spacing w:after="120" w:line="312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>Email : egreencitys@gmail.com</w:t>
        <w:br/>
        <w:t>Tél : +33 6 51 14 11 18</w:t>
        <w:br/>
        <w:t>Web : https://egreencitys.com</w:t>
      </w:r>
    </w:p>
    <w:p>
      <w:pPr>
        <w:spacing w:before="120" w:after="120" w:line="312" w:lineRule="auto"/>
        <w:ind w:left="283"/>
        <w:pBdr>
          <w:left w:val="single" w:sz="24" w:space="8" w:color="2B4DB5"/>
        </w:pBdr>
        <w:shd w:val="clear" w:fill="F0F3FB"/>
      </w:pPr>
      <w:r>
        <w:rPr>
          <w:rFonts w:ascii="Calibri" w:hAnsi="Calibri" w:cs="Calibri"/>
          <w:b w:val="0"/>
          <w:i/>
          <w:color w:val="1A3A00"/>
          <w:sz w:val="20"/>
        </w:rPr>
        <w:t>Pour une présentation détaillée en visio ou en présentiel : envoyez un email avec mention « Investissement EGREENCITY'S — Seed 2026 » — réponse sous 48 heures.</w:t>
      </w:r>
    </w:p>
    <w:p>
      <w:pPr>
        <w:pBdr>
          <w:bottom w:val="single" w:sz="8" w:space="1" w:color="33CC00"/>
        </w:pBdr>
      </w:pPr>
    </w:p>
    <w:p>
      <w:pPr>
        <w:spacing w:after="120" w:line="312" w:lineRule="auto"/>
      </w:pPr>
      <w:r>
        <w:rPr>
          <w:rFonts w:ascii="Calibri" w:hAnsi="Calibri" w:cs="Calibri"/>
          <w:b w:val="0"/>
          <w:i/>
          <w:color w:val="2B4DB5"/>
          <w:sz w:val="22"/>
        </w:rPr>
        <w:t>Pitch deck investisseur EGREENCITY'S — Mai 2026 — Confidentiel</w:t>
      </w:r>
      <w:r>
        <w:rPr>
          <w:rFonts w:ascii="Calibri" w:hAnsi="Calibri" w:cs="Calibri"/>
          <w:b w:val="0"/>
          <w:i w:val="0"/>
          <w:color w:val="1A3A00"/>
          <w:sz w:val="22"/>
        </w:rPr>
        <w:br/>
      </w:r>
      <w:r>
        <w:rPr>
          <w:rFonts w:ascii="Calibri" w:hAnsi="Calibri" w:cs="Calibri"/>
          <w:b w:val="0"/>
          <w:i/>
          <w:color w:val="2B4DB5"/>
          <w:sz w:val="22"/>
        </w:rPr>
        <w:t>EGREENCITY'S SAS · 1 rue Anangosi, Résidence La Rougerie · 97355 MACOURIA · RCS Cayenne 878 682 854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47" w:right="1134" w:bottom="1361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cs="Calibri"/>
        <w:b w:val="0"/>
        <w:i w:val="0"/>
        <w:color w:val="888888"/>
        <w:sz w:val="16"/>
      </w:rPr>
      <w:t>EGREENCITY'S SAS · RCS Cayenne 878 682 854 · egreencitys@gmail.com · +33 6 51 14 11 18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1620000" cy="447261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620000" cy="447261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3A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