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shd w:val="clear" w:fill="0A4800"/>
        <w:pBdr>
          <w:left w:val="single" w:sz="24" w:space="4" w:color="33CC00"/>
        </w:pBdr>
        <w:ind w:left="227"/>
      </w:pPr>
      <w:r>
        <w:rPr>
          <w:rFonts w:ascii="Calibri" w:hAnsi="Calibri" w:cs="Calibri"/>
          <w:b/>
          <w:i w:val="0"/>
          <w:color w:val="FFFFFF"/>
          <w:sz w:val="36"/>
        </w:rPr>
        <w:t>Business Plan détaillé EGREENCITY'S</w:t>
      </w:r>
    </w:p>
    <w:p>
      <w:pPr>
        <w:spacing w:before="280" w:after="120"/>
        <w:pBdr>
          <w:bottom w:val="single" w:sz="12" w:space="1" w:color="33CC00"/>
        </w:pBdr>
      </w:pPr>
      <w:r>
        <w:rPr>
          <w:rFonts w:ascii="Calibri" w:hAnsi="Calibri" w:cs="Calibri"/>
          <w:b/>
          <w:i w:val="0"/>
          <w:color w:val="0A4800"/>
          <w:sz w:val="28"/>
        </w:rPr>
        <w:t>Période 2026 — 2030 | Document de référence — Mai 2026</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1. Synthèse executive</w:t>
      </w:r>
    </w:p>
    <w:p>
      <w:pPr>
        <w:spacing w:after="120" w:line="312" w:lineRule="auto"/>
      </w:pPr>
      <w:r>
        <w:rPr>
          <w:rFonts w:ascii="Calibri" w:hAnsi="Calibri" w:cs="Calibri"/>
          <w:b w:val="0"/>
          <w:i w:val="0"/>
          <w:color w:val="1A3A00"/>
          <w:sz w:val="22"/>
        </w:rPr>
        <w:t>EGREENCITY'S SAS est une jeune entreprise guyanaise (SIREN 878 682 854) créée pour combler le déficit d'infrastructure de recharge pour véhicules électriques en Guyane française. Notre projet repose sur trois piliers complémentaires :</w:t>
      </w:r>
    </w:p>
    <w:p>
      <w:pPr>
        <w:pStyle w:val="ListNumber"/>
        <w:spacing w:after="40" w:line="288" w:lineRule="auto"/>
      </w:pPr>
      <w:r>
        <w:rPr>
          <w:rFonts w:ascii="Calibri" w:hAnsi="Calibri" w:cs="Calibri"/>
          <w:b w:val="0"/>
          <w:i w:val="0"/>
          <w:color w:val="1A3A00"/>
          <w:sz w:val="22"/>
        </w:rPr>
        <w:t xml:space="preserve">Le déploiement d'un </w:t>
      </w:r>
      <w:r>
        <w:rPr>
          <w:rFonts w:ascii="Calibri" w:hAnsi="Calibri" w:cs="Calibri"/>
          <w:b/>
          <w:i w:val="0"/>
          <w:color w:val="0A4800"/>
          <w:sz w:val="22"/>
        </w:rPr>
        <w:t>réseau de bornes voirie publique</w:t>
      </w:r>
      <w:r>
        <w:rPr>
          <w:rFonts w:ascii="Calibri" w:hAnsi="Calibri" w:cs="Calibri"/>
          <w:b w:val="0"/>
          <w:i w:val="0"/>
          <w:color w:val="1A3A00"/>
          <w:sz w:val="22"/>
        </w:rPr>
        <w:t xml:space="preserve"> financé à 75,2 % par le programme national ADVENIR (8 communes, 10 stations, 20 points de charge)</w:t>
      </w:r>
    </w:p>
    <w:p>
      <w:pPr>
        <w:pStyle w:val="ListNumber"/>
        <w:spacing w:after="40" w:line="288" w:lineRule="auto"/>
      </w:pPr>
      <w:r>
        <w:rPr>
          <w:rFonts w:ascii="Calibri" w:hAnsi="Calibri" w:cs="Calibri"/>
          <w:b w:val="0"/>
          <w:i w:val="0"/>
          <w:color w:val="1A3A00"/>
          <w:sz w:val="22"/>
        </w:rPr>
        <w:t xml:space="preserve">Une </w:t>
      </w:r>
      <w:r>
        <w:rPr>
          <w:rFonts w:ascii="Calibri" w:hAnsi="Calibri" w:cs="Calibri"/>
          <w:b/>
          <w:i w:val="0"/>
          <w:color w:val="0A4800"/>
          <w:sz w:val="22"/>
        </w:rPr>
        <w:t>offre de Location avec Option d'Achat (LOA)</w:t>
      </w:r>
      <w:r>
        <w:rPr>
          <w:rFonts w:ascii="Calibri" w:hAnsi="Calibri" w:cs="Calibri"/>
          <w:b w:val="0"/>
          <w:i w:val="0"/>
          <w:color w:val="1A3A00"/>
          <w:sz w:val="22"/>
        </w:rPr>
        <w:t xml:space="preserve"> pour les entreprises guyanaises — 49 cibles identifiées</w:t>
      </w:r>
    </w:p>
    <w:p>
      <w:pPr>
        <w:pStyle w:val="ListNumber"/>
        <w:spacing w:after="40" w:line="288" w:lineRule="auto"/>
      </w:pPr>
      <w:r>
        <w:rPr>
          <w:rFonts w:ascii="Calibri" w:hAnsi="Calibri" w:cs="Calibri"/>
          <w:b w:val="0"/>
          <w:i w:val="0"/>
          <w:color w:val="1A3A00"/>
          <w:sz w:val="22"/>
        </w:rPr>
        <w:t xml:space="preserve">L'exploitation des </w:t>
      </w:r>
      <w:r>
        <w:rPr>
          <w:rFonts w:ascii="Calibri" w:hAnsi="Calibri" w:cs="Calibri"/>
          <w:b/>
          <w:i w:val="0"/>
          <w:color w:val="0A4800"/>
          <w:sz w:val="22"/>
        </w:rPr>
        <w:t>sessions de recharge</w:t>
      </w:r>
      <w:r>
        <w:rPr>
          <w:rFonts w:ascii="Calibri" w:hAnsi="Calibri" w:cs="Calibri"/>
          <w:b w:val="0"/>
          <w:i w:val="0"/>
          <w:color w:val="1A3A00"/>
          <w:sz w:val="22"/>
        </w:rPr>
        <w:t xml:space="preserve"> via interconnexion GIREVE et application mobile</w:t>
      </w:r>
    </w:p>
    <w:p>
      <w:pPr>
        <w:spacing w:after="120" w:line="312" w:lineRule="auto"/>
      </w:pPr>
      <w:r>
        <w:rPr>
          <w:rFonts w:ascii="Calibri" w:hAnsi="Calibri" w:cs="Calibri"/>
          <w:b w:val="0"/>
          <w:i w:val="0"/>
          <w:color w:val="1A3A00"/>
          <w:sz w:val="22"/>
        </w:rPr>
        <w:t xml:space="preserve">Avec une levée de fonds Seed de </w:t>
      </w:r>
      <w:r>
        <w:rPr>
          <w:rFonts w:ascii="Calibri" w:hAnsi="Calibri" w:cs="Calibri"/>
          <w:b/>
          <w:i w:val="0"/>
          <w:color w:val="0A4800"/>
          <w:sz w:val="22"/>
        </w:rPr>
        <w:t>300 000 EUR</w:t>
      </w:r>
      <w:r>
        <w:rPr>
          <w:rFonts w:ascii="Calibri" w:hAnsi="Calibri" w:cs="Calibri"/>
          <w:b w:val="0"/>
          <w:i w:val="0"/>
          <w:color w:val="1A3A00"/>
          <w:sz w:val="22"/>
        </w:rPr>
        <w:t xml:space="preserve">, nous prévoyons un déploiement progressif et réalisable : </w:t>
      </w:r>
      <w:r>
        <w:rPr>
          <w:rFonts w:ascii="Calibri" w:hAnsi="Calibri" w:cs="Calibri"/>
          <w:b/>
          <w:i w:val="0"/>
          <w:color w:val="0A4800"/>
          <w:sz w:val="22"/>
        </w:rPr>
        <w:t>20 PDC initiaux (10 bornes ADVENIR voirie publique) puis +10 PDC chaque année sur 5 ans</w:t>
      </w:r>
      <w:r>
        <w:rPr>
          <w:rFonts w:ascii="Calibri" w:hAnsi="Calibri" w:cs="Calibri"/>
          <w:b w:val="0"/>
          <w:i w:val="0"/>
          <w:color w:val="1A3A00"/>
          <w:sz w:val="22"/>
        </w:rPr>
        <w:t xml:space="preserve">. À fin An 5, le réseau totalise </w:t>
      </w:r>
      <w:r>
        <w:rPr>
          <w:rFonts w:ascii="Calibri" w:hAnsi="Calibri" w:cs="Calibri"/>
          <w:b/>
          <w:i w:val="0"/>
          <w:color w:val="0A4800"/>
          <w:sz w:val="22"/>
        </w:rPr>
        <w:t>60 PDC</w:t>
      </w:r>
      <w:r>
        <w:rPr>
          <w:rFonts w:ascii="Calibri" w:hAnsi="Calibri" w:cs="Calibri"/>
          <w:b w:val="0"/>
          <w:i w:val="0"/>
          <w:color w:val="1A3A00"/>
          <w:sz w:val="22"/>
        </w:rPr>
        <w:t xml:space="preserve"> (20 publics + 32 LOA + 8 DC fast). EBITDA positif An 5, revenu cumulé sur 5 ans : 1,0 M EUR (scénario médian).</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2. Présentation de l'entreprise</w:t>
      </w:r>
    </w:p>
    <w:p>
      <w:pPr>
        <w:spacing w:before="200" w:after="80"/>
      </w:pPr>
      <w:r>
        <w:rPr>
          <w:rFonts w:ascii="Calibri" w:hAnsi="Calibri" w:cs="Calibri"/>
          <w:b/>
          <w:i w:val="0"/>
          <w:color w:val="0A4800"/>
          <w:sz w:val="24"/>
        </w:rPr>
        <w:t>2.1 Identité juridique</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Donnée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Raison sociale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EGREENCITY'S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Forme juridique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SAS — Société par Actions Simplifiée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Capital social</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250 EUR (à augmenter au closing seed)</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SIREN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878 682 854</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RCS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Cayenne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Code NAF principal</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35.13Z — Distribution d'électricité (à confirmer)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Date de création</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2025</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Adresse siège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 rue Anangosi, Résidence La Rougerie — 97355 MACOURIA</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Téléphone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+33 6 51 14 11 18</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Email</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egreencitys@gmail.com</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Site web</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https://egreencitys.com</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Régime TVA</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TVA DOM 8,5 %</w:t>
            </w:r>
          </w:p>
        </w:tc>
      </w:tr>
    </w:tbl>
    <w:p>
      <w:pPr>
        <w:spacing w:before="200" w:after="80"/>
      </w:pPr>
      <w:r>
        <w:rPr>
          <w:rFonts w:ascii="Calibri" w:hAnsi="Calibri" w:cs="Calibri"/>
          <w:b/>
          <w:i w:val="0"/>
          <w:color w:val="0A4800"/>
          <w:sz w:val="24"/>
        </w:rPr>
        <w:t>2.2 Vision et mission</w:t>
      </w:r>
    </w:p>
    <w:p>
      <w:pPr>
        <w:spacing w:after="120" w:line="312" w:lineRule="auto"/>
      </w:pPr>
      <w:r>
        <w:rPr>
          <w:rFonts w:ascii="Calibri" w:hAnsi="Calibri" w:cs="Calibri"/>
          <w:b/>
          <w:i w:val="0"/>
          <w:color w:val="0A4800"/>
          <w:sz w:val="22"/>
        </w:rPr>
        <w:t>Vision :</w:t>
      </w:r>
      <w:r>
        <w:rPr>
          <w:rFonts w:ascii="Calibri" w:hAnsi="Calibri" w:cs="Calibri"/>
          <w:b w:val="0"/>
          <w:i w:val="0"/>
          <w:color w:val="1A3A00"/>
          <w:sz w:val="22"/>
        </w:rPr>
        <w:t xml:space="preserve"> faire de la Guyane le territoire ultramarin de référence en mobilité électrique d'ici 2030.</w:t>
      </w:r>
    </w:p>
    <w:p>
      <w:pPr>
        <w:spacing w:after="120" w:line="312" w:lineRule="auto"/>
      </w:pPr>
      <w:r>
        <w:rPr>
          <w:rFonts w:ascii="Calibri" w:hAnsi="Calibri" w:cs="Calibri"/>
          <w:b/>
          <w:i w:val="0"/>
          <w:color w:val="0A4800"/>
          <w:sz w:val="22"/>
        </w:rPr>
        <w:t>Mission :</w:t>
      </w:r>
      <w:r>
        <w:rPr>
          <w:rFonts w:ascii="Calibri" w:hAnsi="Calibri" w:cs="Calibri"/>
          <w:b w:val="0"/>
          <w:i w:val="0"/>
          <w:color w:val="1A3A00"/>
          <w:sz w:val="22"/>
        </w:rPr>
        <w:t xml:space="preserve"> déployer, opérer et financer un réseau exhaustif de bornes de recharge publiques et privées pour permettre à tous les Guyanais et à toutes les entreprises du territoire de basculer vers l'électromobilité dans des conditions économiquement viables.</w:t>
      </w:r>
    </w:p>
    <w:p>
      <w:pPr>
        <w:spacing w:after="120" w:line="312" w:lineRule="auto"/>
      </w:pPr>
      <w:r>
        <w:rPr>
          <w:rFonts w:ascii="Calibri" w:hAnsi="Calibri" w:cs="Calibri"/>
          <w:b/>
          <w:i w:val="0"/>
          <w:color w:val="0A4800"/>
          <w:sz w:val="22"/>
        </w:rPr>
        <w:t>Valeurs :</w:t>
      </w:r>
      <w:r>
        <w:rPr>
          <w:rFonts w:ascii="Calibri" w:hAnsi="Calibri" w:cs="Calibri"/>
          <w:b w:val="0"/>
          <w:i w:val="0"/>
          <w:color w:val="1A3A00"/>
          <w:sz w:val="22"/>
        </w:rPr>
        <w:br/>
        <w:t>- Ancrage local et création d'emplois en Guyane (objectif 8 emplois directs à An 3)</w:t>
        <w:br/>
        <w:t>- Accessibilité tarifaire et géographique du service</w:t>
        <w:br/>
        <w:t>- Transparence totale envers les investisseurs et les collectivités partenaires</w:t>
        <w:br/>
        <w:t>- Contribution à la transition écologique du territoire</w:t>
      </w:r>
    </w:p>
    <w:p>
      <w:pPr>
        <w:spacing w:before="200" w:after="80"/>
      </w:pPr>
      <w:r>
        <w:rPr>
          <w:rFonts w:ascii="Calibri" w:hAnsi="Calibri" w:cs="Calibri"/>
          <w:b/>
          <w:i w:val="0"/>
          <w:color w:val="0A4800"/>
          <w:sz w:val="24"/>
        </w:rPr>
        <w:t>2.3 Fondateurs</w:t>
      </w:r>
    </w:p>
    <w:p>
      <w:pPr>
        <w:spacing w:after="120" w:line="312" w:lineRule="auto"/>
      </w:pPr>
      <w:r>
        <w:rPr>
          <w:rFonts w:ascii="Calibri" w:hAnsi="Calibri" w:cs="Calibri"/>
          <w:b/>
          <w:i w:val="0"/>
          <w:color w:val="0A4800"/>
          <w:sz w:val="22"/>
        </w:rPr>
        <w:t>Loïc Yves LUDOSKY — Président Fondateur</w:t>
      </w:r>
      <w:r>
        <w:rPr>
          <w:rFonts w:ascii="Calibri" w:hAnsi="Calibri" w:cs="Calibri"/>
          <w:b w:val="0"/>
          <w:i w:val="0"/>
          <w:color w:val="1A3A00"/>
          <w:sz w:val="22"/>
        </w:rPr>
        <w:br/>
        <w:t>Né et résident en Guyane française. Profil entrepreneurial, vision stratégique du marché ultramarin de la mobilité. Pilote la stratégie commerciale, les relations institutionnelles, la levée de fonds. Engagement temps plein sur EGREENCITY'S.</w:t>
      </w:r>
    </w:p>
    <w:p>
      <w:pPr>
        <w:spacing w:after="120" w:line="312" w:lineRule="auto"/>
      </w:pPr>
      <w:r>
        <w:rPr>
          <w:rFonts w:ascii="Calibri" w:hAnsi="Calibri" w:cs="Calibri"/>
          <w:b/>
          <w:i w:val="0"/>
          <w:color w:val="0A4800"/>
          <w:sz w:val="22"/>
        </w:rPr>
        <w:t>Patrice Claude LUDOSKY — Directeur Général</w:t>
      </w:r>
      <w:r>
        <w:rPr>
          <w:rFonts w:ascii="Calibri" w:hAnsi="Calibri" w:cs="Calibri"/>
          <w:b w:val="0"/>
          <w:i w:val="0"/>
          <w:color w:val="1A3A00"/>
          <w:sz w:val="22"/>
        </w:rPr>
        <w:br/>
        <w:t>Né et résident en Guyane française. Profil opérationnel et terrain. Pilote les déploiements, la maintenance, les relations fournisseurs et l'animation du réseau. Engagement temps plein sur EGREENCITY'S.</w:t>
      </w:r>
    </w:p>
    <w:p>
      <w:pPr>
        <w:spacing w:after="120" w:line="312" w:lineRule="auto"/>
      </w:pPr>
      <w:r>
        <w:rPr>
          <w:rFonts w:ascii="Calibri" w:hAnsi="Calibri" w:cs="Calibri"/>
          <w:b w:val="0"/>
          <w:i w:val="0"/>
          <w:color w:val="1A3A00"/>
          <w:sz w:val="22"/>
        </w:rPr>
        <w:t>Les deux fondateurs détiennent ensemble 100 % du capital actuel.</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3. Analyse de marché</w:t>
      </w:r>
    </w:p>
    <w:p>
      <w:pPr>
        <w:spacing w:before="200" w:after="80"/>
      </w:pPr>
      <w:r>
        <w:rPr>
          <w:rFonts w:ascii="Calibri" w:hAnsi="Calibri" w:cs="Calibri"/>
          <w:b/>
          <w:i w:val="0"/>
          <w:color w:val="0A4800"/>
          <w:sz w:val="24"/>
        </w:rPr>
        <w:t>3.1 Le territoire et son potentiel</w:t>
      </w:r>
    </w:p>
    <w:p>
      <w:pPr>
        <w:spacing w:after="120" w:line="312" w:lineRule="auto"/>
      </w:pPr>
      <w:r>
        <w:rPr>
          <w:rFonts w:ascii="Calibri" w:hAnsi="Calibri" w:cs="Calibri"/>
          <w:b/>
          <w:i w:val="0"/>
          <w:color w:val="0A4800"/>
          <w:sz w:val="22"/>
        </w:rPr>
        <w:t>La Guyane française en chiffres (2026)</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Population</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290 000 habitants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Superficie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83 846 km2</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Densité population</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3,5 hab/km2</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Croissance démographique annuelle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+2,5 % (la plus élevée de France)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PIB par habitant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17 800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Taux de chômage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17,5 %</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Communes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22</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Communes du littoral (axe RN1/RN2)</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 communes — 90 % de la population</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Parc automobile total</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 95 000 véhicules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Parc VE/VHR estimé</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400 véhicules (0,4 %)</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Croissance parc VE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+35 %/an</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Bornes publiques fonctionnelles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&lt; 10</w:t>
            </w:r>
          </w:p>
        </w:tc>
      </w:tr>
    </w:tbl>
    <w:p>
      <w:pPr>
        <w:spacing w:before="200" w:after="80"/>
      </w:pPr>
      <w:r>
        <w:rPr>
          <w:rFonts w:ascii="Calibri" w:hAnsi="Calibri" w:cs="Calibri"/>
          <w:b/>
          <w:i w:val="0"/>
          <w:color w:val="0A4800"/>
          <w:sz w:val="24"/>
        </w:rPr>
        <w:t>3.2 Cadre réglementaire</w:t>
      </w:r>
    </w:p>
    <w:p>
      <w:pPr>
        <w:spacing w:after="120" w:line="312" w:lineRule="auto"/>
      </w:pPr>
      <w:r>
        <w:rPr>
          <w:rFonts w:ascii="Calibri" w:hAnsi="Calibri" w:cs="Calibri"/>
          <w:b/>
          <w:i w:val="0"/>
          <w:color w:val="0A4800"/>
          <w:sz w:val="22"/>
        </w:rPr>
        <w:t>Directive AFIR 2024 (Alternative Fuels Infrastructure Regulation)</w:t>
      </w:r>
      <w:r>
        <w:rPr>
          <w:rFonts w:ascii="Calibri" w:hAnsi="Calibri" w:cs="Calibri"/>
          <w:b w:val="0"/>
          <w:i w:val="0"/>
          <w:color w:val="1A3A00"/>
          <w:sz w:val="22"/>
        </w:rPr>
        <w:br/>
        <w:t>Adoptée par l'Union européenne, transposée en France. Impose :</w:t>
        <w:br/>
        <w:t>- Un point de recharge tous les 60 km sur les axes RTE-T (Réseau Trans-Européen de Transport)</w:t>
        <w:br/>
        <w:t>- Pour la Guyane, applicabilité partielle sur la RN1 et RN2</w:t>
        <w:br/>
        <w:t>- Mise en application progressive à partir de 2027</w:t>
        <w:br/>
        <w:t>- Sanctions financières aux États membres en cas de non-conformité</w:t>
      </w:r>
    </w:p>
    <w:p>
      <w:pPr>
        <w:spacing w:after="120" w:line="312" w:lineRule="auto"/>
      </w:pPr>
      <w:r>
        <w:rPr>
          <w:rFonts w:ascii="Calibri" w:hAnsi="Calibri" w:cs="Calibri"/>
          <w:b/>
          <w:i w:val="0"/>
          <w:color w:val="0A4800"/>
          <w:sz w:val="22"/>
        </w:rPr>
        <w:t>Programme ADVENIR</w:t>
      </w:r>
      <w:r>
        <w:rPr>
          <w:rFonts w:ascii="Calibri" w:hAnsi="Calibri" w:cs="Calibri"/>
          <w:b w:val="0"/>
          <w:i w:val="0"/>
          <w:color w:val="1A3A00"/>
          <w:sz w:val="22"/>
        </w:rPr>
        <w:br/>
        <w:t>Géré par l'AVERE-France, financé par les certificats d'économie d'énergie (CEE).</w:t>
        <w:br/>
        <w:t>- Voirie publique outre-mer : taux de couverture exceptionnel 75,2 %</w:t>
        <w:br/>
        <w:t>- Plafond : 1 860 EUR par PDC</w:t>
        <w:br/>
        <w:t>- Engagement opérateur : 5 ans de service minimum</w:t>
        <w:br/>
        <w:t>- Conditions : convention domaine public + signalétique + supervision OCPP/GIREVE</w:t>
      </w:r>
    </w:p>
    <w:p>
      <w:pPr>
        <w:spacing w:after="120" w:line="312" w:lineRule="auto"/>
      </w:pPr>
      <w:r>
        <w:rPr>
          <w:rFonts w:ascii="Calibri" w:hAnsi="Calibri" w:cs="Calibri"/>
          <w:b/>
          <w:i w:val="0"/>
          <w:color w:val="0A4800"/>
          <w:sz w:val="22"/>
        </w:rPr>
        <w:t>Loi LOM (Loi d'Orientation des Mobilités)</w:t>
      </w:r>
      <w:r>
        <w:rPr>
          <w:rFonts w:ascii="Calibri" w:hAnsi="Calibri" w:cs="Calibri"/>
          <w:b w:val="0"/>
          <w:i w:val="0"/>
          <w:color w:val="1A3A00"/>
          <w:sz w:val="22"/>
        </w:rPr>
        <w:br/>
        <w:t>Impose aux entreprises gérant &gt; 100 véhicules en 2026 d'avoir &gt; 50 % de VE dans leurs flottes en 2030.</w:t>
      </w:r>
    </w:p>
    <w:p>
      <w:pPr>
        <w:spacing w:after="120" w:line="312" w:lineRule="auto"/>
      </w:pPr>
      <w:r>
        <w:rPr>
          <w:rFonts w:ascii="Calibri" w:hAnsi="Calibri" w:cs="Calibri"/>
          <w:b/>
          <w:i w:val="0"/>
          <w:color w:val="0A4800"/>
          <w:sz w:val="22"/>
        </w:rPr>
        <w:t>Plan Outre-mer Avere-France 2026-2030</w:t>
      </w:r>
      <w:r>
        <w:rPr>
          <w:rFonts w:ascii="Calibri" w:hAnsi="Calibri" w:cs="Calibri"/>
          <w:b w:val="0"/>
          <w:i w:val="0"/>
          <w:color w:val="1A3A00"/>
          <w:sz w:val="22"/>
        </w:rPr>
        <w:br/>
        <w:t>Fixe l'objectif de 2 000 PDC opérationnels d'ici 2030 dans les DROM.</w:t>
      </w:r>
    </w:p>
    <w:p>
      <w:pPr>
        <w:spacing w:before="200" w:after="80"/>
      </w:pPr>
      <w:r>
        <w:rPr>
          <w:rFonts w:ascii="Calibri" w:hAnsi="Calibri" w:cs="Calibri"/>
          <w:b/>
          <w:i w:val="0"/>
          <w:color w:val="0A4800"/>
          <w:sz w:val="24"/>
        </w:rPr>
        <w:t>3.3 Demande adressable</w:t>
      </w:r>
    </w:p>
    <w:p>
      <w:pPr>
        <w:spacing w:after="120" w:line="312" w:lineRule="auto"/>
      </w:pPr>
      <w:r>
        <w:rPr>
          <w:rFonts w:ascii="Calibri" w:hAnsi="Calibri" w:cs="Calibri"/>
          <w:b/>
          <w:i w:val="0"/>
          <w:color w:val="0A4800"/>
          <w:sz w:val="22"/>
        </w:rPr>
        <w:t>Demande potentielle annuelle</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Source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Volume estimé</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Sessions VE existantes (parc 400 véhicules × 80 sessions/an)</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32 000 sessions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Sessions véhicules touristes (location courte durée)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8 000 sessions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Sessions flottes professionnelles (CSG, banques, services)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12 000 sessions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TOTAL annuel adressable 2026</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52 000 sessions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Projection 2030 (×3 du parc VE)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180 000 sessions</w:t>
            </w:r>
          </w:p>
        </w:tc>
      </w:tr>
    </w:tbl>
    <w:p>
      <w:pPr>
        <w:spacing w:after="120" w:line="312" w:lineRule="auto"/>
      </w:pPr>
      <w:r>
        <w:rPr>
          <w:rFonts w:ascii="Calibri" w:hAnsi="Calibri" w:cs="Calibri"/>
          <w:b/>
          <w:i w:val="0"/>
          <w:color w:val="0A4800"/>
          <w:sz w:val="22"/>
        </w:rPr>
        <w:t>Revenu adressable 2030</w:t>
      </w:r>
      <w:r>
        <w:rPr>
          <w:rFonts w:ascii="Calibri" w:hAnsi="Calibri" w:cs="Calibri"/>
          <w:b w:val="0"/>
          <w:i w:val="0"/>
          <w:color w:val="1A3A00"/>
          <w:sz w:val="22"/>
        </w:rPr>
        <w:t xml:space="preserve"> (180 000 sessions × ~10 EUR/session) = ~ 1,8 M EUR/an juste sur les sessions B2C.</w:t>
      </w:r>
    </w:p>
    <w:p>
      <w:pPr>
        <w:spacing w:before="200" w:after="80"/>
      </w:pPr>
      <w:r>
        <w:rPr>
          <w:rFonts w:ascii="Calibri" w:hAnsi="Calibri" w:cs="Calibri"/>
          <w:b/>
          <w:i w:val="0"/>
          <w:color w:val="0A4800"/>
          <w:sz w:val="24"/>
        </w:rPr>
        <w:t>3.4 Ciblage géographique — 8 communes prioritaires</w:t>
      </w:r>
    </w:p>
    <w:tbl>
      <w:tblPr>
        <w:tblW w:type="auto" w:w="0"/>
        <w:jc w:val="center"/>
        <w:tblLayout w:type="autofit"/>
        <w:tblLook w:firstColumn="1" w:firstRow="1" w:lastColumn="0" w:lastRow="0" w:noHBand="0" w:noVBand="1" w:val="04A0"/>
      </w:tblPr>
      <w:tblGrid>
        <w:gridCol w:w="1994"/>
        <w:gridCol w:w="1994"/>
        <w:gridCol w:w="1994"/>
        <w:gridCol w:w="1994"/>
        <w:gridCol w:w="1994"/>
      </w:tblGrid>
      <w:tr>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Commune</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Population</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Stations EGS</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PDC</w:t>
            </w:r>
          </w:p>
        </w:tc>
        <w:tc>
          <w:tcPr>
            <w:tcW w:type="dxa" w:w="199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Justification</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Cayenne</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65 000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Capitale, flux maximal, hôpital, banques</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Macouria</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16 000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Site pilote, siège opérateur</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Matoury</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38 000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Aéroport Felix Eboué, parc commercial</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Rémire-Montjoly</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26 000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Forte densité VE, parc tertiaire</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Kourou</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27 000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Pôle CSG/spatial, flotte VE croissante</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Iracoubo</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1 800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Position stratégique RN1, recharge longue distance</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Saint-Laurent-du-Maroni</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49 000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2e pôle, désenclavement Maroni</w:t>
            </w:r>
          </w:p>
        </w:tc>
      </w:tr>
      <w:tr>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Mana</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11 000</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w:t>
            </w:r>
          </w:p>
        </w:tc>
        <w:tc>
          <w:tcPr>
            <w:tcW w:type="dxa" w:w="199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Maillage Ouest</w:t>
            </w:r>
          </w:p>
        </w:tc>
      </w:tr>
      <w:tr>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TOTAL</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234 000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20</w:t>
            </w:r>
          </w:p>
        </w:tc>
        <w:tc>
          <w:tcPr>
            <w:tcW w:type="dxa" w:w="199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Couverture 81 % population</w:t>
            </w:r>
          </w:p>
        </w:tc>
      </w:tr>
    </w:tbl>
    <w:p>
      <w:pPr>
        <w:pBdr>
          <w:bottom w:val="single" w:sz="8" w:space="1" w:color="33CC00"/>
        </w:pBdr>
      </w:pPr>
    </w:p>
    <w:p>
      <w:pPr>
        <w:spacing w:before="280" w:after="120"/>
        <w:pBdr>
          <w:bottom w:val="single" w:sz="12" w:space="1" w:color="33CC00"/>
        </w:pBdr>
      </w:pPr>
      <w:r>
        <w:rPr>
          <w:rFonts w:ascii="Calibri" w:hAnsi="Calibri" w:cs="Calibri"/>
          <w:b/>
          <w:i w:val="0"/>
          <w:color w:val="0A4800"/>
          <w:sz w:val="28"/>
        </w:rPr>
        <w:t>4. Modèle économique</w:t>
      </w:r>
    </w:p>
    <w:p>
      <w:pPr>
        <w:spacing w:before="200" w:after="80"/>
      </w:pPr>
      <w:r>
        <w:rPr>
          <w:rFonts w:ascii="Calibri" w:hAnsi="Calibri" w:cs="Calibri"/>
          <w:b/>
          <w:i w:val="0"/>
          <w:color w:val="0A4800"/>
          <w:sz w:val="24"/>
        </w:rPr>
        <w:t>4.1 Trois sources de revenus</w:t>
      </w:r>
    </w:p>
    <w:p>
      <w:pPr>
        <w:spacing w:before="160" w:after="60"/>
      </w:pPr>
      <w:r>
        <w:rPr>
          <w:rFonts w:ascii="Calibri" w:hAnsi="Calibri" w:cs="Calibri"/>
          <w:b/>
          <w:i w:val="0"/>
          <w:color w:val="2B4DB5"/>
          <w:sz w:val="22"/>
        </w:rPr>
        <w:t>Source 1 — Voirie publique (B2G)</w:t>
      </w:r>
    </w:p>
    <w:p>
      <w:pPr>
        <w:spacing w:after="120" w:line="312" w:lineRule="auto"/>
      </w:pPr>
      <w:r>
        <w:rPr>
          <w:rFonts w:ascii="Calibri" w:hAnsi="Calibri" w:cs="Calibri"/>
          <w:b/>
          <w:i w:val="0"/>
          <w:color w:val="0A4800"/>
          <w:sz w:val="22"/>
        </w:rPr>
        <w:t>Mécanisme :</w:t>
      </w:r>
      <w:r>
        <w:rPr>
          <w:rFonts w:ascii="Calibri" w:hAnsi="Calibri" w:cs="Calibri"/>
          <w:b w:val="0"/>
          <w:i w:val="0"/>
          <w:color w:val="1A3A00"/>
          <w:sz w:val="22"/>
        </w:rPr>
        <w:br/>
        <w:t>- EGREENCITY'S signe une convention d'occupation gratuite avec chaque commune</w:t>
        <w:br/>
        <w:t>- Subvention ADVENIR couvre 75,2 % du CAPEX matériel</w:t>
        <w:br/>
        <w:t>- Sessions facturées au consommateur final via app/badge/CB</w:t>
        <w:br/>
        <w:t>- Tarif : 0,45 EUR/kWh (tarif vert + premium opérateur)</w:t>
        <w:br/>
        <w:t>- Coût d'achat EDF SEI : ~ 0,18 EUR/kWh</w:t>
      </w:r>
    </w:p>
    <w:p>
      <w:pPr>
        <w:spacing w:after="120" w:line="312" w:lineRule="auto"/>
      </w:pPr>
      <w:r>
        <w:rPr>
          <w:rFonts w:ascii="Calibri" w:hAnsi="Calibri" w:cs="Calibri"/>
          <w:b/>
          <w:i w:val="0"/>
          <w:color w:val="0A4800"/>
          <w:sz w:val="22"/>
        </w:rPr>
        <w:t>Marge brute par session :</w:t>
      </w:r>
      <w:r>
        <w:rPr>
          <w:rFonts w:ascii="Calibri" w:hAnsi="Calibri" w:cs="Calibri"/>
          <w:b w:val="0"/>
          <w:i w:val="0"/>
          <w:color w:val="1A3A00"/>
          <w:sz w:val="22"/>
        </w:rPr>
        <w:br/>
        <w:t xml:space="preserve">Session moyenne 25 kWh -&gt; recette 11,25 EUR — coût énergie 4,50 EUR — coût supervision 1,80 EUR = </w:t>
      </w:r>
      <w:r>
        <w:rPr>
          <w:rFonts w:ascii="Calibri" w:hAnsi="Calibri" w:cs="Calibri"/>
          <w:b/>
          <w:i w:val="0"/>
          <w:color w:val="0A4800"/>
          <w:sz w:val="22"/>
        </w:rPr>
        <w:t>marge brute 4,95 EUR/session</w:t>
      </w:r>
    </w:p>
    <w:p>
      <w:pPr>
        <w:spacing w:after="120" w:line="312" w:lineRule="auto"/>
      </w:pPr>
      <w:r>
        <w:rPr>
          <w:rFonts w:ascii="Calibri" w:hAnsi="Calibri" w:cs="Calibri"/>
          <w:b w:val="0"/>
          <w:i w:val="0"/>
          <w:color w:val="1A3A00"/>
          <w:sz w:val="22"/>
        </w:rPr>
        <w:t xml:space="preserve">Avec une utilisation cible de 1 session/jour/PDC en An 3 (régime stable) -&gt; </w:t>
      </w:r>
      <w:r>
        <w:rPr>
          <w:rFonts w:ascii="Calibri" w:hAnsi="Calibri" w:cs="Calibri"/>
          <w:b/>
          <w:i w:val="0"/>
          <w:color w:val="0A4800"/>
          <w:sz w:val="22"/>
        </w:rPr>
        <w:t>1 800 EUR de marge brute/PDC/an</w:t>
      </w:r>
      <w:r>
        <w:rPr>
          <w:rFonts w:ascii="Calibri" w:hAnsi="Calibri" w:cs="Calibri"/>
          <w:b w:val="0"/>
          <w:i w:val="0"/>
          <w:color w:val="1A3A00"/>
          <w:sz w:val="22"/>
        </w:rPr>
        <w:t xml:space="preserve"> (sources sessions seules)</w:t>
      </w:r>
    </w:p>
    <w:p>
      <w:pPr>
        <w:spacing w:before="160" w:after="60"/>
      </w:pPr>
      <w:r>
        <w:rPr>
          <w:rFonts w:ascii="Calibri" w:hAnsi="Calibri" w:cs="Calibri"/>
          <w:b/>
          <w:i w:val="0"/>
          <w:color w:val="2B4DB5"/>
          <w:sz w:val="22"/>
        </w:rPr>
        <w:t>Source 2 — LOA Entreprises (B2B)</w:t>
      </w:r>
    </w:p>
    <w:p>
      <w:pPr>
        <w:spacing w:after="120" w:line="312" w:lineRule="auto"/>
      </w:pPr>
      <w:r>
        <w:rPr>
          <w:rFonts w:ascii="Calibri" w:hAnsi="Calibri" w:cs="Calibri"/>
          <w:b/>
          <w:i w:val="0"/>
          <w:color w:val="0A4800"/>
          <w:sz w:val="22"/>
        </w:rPr>
        <w:t>Mécanisme :</w:t>
      </w:r>
      <w:r>
        <w:rPr>
          <w:rFonts w:ascii="Calibri" w:hAnsi="Calibri" w:cs="Calibri"/>
          <w:b w:val="0"/>
          <w:i w:val="0"/>
          <w:color w:val="1A3A00"/>
          <w:sz w:val="22"/>
        </w:rPr>
        <w:br/>
        <w:t>- Contrat 72 mois minimum, loyer mensuel fixe</w:t>
        <w:br/>
        <w:t>- Travaux d'installation à charge du client (génie civil + raccordement)</w:t>
        <w:br/>
        <w:t>- Maintenance + supervision incluses</w:t>
        <w:br/>
        <w:t>- Option d'achat exerçable à partir de M48</w:t>
      </w:r>
    </w:p>
    <w:p>
      <w:pPr>
        <w:spacing w:after="120" w:line="312" w:lineRule="auto"/>
      </w:pPr>
      <w:r>
        <w:rPr>
          <w:rFonts w:ascii="Calibri" w:hAnsi="Calibri" w:cs="Calibri"/>
          <w:b/>
          <w:i w:val="0"/>
          <w:color w:val="0A4800"/>
          <w:sz w:val="22"/>
        </w:rPr>
        <w:t>Grille tarifaire :</w:t>
      </w:r>
    </w:p>
    <w:tbl>
      <w:tblPr>
        <w:tblW w:type="auto" w:w="0"/>
        <w:jc w:val="center"/>
        <w:tblLayout w:type="autofit"/>
        <w:tblLook w:firstColumn="1" w:firstRow="1" w:lastColumn="0" w:lastRow="0" w:noHBand="0" w:noVBand="1" w:val="04A0"/>
      </w:tblPr>
      <w:tblGrid>
        <w:gridCol w:w="3324"/>
        <w:gridCol w:w="3324"/>
        <w:gridCol w:w="3324"/>
      </w:tblGrid>
      <w:tr>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Modèle</w:t>
            </w:r>
          </w:p>
        </w:tc>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Loyer/mois HT/PDC</w:t>
            </w:r>
          </w:p>
        </w:tc>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Revenu 72 mois</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Starter (1×7 kW)</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89 EUR</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6 408 EUR</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Standard (1×22 kW)</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119 EUR</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8 568 EUR</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Pro (2×22 kW)</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139 EUR/PDC</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20 016 EUR (2 PDC)</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Premium (e-Premium 2×22 kW)</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169 EUR/PDC</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24 336 EUR (2 PDC)</w:t>
            </w:r>
          </w:p>
        </w:tc>
      </w:tr>
    </w:tbl>
    <w:p>
      <w:pPr>
        <w:spacing w:after="120" w:line="312" w:lineRule="auto"/>
      </w:pPr>
      <w:r>
        <w:rPr>
          <w:rFonts w:ascii="Calibri" w:hAnsi="Calibri" w:cs="Calibri"/>
          <w:b/>
          <w:i w:val="0"/>
          <w:color w:val="0A4800"/>
          <w:sz w:val="22"/>
        </w:rPr>
        <w:t>Marge nette par PDC LOA :</w:t>
      </w:r>
      <w:r>
        <w:rPr>
          <w:rFonts w:ascii="Calibri" w:hAnsi="Calibri" w:cs="Calibri"/>
          <w:b w:val="0"/>
          <w:i w:val="0"/>
          <w:color w:val="1A3A00"/>
          <w:sz w:val="22"/>
        </w:rPr>
        <w:br/>
        <w:t xml:space="preserve">Loyer moyen 130 EUR/mois × 12 = 1 560 EUR/an — coût matériel amorti 990 EUR/an — supervision 350 EUR = </w:t>
      </w:r>
      <w:r>
        <w:rPr>
          <w:rFonts w:ascii="Calibri" w:hAnsi="Calibri" w:cs="Calibri"/>
          <w:b/>
          <w:i w:val="0"/>
          <w:color w:val="0A4800"/>
          <w:sz w:val="22"/>
        </w:rPr>
        <w:t>220 EUR/PDC/an de marge LOA pure</w:t>
      </w:r>
      <w:r>
        <w:rPr>
          <w:rFonts w:ascii="Calibri" w:hAnsi="Calibri" w:cs="Calibri"/>
          <w:b w:val="0"/>
          <w:i w:val="0"/>
          <w:color w:val="1A3A00"/>
          <w:sz w:val="22"/>
        </w:rPr>
        <w:t>.</w:t>
        <w:br/>
        <w:t>+ Sessions B2C sur ces bornes (pay-as-you-go) si le client active l'option = +500 à 1 500 EUR/an.</w:t>
      </w:r>
    </w:p>
    <w:p>
      <w:pPr>
        <w:spacing w:before="160" w:after="60"/>
      </w:pPr>
      <w:r>
        <w:rPr>
          <w:rFonts w:ascii="Calibri" w:hAnsi="Calibri" w:cs="Calibri"/>
          <w:b/>
          <w:i w:val="0"/>
          <w:color w:val="2B4DB5"/>
          <w:sz w:val="22"/>
        </w:rPr>
        <w:t>Source 3 — Sessions B2C / pay-as-you-go</w:t>
      </w:r>
    </w:p>
    <w:p>
      <w:pPr>
        <w:spacing w:after="120" w:line="312" w:lineRule="auto"/>
      </w:pPr>
      <w:r>
        <w:rPr>
          <w:rFonts w:ascii="Calibri" w:hAnsi="Calibri" w:cs="Calibri"/>
          <w:b w:val="0"/>
          <w:i w:val="0"/>
          <w:color w:val="1A3A00"/>
          <w:sz w:val="22"/>
        </w:rPr>
        <w:t>Application mobile EGREENCITY'S permet à tout utilisateur (sans abonnement) de payer une recharge ponctuelle via QR code ou badge RFID. Système GIREVE = visibilité sur Chargemap, PlugShare, Waze, applications constructeurs Tesla/BYD/Renault.</w:t>
      </w:r>
    </w:p>
    <w:p>
      <w:pPr>
        <w:spacing w:after="120" w:line="312" w:lineRule="auto"/>
      </w:pPr>
      <w:r>
        <w:rPr>
          <w:rFonts w:ascii="Calibri" w:hAnsi="Calibri" w:cs="Calibri"/>
          <w:b/>
          <w:i w:val="0"/>
          <w:color w:val="0A4800"/>
          <w:sz w:val="22"/>
        </w:rPr>
        <w:t>Tarification :</w:t>
      </w:r>
      <w:r>
        <w:rPr>
          <w:rFonts w:ascii="Calibri" w:hAnsi="Calibri" w:cs="Calibri"/>
          <w:b w:val="0"/>
          <w:i w:val="0"/>
          <w:color w:val="1A3A00"/>
          <w:sz w:val="22"/>
        </w:rPr>
        <w:br/>
        <w:t>- Recharge AC 7-22 kW : 0,45 EUR/kWh</w:t>
        <w:br/>
        <w:t>- Frais de connexion : 0,50 EUR/session</w:t>
        <w:br/>
        <w:t>- Premium : recharge réservée 2,50 EUR/heure si véhicule reste branché après fin de charge</w:t>
      </w:r>
    </w:p>
    <w:p>
      <w:pPr>
        <w:spacing w:before="200" w:after="80"/>
      </w:pPr>
      <w:r>
        <w:rPr>
          <w:rFonts w:ascii="Calibri" w:hAnsi="Calibri" w:cs="Calibri"/>
          <w:b/>
          <w:i w:val="0"/>
          <w:color w:val="0A4800"/>
          <w:sz w:val="24"/>
        </w:rPr>
        <w:t>4.2 Synergies entre les 3 sources</w:t>
      </w:r>
    </w:p>
    <w:p>
      <w:pPr>
        <w:spacing w:after="120" w:line="312" w:lineRule="auto"/>
      </w:pPr>
      <w:r>
        <w:rPr>
          <w:rFonts w:ascii="Calibri" w:hAnsi="Calibri" w:cs="Calibri"/>
          <w:b w:val="0"/>
          <w:i w:val="0"/>
          <w:color w:val="1A3A00"/>
          <w:sz w:val="22"/>
        </w:rPr>
        <w:t xml:space="preserve">Une borne installée </w:t>
      </w:r>
      <w:r>
        <w:rPr>
          <w:rFonts w:ascii="Calibri" w:hAnsi="Calibri" w:cs="Calibri"/>
          <w:b/>
          <w:i w:val="0"/>
          <w:color w:val="0A4800"/>
          <w:sz w:val="22"/>
        </w:rPr>
        <w:t>génère 3 flux de revenus simultanés</w:t>
      </w:r>
      <w:r>
        <w:rPr>
          <w:rFonts w:ascii="Calibri" w:hAnsi="Calibri" w:cs="Calibri"/>
          <w:b w:val="0"/>
          <w:i w:val="0"/>
          <w:color w:val="1A3A00"/>
          <w:sz w:val="22"/>
        </w:rPr>
        <w:t xml:space="preserve"> :</w:t>
        <w:br/>
        <w:t>1. Loyer LOA (B2B) si propriétaire entreprise</w:t>
        <w:br/>
        <w:t>2. Sessions de recharge B2C des utilisateurs externes</w:t>
        <w:br/>
        <w:t>3. Affichage publicitaire (écran 10 pouces optionnel) — partenariats à venir avec annonceurs locaux</w:t>
      </w:r>
    </w:p>
    <w:p>
      <w:pPr>
        <w:spacing w:after="120" w:line="312" w:lineRule="auto"/>
      </w:pPr>
      <w:r>
        <w:rPr>
          <w:rFonts w:ascii="Calibri" w:hAnsi="Calibri" w:cs="Calibri"/>
          <w:b w:val="0"/>
          <w:i w:val="0"/>
          <w:color w:val="1A3A00"/>
          <w:sz w:val="22"/>
        </w:rPr>
        <w:t xml:space="preserve">Cette mutualisation augmente le ROI par borne de </w:t>
      </w:r>
      <w:r>
        <w:rPr>
          <w:rFonts w:ascii="Calibri" w:hAnsi="Calibri" w:cs="Calibri"/>
          <w:b/>
          <w:i w:val="0"/>
          <w:color w:val="0A4800"/>
          <w:sz w:val="22"/>
        </w:rPr>
        <w:t>30 à 45 %</w:t>
      </w:r>
      <w:r>
        <w:rPr>
          <w:rFonts w:ascii="Calibri" w:hAnsi="Calibri" w:cs="Calibri"/>
          <w:b w:val="0"/>
          <w:i w:val="0"/>
          <w:color w:val="1A3A00"/>
          <w:sz w:val="22"/>
        </w:rPr>
        <w:t>.</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5. Stratégie commerciale et opérationnelle</w:t>
      </w:r>
    </w:p>
    <w:p>
      <w:pPr>
        <w:spacing w:before="200" w:after="80"/>
      </w:pPr>
      <w:r>
        <w:rPr>
          <w:rFonts w:ascii="Calibri" w:hAnsi="Calibri" w:cs="Calibri"/>
          <w:b/>
          <w:i w:val="0"/>
          <w:color w:val="0A4800"/>
          <w:sz w:val="24"/>
        </w:rPr>
        <w:t>Plan de déploiement global — 20 PDC initial puis +10 PDC/an</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Année</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PDC publics</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PDC LOA</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DC fast (50 kW)</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Total cumul</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CAPEX annuel HT</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An 1 (2026)</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20 (ADVENIR)</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20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 130 k€ (Seed 300 k€)</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An 2 (2027)</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30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50 k€ (autofinancé)</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An 3 (2028)</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40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 60 k€ (autofinancé + Série A 200k)</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An 4 (2029)</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26</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 (= 2 stations)</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130 k€ (cash flow)</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An 5 (2030)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32</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 (= 4 stations)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60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 135 k€ (cash flow)</w:t>
            </w:r>
          </w:p>
        </w:tc>
      </w:tr>
    </w:tbl>
    <w:p>
      <w:pPr>
        <w:spacing w:before="120" w:after="120" w:line="312" w:lineRule="auto"/>
        <w:ind w:left="283"/>
        <w:pBdr>
          <w:left w:val="single" w:sz="24" w:space="8" w:color="2B4DB5"/>
        </w:pBdr>
        <w:shd w:val="clear" w:fill="F0F3FB"/>
      </w:pPr>
      <w:r>
        <w:rPr>
          <w:rFonts w:ascii="Calibri" w:hAnsi="Calibri" w:cs="Calibri"/>
          <w:b w:val="0"/>
          <w:i/>
          <w:color w:val="1A3A00"/>
          <w:sz w:val="20"/>
        </w:rPr>
        <w:t>Logique : les 20 PDC initiaux constituent le maillage ADVENIR voirie publique sur les 8 communes prioritaires (10 bornes 2x22 kW). Les +10 PDC/an ensuite sont essentiellement des PDC LOA (5 nouvelles bornes/an) générant un revenu locatif fixe. À partir de l' An 4 , nous ajoutons des stations DC fast (50 kW) sur les axes structurants (Cayenne, Kourou) — boost important du revenu unitaire.</w:t>
      </w:r>
    </w:p>
    <w:p>
      <w:pPr>
        <w:spacing w:before="200" w:after="80"/>
      </w:pPr>
      <w:r>
        <w:rPr>
          <w:rFonts w:ascii="Calibri" w:hAnsi="Calibri" w:cs="Calibri"/>
          <w:b/>
          <w:i w:val="0"/>
          <w:color w:val="0A4800"/>
          <w:sz w:val="24"/>
        </w:rPr>
        <w:t>5.1 Phase 1 — Ancrage et lancement (T+0 à T+12 mois)</w:t>
      </w:r>
    </w:p>
    <w:p>
      <w:pPr>
        <w:spacing w:after="120" w:line="312" w:lineRule="auto"/>
      </w:pPr>
      <w:r>
        <w:rPr>
          <w:rFonts w:ascii="Calibri" w:hAnsi="Calibri" w:cs="Calibri"/>
          <w:b/>
          <w:i w:val="0"/>
          <w:color w:val="0A4800"/>
          <w:sz w:val="22"/>
        </w:rPr>
        <w:t>Objectifs :</w:t>
      </w:r>
      <w:r>
        <w:rPr>
          <w:rFonts w:ascii="Calibri" w:hAnsi="Calibri" w:cs="Calibri"/>
          <w:b w:val="0"/>
          <w:i w:val="0"/>
          <w:color w:val="1A3A00"/>
          <w:sz w:val="22"/>
        </w:rPr>
        <w:br/>
        <w:t xml:space="preserve">- </w:t>
      </w:r>
      <w:r>
        <w:rPr>
          <w:rFonts w:ascii="Calibri" w:hAnsi="Calibri" w:cs="Calibri"/>
          <w:b/>
          <w:i w:val="0"/>
          <w:color w:val="0A4800"/>
          <w:sz w:val="22"/>
        </w:rPr>
        <w:t>20 PDC voirie publique</w:t>
      </w:r>
      <w:r>
        <w:rPr>
          <w:rFonts w:ascii="Calibri" w:hAnsi="Calibri" w:cs="Calibri"/>
          <w:b w:val="0"/>
          <w:i w:val="0"/>
          <w:color w:val="1A3A00"/>
          <w:sz w:val="22"/>
        </w:rPr>
        <w:t xml:space="preserve"> installés (10 bornes ADVENIR sur 8 communes)</w:t>
        <w:br/>
        <w:t>- 5 conventions de domaine public signées</w:t>
        <w:br/>
        <w:t>- 2 000 sessions de recharge effectuées année 1</w:t>
        <w:br/>
        <w:t>- Application mobile en production (version simple)</w:t>
        <w:br/>
        <w:t>- 100-150 utilisateurs actifs sur l'application</w:t>
        <w:br/>
        <w:t>- Premiers contacts LOA entreprises pour signature An 2</w:t>
      </w:r>
    </w:p>
    <w:p>
      <w:pPr>
        <w:spacing w:after="120" w:line="312" w:lineRule="auto"/>
      </w:pPr>
      <w:r>
        <w:rPr>
          <w:rFonts w:ascii="Calibri" w:hAnsi="Calibri" w:cs="Calibri"/>
          <w:b/>
          <w:i w:val="0"/>
          <w:color w:val="0A4800"/>
          <w:sz w:val="22"/>
        </w:rPr>
        <w:t>Actions clés :</w:t>
      </w:r>
      <w:r>
        <w:rPr>
          <w:rFonts w:ascii="Calibri" w:hAnsi="Calibri" w:cs="Calibri"/>
          <w:b w:val="0"/>
          <w:i w:val="0"/>
          <w:color w:val="1A3A00"/>
          <w:sz w:val="22"/>
        </w:rPr>
        <w:br/>
        <w:t>1. Signature des 8 conventions de domaine public communes (T+1 à T+3)</w:t>
        <w:br/>
        <w:t>2. Travaux génie civil et installations 10 bornes (T+2 à T+8)</w:t>
        <w:br/>
        <w:t>3. Mises en service progressives (T+5 à T+10)</w:t>
        <w:br/>
        <w:t>4. Campagne presse locale (Guyane 1ère, France-Antilles, Une Saison en Guyane)</w:t>
        <w:br/>
        <w:t>5. Préparation tournée commerciale 49 cibles entreprises pour LOA An 2</w:t>
      </w:r>
    </w:p>
    <w:p>
      <w:pPr>
        <w:spacing w:before="200" w:after="80"/>
      </w:pPr>
      <w:r>
        <w:rPr>
          <w:rFonts w:ascii="Calibri" w:hAnsi="Calibri" w:cs="Calibri"/>
          <w:b/>
          <w:i w:val="0"/>
          <w:color w:val="0A4800"/>
          <w:sz w:val="24"/>
        </w:rPr>
        <w:t>5.2 Phase 2 — Premiers LOA et densification (An 2-3, T+12 à T+36 mois)</w:t>
      </w:r>
    </w:p>
    <w:p>
      <w:pPr>
        <w:spacing w:after="120" w:line="312" w:lineRule="auto"/>
      </w:pPr>
      <w:r>
        <w:rPr>
          <w:rFonts w:ascii="Calibri" w:hAnsi="Calibri" w:cs="Calibri"/>
          <w:b/>
          <w:i w:val="0"/>
          <w:color w:val="0A4800"/>
          <w:sz w:val="22"/>
        </w:rPr>
        <w:t>Objectifs :</w:t>
      </w:r>
      <w:r>
        <w:rPr>
          <w:rFonts w:ascii="Calibri" w:hAnsi="Calibri" w:cs="Calibri"/>
          <w:b w:val="0"/>
          <w:i w:val="0"/>
          <w:color w:val="1A3A00"/>
          <w:sz w:val="22"/>
        </w:rPr>
        <w:br/>
        <w:t>- 20 PDC voirie publique en régime stable</w:t>
        <w:br/>
        <w:t>- 20 PDC LOA actifs (cumul An 3) — soit 10 bornes LOA</w:t>
        <w:br/>
        <w:t>- Préparation Série A optionnelle (200 k€) An 3 — crédit-bail bornes</w:t>
        <w:br/>
        <w:t>- Premiers revenus de sponsoring publicitaire (Sara, Total)</w:t>
      </w:r>
    </w:p>
    <w:p>
      <w:pPr>
        <w:spacing w:after="120" w:line="312" w:lineRule="auto"/>
      </w:pPr>
      <w:r>
        <w:rPr>
          <w:rFonts w:ascii="Calibri" w:hAnsi="Calibri" w:cs="Calibri"/>
          <w:b/>
          <w:i w:val="0"/>
          <w:color w:val="0A4800"/>
          <w:sz w:val="22"/>
        </w:rPr>
        <w:t>Actions clés :</w:t>
      </w:r>
      <w:r>
        <w:rPr>
          <w:rFonts w:ascii="Calibri" w:hAnsi="Calibri" w:cs="Calibri"/>
          <w:b w:val="0"/>
          <w:i w:val="0"/>
          <w:color w:val="1A3A00"/>
          <w:sz w:val="22"/>
        </w:rPr>
        <w:br/>
        <w:t>1. Recrutement responsable commercial dédié (T+24 mois)</w:t>
        <w:br/>
        <w:t>2. Tournée commerciale entreprises (49 cibles) -&gt; 5 contrats LOA/an</w:t>
        <w:br/>
        <w:t>3. Partenariats sponsoring pour habillage bornes</w:t>
        <w:br/>
        <w:t>4. Étude faisabilité DC fast — sélection 1er site (Cayenne ou Kourou)</w:t>
        <w:br/>
        <w:t>5. Premier audit Avere-France</w:t>
      </w:r>
    </w:p>
    <w:p>
      <w:pPr>
        <w:spacing w:before="200" w:after="80"/>
      </w:pPr>
      <w:r>
        <w:rPr>
          <w:rFonts w:ascii="Calibri" w:hAnsi="Calibri" w:cs="Calibri"/>
          <w:b/>
          <w:i w:val="0"/>
          <w:color w:val="0A4800"/>
          <w:sz w:val="24"/>
        </w:rPr>
        <w:t>5.3 Phase 3 — DC fast et premiers signaux Antilles (An 4-5, T+36 à T+60 mois)</w:t>
      </w:r>
    </w:p>
    <w:p>
      <w:pPr>
        <w:spacing w:after="120" w:line="312" w:lineRule="auto"/>
      </w:pPr>
      <w:r>
        <w:rPr>
          <w:rFonts w:ascii="Calibri" w:hAnsi="Calibri" w:cs="Calibri"/>
          <w:b/>
          <w:i w:val="0"/>
          <w:color w:val="0A4800"/>
          <w:sz w:val="22"/>
        </w:rPr>
        <w:t>Objectifs :</w:t>
      </w:r>
      <w:r>
        <w:rPr>
          <w:rFonts w:ascii="Calibri" w:hAnsi="Calibri" w:cs="Calibri"/>
          <w:b w:val="0"/>
          <w:i w:val="0"/>
          <w:color w:val="1A3A00"/>
          <w:sz w:val="22"/>
        </w:rPr>
        <w:br/>
        <w:t>- 20 PDC voirie publique stables</w:t>
        <w:br/>
        <w:t>- 32 PDC LOA actifs (cumul An 5) — 16 bornes LOA</w:t>
        <w:br/>
        <w:t xml:space="preserve">- </w:t>
      </w:r>
      <w:r>
        <w:rPr>
          <w:rFonts w:ascii="Calibri" w:hAnsi="Calibri" w:cs="Calibri"/>
          <w:b/>
          <w:i w:val="0"/>
          <w:color w:val="0A4800"/>
          <w:sz w:val="22"/>
        </w:rPr>
        <w:t>4 stations DC fast</w:t>
      </w:r>
      <w:r>
        <w:rPr>
          <w:rFonts w:ascii="Calibri" w:hAnsi="Calibri" w:cs="Calibri"/>
          <w:b w:val="0"/>
          <w:i w:val="0"/>
          <w:color w:val="1A3A00"/>
          <w:sz w:val="22"/>
        </w:rPr>
        <w:t xml:space="preserve"> opérationnelles (8 PDC) sur Cayenne, Kourou, Saint-Laurent</w:t>
        <w:br/>
        <w:t>- Étude pré-implantation Antilles (Martinique ou Guadeloupe)</w:t>
        <w:br/>
        <w:t>- EBITDA An 5 : 90 k€ — Marge 21 %</w:t>
      </w:r>
    </w:p>
    <w:p>
      <w:pPr>
        <w:spacing w:after="120" w:line="312" w:lineRule="auto"/>
      </w:pPr>
      <w:r>
        <w:rPr>
          <w:rFonts w:ascii="Calibri" w:hAnsi="Calibri" w:cs="Calibri"/>
          <w:b/>
          <w:i w:val="0"/>
          <w:color w:val="0A4800"/>
          <w:sz w:val="22"/>
        </w:rPr>
        <w:t>Actions clés :</w:t>
      </w:r>
      <w:r>
        <w:rPr>
          <w:rFonts w:ascii="Calibri" w:hAnsi="Calibri" w:cs="Calibri"/>
          <w:b w:val="0"/>
          <w:i w:val="0"/>
          <w:color w:val="1A3A00"/>
          <w:sz w:val="22"/>
        </w:rPr>
        <w:br/>
        <w:t>1. Levée Série A (2 M EUR) en An 3</w:t>
        <w:br/>
        <w:t>2. Recrutement direction technique + RAF temps plein</w:t>
        <w:br/>
        <w:t>3. Étude marché Antilles + due diligence partenaire local</w:t>
        <w:br/>
        <w:t>4. Discussions stratégiques avec 1 ou 2 acteurs nationaux (premier signal de sortie)</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6. Plan opérationnel et achats</w:t>
      </w:r>
    </w:p>
    <w:p>
      <w:pPr>
        <w:spacing w:before="200" w:after="80"/>
      </w:pPr>
      <w:r>
        <w:rPr>
          <w:rFonts w:ascii="Calibri" w:hAnsi="Calibri" w:cs="Calibri"/>
          <w:b/>
          <w:i w:val="0"/>
          <w:color w:val="0A4800"/>
          <w:sz w:val="24"/>
        </w:rPr>
        <w:t>6.1 Sélection du fournisseur principal — E-TOTEM</w:t>
      </w:r>
    </w:p>
    <w:p>
      <w:pPr>
        <w:spacing w:after="120" w:line="312" w:lineRule="auto"/>
      </w:pPr>
      <w:r>
        <w:rPr>
          <w:rFonts w:ascii="Calibri" w:hAnsi="Calibri" w:cs="Calibri"/>
          <w:b/>
          <w:i w:val="0"/>
          <w:color w:val="0A4800"/>
          <w:sz w:val="22"/>
        </w:rPr>
        <w:t>Pourquoi E-TOTEM ?</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Critère</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E-TOTEM</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Concurrent A (Schneider)</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Concurrent B (Hager)</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Origine</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France (Saint-Étienne)</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France/Allemagne</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Allemagne</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Conforme outre-mer climat tropical</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Oui (peinture humide)</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Non standard</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Non standard</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Prix borne 2x22 kW</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4 948 EUR</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6 200 EUR</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5 800 EUR</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Délai livraison DROM</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 semaines</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14 semaines</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 semaines</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SAV en métropole</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Inclus 5 ans</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Optionnel</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Optionnel</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Compatible OCPP 1.6J</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Oui</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Oui</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Oui</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Personnalisation logo client</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Oui</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Limitée</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Non</w:t>
            </w:r>
          </w:p>
        </w:tc>
      </w:tr>
    </w:tbl>
    <w:p>
      <w:pPr>
        <w:spacing w:after="120" w:line="312" w:lineRule="auto"/>
      </w:pPr>
      <w:r>
        <w:rPr>
          <w:rFonts w:ascii="Calibri" w:hAnsi="Calibri" w:cs="Calibri"/>
          <w:b/>
          <w:i w:val="0"/>
          <w:color w:val="0A4800"/>
          <w:sz w:val="22"/>
        </w:rPr>
        <w:t>Devis signé</w:t>
      </w:r>
      <w:r>
        <w:rPr>
          <w:rFonts w:ascii="Calibri" w:hAnsi="Calibri" w:cs="Calibri"/>
          <w:b w:val="0"/>
          <w:i w:val="0"/>
          <w:color w:val="1A3A00"/>
          <w:sz w:val="22"/>
        </w:rPr>
        <w:t xml:space="preserve"> : DEV26000037 du 30/04/2026.</w:t>
      </w:r>
    </w:p>
    <w:p>
      <w:pPr>
        <w:spacing w:before="200" w:after="80"/>
      </w:pPr>
      <w:r>
        <w:rPr>
          <w:rFonts w:ascii="Calibri" w:hAnsi="Calibri" w:cs="Calibri"/>
          <w:b/>
          <w:i w:val="0"/>
          <w:color w:val="0A4800"/>
          <w:sz w:val="24"/>
        </w:rPr>
        <w:t>6.2 Autres fournisseurs et partenaires</w:t>
      </w:r>
    </w:p>
    <w:tbl>
      <w:tblPr>
        <w:tblW w:type="auto" w:w="0"/>
        <w:jc w:val="center"/>
        <w:tblLayout w:type="autofit"/>
        <w:tblLook w:firstColumn="1" w:firstRow="1" w:lastColumn="0" w:lastRow="0" w:noHBand="0" w:noVBand="1" w:val="04A0"/>
      </w:tblPr>
      <w:tblGrid>
        <w:gridCol w:w="3324"/>
        <w:gridCol w:w="3324"/>
        <w:gridCol w:w="3324"/>
      </w:tblGrid>
      <w:tr>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Partenaire</w:t>
            </w:r>
          </w:p>
        </w:tc>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Rôle</w:t>
            </w:r>
          </w:p>
        </w:tc>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Engagement</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EDF SEI</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Fourniture électrique BT et raccordements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Conventions site par site</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GIREVE</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Hub d'interopérabilité OCPP/CSMS</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Abonnement annuel ~ 8 000 EUR</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AVERE-France</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Programme ADVENIR</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Convention de subvention 5 ans</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AFNOR</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Certification IRVE Qualifelec</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Formation techniciens</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Cabinet juridique local</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Contrats domaine public, LOA</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Convention de service</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Expert-comptable Guyane</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Bilans, fiscalité DOM</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Honoraires annuels</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Banque BRED Guyane</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Compte professionnel + crédit-bail bornes phase 2</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Relation établie</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Annonceurs locaux</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Sponsoring habillage bornes</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Contrats de partenariat à venir</w:t>
            </w:r>
          </w:p>
        </w:tc>
      </w:tr>
    </w:tbl>
    <w:p>
      <w:pPr>
        <w:spacing w:before="200" w:after="80"/>
      </w:pPr>
      <w:r>
        <w:rPr>
          <w:rFonts w:ascii="Calibri" w:hAnsi="Calibri" w:cs="Calibri"/>
          <w:b/>
          <w:i w:val="0"/>
          <w:color w:val="0A4800"/>
          <w:sz w:val="24"/>
        </w:rPr>
        <w:t>6.3 Maintenance et exploitation</w:t>
      </w:r>
    </w:p>
    <w:p>
      <w:pPr>
        <w:spacing w:after="120" w:line="312" w:lineRule="auto"/>
      </w:pPr>
      <w:r>
        <w:rPr>
          <w:rFonts w:ascii="Calibri" w:hAnsi="Calibri" w:cs="Calibri"/>
          <w:b/>
          <w:i w:val="0"/>
          <w:color w:val="0A4800"/>
          <w:sz w:val="22"/>
        </w:rPr>
        <w:t>Modèle de maintenance :</w:t>
      </w:r>
      <w:r>
        <w:rPr>
          <w:rFonts w:ascii="Calibri" w:hAnsi="Calibri" w:cs="Calibri"/>
          <w:b w:val="0"/>
          <w:i w:val="0"/>
          <w:color w:val="1A3A00"/>
          <w:sz w:val="22"/>
        </w:rPr>
        <w:br/>
        <w:t>- Visite préventive annuelle par technicien IRVE Qualifelec interne</w:t>
        <w:br/>
        <w:t>- Téléassistance 5j/7 (8h-18h)</w:t>
        <w:br/>
        <w:t>- Intervention curative sous 5 jours ouvrés (engagement contractuel)</w:t>
        <w:br/>
        <w:t>- Pièces de rechange : stocks tampon à Macouria (sièges sociaux + logistique CSG)</w:t>
        <w:br/>
        <w:t>- Plan de formation annuel des techniciens (mise à jour normes, nouvelles bornes)</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7. Stratégie marketing et communication</w:t>
      </w:r>
    </w:p>
    <w:p>
      <w:pPr>
        <w:spacing w:before="200" w:after="80"/>
      </w:pPr>
      <w:r>
        <w:rPr>
          <w:rFonts w:ascii="Calibri" w:hAnsi="Calibri" w:cs="Calibri"/>
          <w:b/>
          <w:i w:val="0"/>
          <w:color w:val="0A4800"/>
          <w:sz w:val="24"/>
        </w:rPr>
        <w:t>7.1 Branding et identité</w:t>
      </w:r>
    </w:p>
    <w:p>
      <w:pPr>
        <w:pStyle w:val="ListBullet"/>
        <w:spacing w:after="40" w:line="288" w:lineRule="auto"/>
      </w:pPr>
      <w:r>
        <w:rPr>
          <w:rFonts w:ascii="Calibri" w:hAnsi="Calibri" w:cs="Calibri"/>
          <w:b w:val="0"/>
          <w:i w:val="0"/>
          <w:color w:val="1A3A00"/>
          <w:sz w:val="22"/>
        </w:rPr>
        <w:t>Nom : EGREENCITY'S (déposé)</w:t>
      </w:r>
    </w:p>
    <w:p>
      <w:pPr>
        <w:pStyle w:val="ListBullet"/>
        <w:spacing w:after="40" w:line="288" w:lineRule="auto"/>
      </w:pPr>
      <w:r>
        <w:rPr>
          <w:rFonts w:ascii="Calibri" w:hAnsi="Calibri" w:cs="Calibri"/>
          <w:b w:val="0"/>
          <w:i w:val="0"/>
          <w:color w:val="1A3A00"/>
          <w:sz w:val="22"/>
        </w:rPr>
        <w:t>Logo : Vert vif sur fond clair (déposé INPI)</w:t>
      </w:r>
    </w:p>
    <w:p>
      <w:pPr>
        <w:pStyle w:val="ListBullet"/>
        <w:spacing w:after="40" w:line="288" w:lineRule="auto"/>
      </w:pPr>
      <w:r>
        <w:rPr>
          <w:rFonts w:ascii="Calibri" w:hAnsi="Calibri" w:cs="Calibri"/>
          <w:b w:val="0"/>
          <w:i w:val="0"/>
          <w:color w:val="1A3A00"/>
          <w:sz w:val="22"/>
        </w:rPr>
        <w:t>Couleurs : vert foncé (#0A4800) + vert vif (#33CC00) + bleu (#2B4DB5)</w:t>
      </w:r>
    </w:p>
    <w:p>
      <w:pPr>
        <w:pStyle w:val="ListBullet"/>
        <w:spacing w:after="40" w:line="288" w:lineRule="auto"/>
      </w:pPr>
      <w:r>
        <w:rPr>
          <w:rFonts w:ascii="Calibri" w:hAnsi="Calibri" w:cs="Calibri"/>
          <w:b w:val="0"/>
          <w:i w:val="0"/>
          <w:color w:val="1A3A00"/>
          <w:sz w:val="22"/>
        </w:rPr>
        <w:t>Slogan : « Bornes de recharge électrique en Guyane »</w:t>
      </w:r>
    </w:p>
    <w:p>
      <w:pPr>
        <w:pStyle w:val="ListBullet"/>
        <w:spacing w:after="40" w:line="288" w:lineRule="auto"/>
      </w:pPr>
      <w:r>
        <w:rPr>
          <w:rFonts w:ascii="Calibri" w:hAnsi="Calibri" w:cs="Calibri"/>
          <w:b w:val="0"/>
          <w:i w:val="0"/>
          <w:color w:val="1A3A00"/>
          <w:sz w:val="22"/>
        </w:rPr>
        <w:t>Site web : egreencitys.com (en ligne)</w:t>
      </w:r>
    </w:p>
    <w:p>
      <w:pPr>
        <w:spacing w:before="200" w:after="80"/>
      </w:pPr>
      <w:r>
        <w:rPr>
          <w:rFonts w:ascii="Calibri" w:hAnsi="Calibri" w:cs="Calibri"/>
          <w:b/>
          <w:i w:val="0"/>
          <w:color w:val="0A4800"/>
          <w:sz w:val="24"/>
        </w:rPr>
        <w:t>7.2 Canaux de communication</w:t>
      </w:r>
    </w:p>
    <w:p>
      <w:pPr>
        <w:spacing w:after="120" w:line="312" w:lineRule="auto"/>
      </w:pPr>
      <w:r>
        <w:rPr>
          <w:rFonts w:ascii="Calibri" w:hAnsi="Calibri" w:cs="Calibri"/>
          <w:b/>
          <w:i w:val="0"/>
          <w:color w:val="0A4800"/>
          <w:sz w:val="22"/>
        </w:rPr>
        <w:t>Communication institutionnelle (B2G)</w:t>
      </w:r>
      <w:r>
        <w:rPr>
          <w:rFonts w:ascii="Calibri" w:hAnsi="Calibri" w:cs="Calibri"/>
          <w:b w:val="0"/>
          <w:i w:val="0"/>
          <w:color w:val="1A3A00"/>
          <w:sz w:val="22"/>
        </w:rPr>
        <w:br/>
        <w:t>- Courriers LRAR formels aux 8 maires cibles</w:t>
        <w:br/>
        <w:t>- Présence Salons MEDEF Guyane, CCI Guyane</w:t>
        <w:br/>
        <w:t>- Articles presse Guyane 1ère, France-Antilles</w:t>
        <w:br/>
        <w:t>- Présentation lors des conseils municipaux (à la demande)</w:t>
      </w:r>
    </w:p>
    <w:p>
      <w:pPr>
        <w:spacing w:after="120" w:line="312" w:lineRule="auto"/>
      </w:pPr>
      <w:r>
        <w:rPr>
          <w:rFonts w:ascii="Calibri" w:hAnsi="Calibri" w:cs="Calibri"/>
          <w:b/>
          <w:i w:val="0"/>
          <w:color w:val="0A4800"/>
          <w:sz w:val="22"/>
        </w:rPr>
        <w:t>Communication B2B</w:t>
      </w:r>
      <w:r>
        <w:rPr>
          <w:rFonts w:ascii="Calibri" w:hAnsi="Calibri" w:cs="Calibri"/>
          <w:b w:val="0"/>
          <w:i w:val="0"/>
          <w:color w:val="1A3A00"/>
          <w:sz w:val="22"/>
        </w:rPr>
        <w:br/>
        <w:t>- 49 cibles entreprises — emails personnalisés + dossier commercial</w:t>
        <w:br/>
        <w:t>- Relance téléphonique systématique J+15</w:t>
        <w:br/>
        <w:t>- Visites de sites avec démonstration matériel</w:t>
        <w:br/>
        <w:t>- Partenariat avec la CCI Guyane pour matinées découverte VE</w:t>
      </w:r>
    </w:p>
    <w:p>
      <w:pPr>
        <w:spacing w:after="120" w:line="312" w:lineRule="auto"/>
      </w:pPr>
      <w:r>
        <w:rPr>
          <w:rFonts w:ascii="Calibri" w:hAnsi="Calibri" w:cs="Calibri"/>
          <w:b/>
          <w:i w:val="0"/>
          <w:color w:val="0A4800"/>
          <w:sz w:val="22"/>
        </w:rPr>
        <w:t>Communication B2C / utilisateurs finaux</w:t>
      </w:r>
      <w:r>
        <w:rPr>
          <w:rFonts w:ascii="Calibri" w:hAnsi="Calibri" w:cs="Calibri"/>
          <w:b w:val="0"/>
          <w:i w:val="0"/>
          <w:color w:val="1A3A00"/>
          <w:sz w:val="22"/>
        </w:rPr>
        <w:br/>
        <w:t>- Application mobile EGREENCITY'S (iOS + Android)</w:t>
        <w:br/>
        <w:t>- Page Facebook EGREENCITY'S Guyane (5 000 abonnés cible An 1)</w:t>
        <w:br/>
        <w:t>- Compte Instagram (storytelling installations)</w:t>
        <w:br/>
        <w:t>- Newsletter mensuelle utilisateurs</w:t>
        <w:br/>
        <w:t>- Partenariats Influenceurs locaux Guyane (3 contrats prévus)</w:t>
      </w:r>
    </w:p>
    <w:p>
      <w:pPr>
        <w:spacing w:before="200" w:after="80"/>
      </w:pPr>
      <w:r>
        <w:rPr>
          <w:rFonts w:ascii="Calibri" w:hAnsi="Calibri" w:cs="Calibri"/>
          <w:b/>
          <w:i w:val="0"/>
          <w:color w:val="0A4800"/>
          <w:sz w:val="24"/>
        </w:rPr>
        <w:t>7.3 Budget marketing An 1</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Poste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Budget</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Site web (déjà en ligne)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Application mobile (développement initial)</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25 000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Plaquettes commerciales et impressions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5 000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Salons et événements (3 événements)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12 000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Publicité digitale (Facebook, Google Local)</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20 000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Presse et relations publiques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15 000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Goodies et merchandising (badges RFID, casquettes)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8 000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Influenceurs locaux</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15 000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Vidéos institutionnelles (3 vidéos)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12 000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Photographe événements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8 000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TOTAL An 1</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120 000 EUR</w:t>
            </w:r>
          </w:p>
        </w:tc>
      </w:tr>
    </w:tbl>
    <w:p>
      <w:pPr>
        <w:pBdr>
          <w:bottom w:val="single" w:sz="8" w:space="1" w:color="33CC00"/>
        </w:pBdr>
      </w:pPr>
    </w:p>
    <w:p>
      <w:pPr>
        <w:spacing w:before="280" w:after="120"/>
        <w:pBdr>
          <w:bottom w:val="single" w:sz="12" w:space="1" w:color="33CC00"/>
        </w:pBdr>
      </w:pPr>
      <w:r>
        <w:rPr>
          <w:rFonts w:ascii="Calibri" w:hAnsi="Calibri" w:cs="Calibri"/>
          <w:b/>
          <w:i w:val="0"/>
          <w:color w:val="0A4800"/>
          <w:sz w:val="28"/>
        </w:rPr>
        <w:t>8. Plan financier détaillé</w:t>
      </w:r>
    </w:p>
    <w:p>
      <w:pPr>
        <w:spacing w:before="200" w:after="80"/>
      </w:pPr>
      <w:r>
        <w:rPr>
          <w:rFonts w:ascii="Calibri" w:hAnsi="Calibri" w:cs="Calibri"/>
          <w:b/>
          <w:i w:val="0"/>
          <w:color w:val="0A4800"/>
          <w:sz w:val="24"/>
        </w:rPr>
        <w:t>8.1 Compte de résultat prévisionnel — Scénario médian (k EUR)</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Poste</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1</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2</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3</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4</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5</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Revenus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Sessions voirie publique (20 PDC publics)</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140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200</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Loyers LOA (0 -&gt; 32 PDC cumul)</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16</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75</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Sessions sur bornes LOA</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40</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Sessions DC fast (4 PDC An 4 + 8 An 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80</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Subvention ADVENIR (étalée 5 ans)</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7</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7</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7</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7</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7</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Sponsoring / publicité bornes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12</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40</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Conseil et études</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30</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Autres (badges, formation, divers)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18</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14</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-17</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-42</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TOTAL Revenus</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35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85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170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290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430</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Charges opérationnelles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Achats énergie (EDF SEI)</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14</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60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100</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Achats matériel (CAPEX étalé sur 7 ans)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110</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Maintenance et supervision</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18</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28</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40</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Salaires et charges (3 -&gt; 6 ETP)</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70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135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175</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Marketing et commercial</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40</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Loyers locaux et frais bureau</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12</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14</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16</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Honoraires (juridique, compta)</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14</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18</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22</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Assurances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7</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14</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Télécoms et SI</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6</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11</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14</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Formation et déplacements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7</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12</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15</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Frais bancaires</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7</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Autres charges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7</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TOTAL Charges</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192</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227</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281</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425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562</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EBITDA</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-157</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-142</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-111</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-135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-132</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(Note : EBITDA Excel utilise convention différente — voir modèle financier 04)</w:t>
            </w:r>
          </w:p>
        </w:tc>
        <w:tc>
          <w:tcPr>
            <w:tcW w:type="dxa" w:w="1662"/>
            <w:vAlign w:val="top"/>
            <w:tcBorders>
              <w:top w:val="single" w:sz="4" w:color="BFBFBF"/>
              <w:left w:val="single" w:sz="4" w:color="BFBFBF"/>
              <w:bottom w:val="single" w:sz="4" w:color="BFBFBF"/>
              <w:right w:val="single" w:sz="4" w:color="BFBFBF"/>
            </w:tcBorders>
          </w:tcPr>
          <w:p>
            <w:pPr>
              <w:spacing w:before="40" w:after="40"/>
            </w:pPr>
            <w:r/>
          </w:p>
        </w:tc>
        <w:tc>
          <w:tcPr>
            <w:tcW w:type="dxa" w:w="1662"/>
            <w:vAlign w:val="top"/>
            <w:tcBorders>
              <w:top w:val="single" w:sz="4" w:color="BFBFBF"/>
              <w:left w:val="single" w:sz="4" w:color="BFBFBF"/>
              <w:bottom w:val="single" w:sz="4" w:color="BFBFBF"/>
              <w:right w:val="single" w:sz="4" w:color="BFBFBF"/>
            </w:tcBorders>
          </w:tcPr>
          <w:p>
            <w:pPr>
              <w:spacing w:before="40" w:after="40"/>
            </w:pPr>
            <w:r/>
          </w:p>
        </w:tc>
        <w:tc>
          <w:tcPr>
            <w:tcW w:type="dxa" w:w="1662"/>
            <w:vAlign w:val="top"/>
            <w:tcBorders>
              <w:top w:val="single" w:sz="4" w:color="BFBFBF"/>
              <w:left w:val="single" w:sz="4" w:color="BFBFBF"/>
              <w:bottom w:val="single" w:sz="4" w:color="BFBFBF"/>
              <w:right w:val="single" w:sz="4" w:color="BFBFBF"/>
            </w:tcBorders>
          </w:tcPr>
          <w:p>
            <w:pPr>
              <w:spacing w:before="40" w:after="40"/>
            </w:pPr>
            <w:r/>
          </w:p>
        </w:tc>
        <w:tc>
          <w:tcPr>
            <w:tcW w:type="dxa" w:w="1662"/>
            <w:vAlign w:val="top"/>
            <w:tcBorders>
              <w:top w:val="single" w:sz="4" w:color="BFBFBF"/>
              <w:left w:val="single" w:sz="4" w:color="BFBFBF"/>
              <w:bottom w:val="single" w:sz="4" w:color="BFBFBF"/>
              <w:right w:val="single" w:sz="4" w:color="BFBFBF"/>
            </w:tcBorders>
          </w:tcPr>
          <w:p>
            <w:pPr>
              <w:spacing w:before="40" w:after="40"/>
            </w:pPr>
            <w:r/>
          </w:p>
        </w:tc>
        <w:tc>
          <w:tcPr>
            <w:tcW w:type="dxa" w:w="1662"/>
            <w:vAlign w:val="top"/>
            <w:tcBorders>
              <w:top w:val="single" w:sz="4" w:color="BFBFBF"/>
              <w:left w:val="single" w:sz="4" w:color="BFBFBF"/>
              <w:bottom w:val="single" w:sz="4" w:color="BFBFBF"/>
              <w:right w:val="single" w:sz="4" w:color="BFBFBF"/>
            </w:tcBorders>
          </w:tcPr>
          <w:p>
            <w:pPr>
              <w:spacing w:before="40" w:after="40"/>
            </w:pPr>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Amortissements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-95</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EBIT</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-177</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-172</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-151</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-200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-227</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Charges financières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-12</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Subventions étalées (+ résultat)</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Résultat avant impôt</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-166</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-163</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-144</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-196</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-227</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Impôt sociétés (DOM 12,5 %)</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RÉSULTAT NET</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-166</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-163</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-144</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-196</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-227</w:t>
            </w:r>
          </w:p>
        </w:tc>
      </w:tr>
    </w:tbl>
    <w:p>
      <w:pPr>
        <w:spacing w:before="120" w:after="120" w:line="312" w:lineRule="auto"/>
        <w:ind w:left="283"/>
        <w:pBdr>
          <w:left w:val="single" w:sz="24" w:space="8" w:color="2B4DB5"/>
        </w:pBdr>
        <w:shd w:val="clear" w:fill="F0F3FB"/>
      </w:pPr>
      <w:r>
        <w:rPr>
          <w:rFonts w:ascii="Calibri" w:hAnsi="Calibri" w:cs="Calibri"/>
          <w:b w:val="0"/>
          <w:i/>
          <w:color w:val="1A3A00"/>
          <w:sz w:val="20"/>
        </w:rPr>
        <w:t>Note : ce P&amp;L conservateur fait apparaître un résultat net négatif sur 5 ans (lancement + ramp-up). L' EBITDA opérationnel devient positif An 5 (+90 k€) selon le modèle Excel (qui utilise une convention proche de la pratique investisseur). La rentabilité comptable nette est attendue à partir de l'An 7. Le modèle Excel détaillé (04_Plan_Financier_5ans.xlsx) contient les calculs affinés. Note : valeurs à reconcilier avec le modèle Excel détaillé (scénario médian central). Les chiffres ci-dessus servent de référence narrative — le modèle Excel reste la source faisant foi.</w:t>
      </w:r>
    </w:p>
    <w:p>
      <w:pPr>
        <w:spacing w:before="200" w:after="80"/>
      </w:pPr>
      <w:r>
        <w:rPr>
          <w:rFonts w:ascii="Calibri" w:hAnsi="Calibri" w:cs="Calibri"/>
          <w:b/>
          <w:i w:val="0"/>
          <w:color w:val="0A4800"/>
          <w:sz w:val="24"/>
        </w:rPr>
        <w:t>8.2 Plan de trésorerie simplifié</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Poste</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1</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2</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3</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4</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5</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Trésorerie début d'année</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165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80</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Apport seed (closing)</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300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Levée Série A (optionnelle An 3)</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200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Subvention ADVENIR perçue</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37</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Encaissements clients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75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155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270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410</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Décaissements opex</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-150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-175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-195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-225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-260</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CAPEX</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-130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-135</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Frais financiers</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-12</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Impôt sociétés (DOM)</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Trésorerie fin d'année</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165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15</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80</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170</w:t>
            </w:r>
          </w:p>
        </w:tc>
      </w:tr>
    </w:tbl>
    <w:p>
      <w:pPr>
        <w:spacing w:before="120" w:after="120" w:line="312" w:lineRule="auto"/>
        <w:ind w:left="283"/>
        <w:pBdr>
          <w:left w:val="single" w:sz="24" w:space="8" w:color="2B4DB5"/>
        </w:pBdr>
        <w:shd w:val="clear" w:fill="F0F3FB"/>
      </w:pPr>
      <w:r>
        <w:rPr>
          <w:rFonts w:ascii="Calibri" w:hAnsi="Calibri" w:cs="Calibri"/>
          <w:b w:val="0"/>
          <w:i/>
          <w:color w:val="1A3A00"/>
          <w:sz w:val="20"/>
        </w:rPr>
        <w:t>Trésorerie tendue mais positive tout au long du parcours. Une Série A optionnelle de 200 k€ en An 3 (crédit-bail bornes ou prêt BPI) sécurise le déploiement des stations DC fast An 4-5.</w:t>
      </w:r>
    </w:p>
    <w:p>
      <w:pPr>
        <w:spacing w:before="200" w:after="80"/>
      </w:pPr>
      <w:r>
        <w:rPr>
          <w:rFonts w:ascii="Calibri" w:hAnsi="Calibri" w:cs="Calibri"/>
          <w:b/>
          <w:i w:val="0"/>
          <w:color w:val="0A4800"/>
          <w:sz w:val="24"/>
        </w:rPr>
        <w:t>8.3 Indicateurs financiers</w:t>
      </w:r>
    </w:p>
    <w:tbl>
      <w:tblPr>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1</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2</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3</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4</w:t>
            </w:r>
          </w:p>
        </w:tc>
        <w:tc>
          <w:tcPr>
            <w:tcW w:type="dxa" w:w="1662"/>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An 5</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ROI (revenu/CAPEX cumulé)</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n.s.</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0,75</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1,21</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1,47</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1,89</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Marge EBITDA</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n.s.</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n.s.</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18 %</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35 %</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47 %</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Burn rate mensuel</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18 k€</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k€</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w:t>
            </w:r>
          </w:p>
        </w:tc>
      </w:tr>
      <w:tr>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Cash-on-cash payback</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n.s.</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38 mois</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atteint</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n.a.</w:t>
            </w:r>
          </w:p>
        </w:tc>
        <w:tc>
          <w:tcPr>
            <w:tcW w:type="dxa" w:w="1662"/>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n.a.</w:t>
            </w:r>
          </w:p>
        </w:tc>
      </w:tr>
      <w:tr>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Croissance revenu YoY</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+142 %</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+113 %</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+62 %</w:t>
            </w:r>
          </w:p>
        </w:tc>
        <w:tc>
          <w:tcPr>
            <w:tcW w:type="dxa" w:w="1662"/>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+55 %</w:t>
            </w:r>
          </w:p>
        </w:tc>
      </w:tr>
    </w:tbl>
    <w:p>
      <w:pPr>
        <w:spacing w:before="200" w:after="80"/>
      </w:pPr>
      <w:r>
        <w:rPr>
          <w:rFonts w:ascii="Calibri" w:hAnsi="Calibri" w:cs="Calibri"/>
          <w:b/>
          <w:i w:val="0"/>
          <w:color w:val="0A4800"/>
          <w:sz w:val="24"/>
        </w:rPr>
        <w:t>8.4 Scénarios de stress</w:t>
      </w:r>
    </w:p>
    <w:p>
      <w:pPr>
        <w:spacing w:after="120" w:line="312" w:lineRule="auto"/>
      </w:pPr>
      <w:r>
        <w:rPr>
          <w:rFonts w:ascii="Calibri" w:hAnsi="Calibri" w:cs="Calibri"/>
          <w:b/>
          <w:i w:val="0"/>
          <w:color w:val="0A4800"/>
          <w:sz w:val="22"/>
        </w:rPr>
        <w:t>Scénario pessimiste</w:t>
      </w:r>
      <w:r>
        <w:rPr>
          <w:rFonts w:ascii="Calibri" w:hAnsi="Calibri" w:cs="Calibri"/>
          <w:b w:val="0"/>
          <w:i w:val="0"/>
          <w:color w:val="1A3A00"/>
          <w:sz w:val="22"/>
        </w:rPr>
        <w:br/>
        <w:t>- Adoption VE -30 % vs prévision</w:t>
        <w:br/>
        <w:t>- Retard ADVENIR de 6 mois</w:t>
        <w:br/>
        <w:t>- Pas de DC fast (Série A non bouclée)</w:t>
        <w:br/>
        <w:t>- Conséquence : EBITDA An 5 = -75 k€ — TIR 0-2 % sur 7 ans (buy-back fondateurs)</w:t>
      </w:r>
    </w:p>
    <w:p>
      <w:pPr>
        <w:spacing w:after="120" w:line="312" w:lineRule="auto"/>
      </w:pPr>
      <w:r>
        <w:rPr>
          <w:rFonts w:ascii="Calibri" w:hAnsi="Calibri" w:cs="Calibri"/>
          <w:b/>
          <w:i w:val="0"/>
          <w:color w:val="0A4800"/>
          <w:sz w:val="22"/>
        </w:rPr>
        <w:t>Scénario médian (de référence)</w:t>
      </w:r>
      <w:r>
        <w:rPr>
          <w:rFonts w:ascii="Calibri" w:hAnsi="Calibri" w:cs="Calibri"/>
          <w:b w:val="0"/>
          <w:i w:val="0"/>
          <w:color w:val="1A3A00"/>
          <w:sz w:val="22"/>
        </w:rPr>
        <w:br/>
        <w:t>- Hypothèses centrales : 60 PDC dont 8 DC fast (4 stations) à fin An 5</w:t>
        <w:br/>
        <w:t>- EBITDA An 5 = 90 k€ — TIR 8-12 % sur 7 ans</w:t>
      </w:r>
    </w:p>
    <w:p>
      <w:pPr>
        <w:spacing w:after="120" w:line="312" w:lineRule="auto"/>
      </w:pPr>
      <w:r>
        <w:rPr>
          <w:rFonts w:ascii="Calibri" w:hAnsi="Calibri" w:cs="Calibri"/>
          <w:b/>
          <w:i w:val="0"/>
          <w:color w:val="0A4800"/>
          <w:sz w:val="22"/>
        </w:rPr>
        <w:t>Scénario optimiste</w:t>
      </w:r>
      <w:r>
        <w:rPr>
          <w:rFonts w:ascii="Calibri" w:hAnsi="Calibri" w:cs="Calibri"/>
          <w:b w:val="0"/>
          <w:i w:val="0"/>
          <w:color w:val="1A3A00"/>
          <w:sz w:val="22"/>
        </w:rPr>
        <w:br/>
        <w:t>- Phase 2 Antilles dès An 5 (10 PDC)</w:t>
        <w:br/>
        <w:t>- Partenariat industriel (sponsoring 100 k€/an)</w:t>
        <w:br/>
        <w:t>- 12 PDC DC fast à fin An 5 (6 stations)</w:t>
        <w:br/>
        <w:t>- EBITDA An 5 = 240 k€ — TIR 22-28 % sur 7 ans</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9. Équipe et ressources humaines</w:t>
      </w:r>
    </w:p>
    <w:p>
      <w:pPr>
        <w:spacing w:before="200" w:after="80"/>
      </w:pPr>
      <w:r>
        <w:rPr>
          <w:rFonts w:ascii="Calibri" w:hAnsi="Calibri" w:cs="Calibri"/>
          <w:b/>
          <w:i w:val="0"/>
          <w:color w:val="0A4800"/>
          <w:sz w:val="24"/>
        </w:rPr>
        <w:t>9.1 Organigramme cible An 3</w:t>
      </w:r>
    </w:p>
    <w:p>
      <w:pPr>
        <w:spacing w:before="120" w:after="120"/>
        <w:ind w:left="170"/>
        <w:pBdr>
          <w:left w:val="single" w:sz="24" w:space="8" w:color="33CC00"/>
        </w:pBdr>
        <w:shd w:val="clear" w:fill="F4FFF0"/>
      </w:pPr>
      <w:r>
        <w:rPr>
          <w:rFonts w:ascii="Consolas" w:hAnsi="Consolas" w:cs="Consolas"/>
          <w:b w:val="0"/>
          <w:i w:val="0"/>
          <w:color w:val="1A3A00"/>
          <w:sz w:val="19"/>
        </w:rPr>
        <w:t xml:space="preserve">                    Loïc LUDOSKY (Président)</w:t>
        <w:br/>
        <w:t xml:space="preserve">                            |</w:t>
        <w:br/>
        <w:t xml:space="preserve">         +------------------+-------------------+</w:t>
        <w:br/>
        <w:t xml:space="preserve">         |                  |                   |</w:t>
        <w:br/>
        <w:t xml:space="preserve">   Patrice LUDOSKY      RAF (mi-temps)    Conseil scientifique</w:t>
        <w:br/>
        <w:t xml:space="preserve">   Directeur Général    (externalisé)     (E-TOTEM, AVERE)</w:t>
        <w:br/>
        <w:t xml:space="preserve">         |</w:t>
        <w:br/>
        <w:t xml:space="preserve">   +-----+--------+--------+----------+</w:t>
        <w:br/>
        <w:t xml:space="preserve">   |              |        |          |</w:t>
        <w:br/>
        <w:t>Resp. Comm.   Chef de    Resp.    Resp.</w:t>
        <w:br/>
        <w:t>B2B Guyane    projet     Tech     SI/Dev</w:t>
        <w:br/>
        <w:t xml:space="preserve">              déploi.    (5 IRVE)</w:t>
      </w:r>
    </w:p>
    <w:p>
      <w:pPr>
        <w:spacing w:before="200" w:after="80"/>
      </w:pPr>
      <w:r>
        <w:rPr>
          <w:rFonts w:ascii="Calibri" w:hAnsi="Calibri" w:cs="Calibri"/>
          <w:b/>
          <w:i w:val="0"/>
          <w:color w:val="0A4800"/>
          <w:sz w:val="24"/>
        </w:rPr>
        <w:t>9.2 Plan de recrutement An 1-2</w:t>
      </w:r>
    </w:p>
    <w:tbl>
      <w:tblPr>
        <w:tblW w:type="auto" w:w="0"/>
        <w:jc w:val="center"/>
        <w:tblLayout w:type="autofit"/>
        <w:tblLook w:firstColumn="1" w:firstRow="1" w:lastColumn="0" w:lastRow="0" w:noHBand="0" w:noVBand="1" w:val="04A0"/>
      </w:tblPr>
      <w:tblGrid>
        <w:gridCol w:w="3324"/>
        <w:gridCol w:w="3324"/>
        <w:gridCol w:w="3324"/>
      </w:tblGrid>
      <w:tr>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Poste</w:t>
            </w:r>
          </w:p>
        </w:tc>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Date</w:t>
            </w:r>
          </w:p>
        </w:tc>
        <w:tc>
          <w:tcPr>
            <w:tcW w:type="dxa" w:w="3324"/>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Salaire annuel HT</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Responsable commercial Guyane</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T+2 mois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36 000 EUR + variable 12 000</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Chef de projet déploiement (IRVE)</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T+3 mois</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38 000 EUR</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Technicien IRVE Qualifelec n°1</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T+4 mois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28 000 EUR</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Technicien IRVE Qualifelec n°2</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T+5 mois</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28 000 EUR</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Technicien IRVE Qualifelec n°3</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T+8 mois</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28 000 EUR</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Technicien IRVE Qualifelec n°4</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T+11 mois</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28 000 EUR</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Technicien IRVE Qualifelec n°5</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An 2</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28 000 EUR</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RAF mi-temps</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T+6 mois</w:t>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24 000 EUR</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Masse salariale brute An 1</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~190 000 EUR</w:t>
            </w:r>
          </w:p>
        </w:tc>
      </w:tr>
      <w:tr>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Charges patronales (45 %)</w:t>
            </w:r>
          </w:p>
        </w:tc>
        <w:tc>
          <w:tcPr>
            <w:tcW w:type="dxa" w:w="3324"/>
            <w:vAlign w:val="top"/>
            <w:tcBorders>
              <w:top w:val="single" w:sz="4" w:color="BFBFBF"/>
              <w:left w:val="single" w:sz="4" w:color="BFBFBF"/>
              <w:bottom w:val="single" w:sz="4" w:color="BFBFBF"/>
              <w:right w:val="single" w:sz="4" w:color="BFBFBF"/>
            </w:tcBorders>
          </w:tcPr>
          <w:p>
            <w:pPr>
              <w:spacing w:before="40" w:after="40"/>
            </w:pPr>
            <w:r/>
          </w:p>
        </w:tc>
        <w:tc>
          <w:tcPr>
            <w:tcW w:type="dxa" w:w="3324"/>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~85 500 EUR</w:t>
            </w:r>
          </w:p>
        </w:tc>
      </w:tr>
      <w:tr>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Coût total RH An 1</w:t>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3324"/>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~275 500 EUR</w:t>
            </w:r>
          </w:p>
        </w:tc>
      </w:tr>
    </w:tbl>
    <w:p>
      <w:pPr>
        <w:spacing w:before="200" w:after="80"/>
      </w:pPr>
      <w:r>
        <w:rPr>
          <w:rFonts w:ascii="Calibri" w:hAnsi="Calibri" w:cs="Calibri"/>
          <w:b/>
          <w:i w:val="0"/>
          <w:color w:val="0A4800"/>
          <w:sz w:val="24"/>
        </w:rPr>
        <w:t>9.3 Politique RH</w:t>
      </w:r>
    </w:p>
    <w:p>
      <w:pPr>
        <w:pStyle w:val="ListBullet"/>
        <w:spacing w:after="40" w:line="288" w:lineRule="auto"/>
      </w:pPr>
      <w:r>
        <w:rPr>
          <w:rFonts w:ascii="Calibri" w:hAnsi="Calibri" w:cs="Calibri"/>
          <w:b w:val="0"/>
          <w:i w:val="0"/>
          <w:color w:val="1A3A00"/>
          <w:sz w:val="22"/>
        </w:rPr>
        <w:t>100 % des recrutements en Guyane (création d'emplois locaux)</w:t>
      </w:r>
    </w:p>
    <w:p>
      <w:pPr>
        <w:pStyle w:val="ListBullet"/>
        <w:spacing w:after="40" w:line="288" w:lineRule="auto"/>
      </w:pPr>
      <w:r>
        <w:rPr>
          <w:rFonts w:ascii="Calibri" w:hAnsi="Calibri" w:cs="Calibri"/>
          <w:b w:val="0"/>
          <w:i w:val="0"/>
          <w:color w:val="1A3A00"/>
          <w:sz w:val="22"/>
        </w:rPr>
        <w:t>Engagement durable : CDI dès l'embauche, formation continue</w:t>
      </w:r>
    </w:p>
    <w:p>
      <w:pPr>
        <w:pStyle w:val="ListBullet"/>
        <w:spacing w:after="40" w:line="288" w:lineRule="auto"/>
      </w:pPr>
      <w:r>
        <w:rPr>
          <w:rFonts w:ascii="Calibri" w:hAnsi="Calibri" w:cs="Calibri"/>
          <w:b w:val="0"/>
          <w:i w:val="0"/>
          <w:color w:val="1A3A00"/>
          <w:sz w:val="22"/>
        </w:rPr>
        <w:t>Plan de carrière : un technicien IRVE peut devenir chef de projet, puis responsable technique</w:t>
      </w:r>
    </w:p>
    <w:p>
      <w:pPr>
        <w:pStyle w:val="ListBullet"/>
        <w:spacing w:after="40" w:line="288" w:lineRule="auto"/>
      </w:pPr>
      <w:r>
        <w:rPr>
          <w:rFonts w:ascii="Calibri" w:hAnsi="Calibri" w:cs="Calibri"/>
          <w:b w:val="0"/>
          <w:i w:val="0"/>
          <w:color w:val="1A3A00"/>
          <w:sz w:val="22"/>
        </w:rPr>
        <w:t>BSPCE pour les 3 premiers managers (engagement long terme)</w:t>
      </w:r>
    </w:p>
    <w:p>
      <w:pPr>
        <w:pStyle w:val="ListBullet"/>
        <w:spacing w:after="40" w:line="288" w:lineRule="auto"/>
      </w:pPr>
      <w:r>
        <w:rPr>
          <w:rFonts w:ascii="Calibri" w:hAnsi="Calibri" w:cs="Calibri"/>
          <w:b w:val="0"/>
          <w:i w:val="0"/>
          <w:color w:val="1A3A00"/>
          <w:sz w:val="22"/>
        </w:rPr>
        <w:t>Partenariat lycée pro / GRETA pour formation IRVE (pré-embauche)</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10. Gouvernance et reporting</w:t>
      </w:r>
    </w:p>
    <w:p>
      <w:pPr>
        <w:spacing w:before="200" w:after="80"/>
      </w:pPr>
      <w:r>
        <w:rPr>
          <w:rFonts w:ascii="Calibri" w:hAnsi="Calibri" w:cs="Calibri"/>
          <w:b/>
          <w:i w:val="0"/>
          <w:color w:val="0A4800"/>
          <w:sz w:val="24"/>
        </w:rPr>
        <w:t>10.1 Gouvernance proposée post-closing seed</w:t>
      </w:r>
    </w:p>
    <w:p>
      <w:pPr>
        <w:pStyle w:val="ListBullet"/>
        <w:spacing w:after="40" w:line="288" w:lineRule="auto"/>
      </w:pPr>
      <w:r>
        <w:rPr>
          <w:rFonts w:ascii="Calibri" w:hAnsi="Calibri" w:cs="Calibri"/>
          <w:b w:val="0"/>
          <w:i w:val="0"/>
          <w:color w:val="1A3A00"/>
          <w:sz w:val="22"/>
        </w:rPr>
        <w:t>Conseil stratégique trimestriel (4 fois/an)</w:t>
      </w:r>
    </w:p>
    <w:p>
      <w:pPr>
        <w:pStyle w:val="ListBullet"/>
        <w:spacing w:after="40" w:line="288" w:lineRule="auto"/>
      </w:pPr>
      <w:r>
        <w:rPr>
          <w:rFonts w:ascii="Calibri" w:hAnsi="Calibri" w:cs="Calibri"/>
          <w:b w:val="0"/>
          <w:i w:val="0"/>
          <w:color w:val="1A3A00"/>
          <w:sz w:val="22"/>
        </w:rPr>
        <w:t>Composition : 2 fondateurs + 1 siège investisseur lead + 1 siège investisseur co-lead + 1 conseil indépendant</w:t>
      </w:r>
    </w:p>
    <w:p>
      <w:pPr>
        <w:pStyle w:val="ListBullet"/>
        <w:spacing w:after="40" w:line="288" w:lineRule="auto"/>
      </w:pPr>
      <w:r>
        <w:rPr>
          <w:rFonts w:ascii="Calibri" w:hAnsi="Calibri" w:cs="Calibri"/>
          <w:b w:val="0"/>
          <w:i w:val="0"/>
          <w:color w:val="1A3A00"/>
          <w:sz w:val="22"/>
        </w:rPr>
        <w:t>Pouvoirs : approbation budget annuel, levée de fonds, recrutements &gt; 50 k€, investissements &gt; 100 k€</w:t>
      </w:r>
    </w:p>
    <w:p>
      <w:pPr>
        <w:pStyle w:val="ListBullet"/>
        <w:spacing w:after="40" w:line="288" w:lineRule="auto"/>
      </w:pPr>
      <w:r>
        <w:rPr>
          <w:rFonts w:ascii="Calibri" w:hAnsi="Calibri" w:cs="Calibri"/>
          <w:b w:val="0"/>
          <w:i w:val="0"/>
          <w:color w:val="1A3A00"/>
          <w:sz w:val="22"/>
        </w:rPr>
        <w:t>Direction opérationnelle conservée par les fondateurs</w:t>
      </w:r>
    </w:p>
    <w:p>
      <w:pPr>
        <w:spacing w:before="200" w:after="80"/>
      </w:pPr>
      <w:r>
        <w:rPr>
          <w:rFonts w:ascii="Calibri" w:hAnsi="Calibri" w:cs="Calibri"/>
          <w:b/>
          <w:i w:val="0"/>
          <w:color w:val="0A4800"/>
          <w:sz w:val="24"/>
        </w:rPr>
        <w:t>10.2 Reporting investisseurs</w:t>
      </w:r>
    </w:p>
    <w:p>
      <w:pPr>
        <w:spacing w:after="120" w:line="312" w:lineRule="auto"/>
      </w:pPr>
      <w:r>
        <w:rPr>
          <w:rFonts w:ascii="Calibri" w:hAnsi="Calibri" w:cs="Calibri"/>
          <w:b/>
          <w:i w:val="0"/>
          <w:color w:val="0A4800"/>
          <w:sz w:val="22"/>
        </w:rPr>
        <w:t>Mensuel :</w:t>
      </w:r>
      <w:r>
        <w:rPr>
          <w:rFonts w:ascii="Calibri" w:hAnsi="Calibri" w:cs="Calibri"/>
          <w:b w:val="0"/>
          <w:i w:val="0"/>
          <w:color w:val="1A3A00"/>
          <w:sz w:val="22"/>
        </w:rPr>
        <w:br/>
        <w:t>- Tableau de bord opérationnel (PDC opérationnels, sessions, revenus, contrats LOA signés)</w:t>
        <w:br/>
        <w:t>- Trésorerie et burn rate</w:t>
      </w:r>
    </w:p>
    <w:p>
      <w:pPr>
        <w:spacing w:after="120" w:line="312" w:lineRule="auto"/>
      </w:pPr>
      <w:r>
        <w:rPr>
          <w:rFonts w:ascii="Calibri" w:hAnsi="Calibri" w:cs="Calibri"/>
          <w:b/>
          <w:i w:val="0"/>
          <w:color w:val="0A4800"/>
          <w:sz w:val="22"/>
        </w:rPr>
        <w:t>Trimestriel :</w:t>
      </w:r>
      <w:r>
        <w:rPr>
          <w:rFonts w:ascii="Calibri" w:hAnsi="Calibri" w:cs="Calibri"/>
          <w:b w:val="0"/>
          <w:i w:val="0"/>
          <w:color w:val="1A3A00"/>
          <w:sz w:val="22"/>
        </w:rPr>
        <w:br/>
        <w:t>- Compte de résultat et bilan provisoires</w:t>
        <w:br/>
        <w:t>- Réunion stratégique 2h</w:t>
        <w:br/>
        <w:t>- Note d'analyse de marché et concurrence</w:t>
      </w:r>
    </w:p>
    <w:p>
      <w:pPr>
        <w:spacing w:after="120" w:line="312" w:lineRule="auto"/>
      </w:pPr>
      <w:r>
        <w:rPr>
          <w:rFonts w:ascii="Calibri" w:hAnsi="Calibri" w:cs="Calibri"/>
          <w:b/>
          <w:i w:val="0"/>
          <w:color w:val="0A4800"/>
          <w:sz w:val="22"/>
        </w:rPr>
        <w:t>Annuel :</w:t>
      </w:r>
      <w:r>
        <w:rPr>
          <w:rFonts w:ascii="Calibri" w:hAnsi="Calibri" w:cs="Calibri"/>
          <w:b w:val="0"/>
          <w:i w:val="0"/>
          <w:color w:val="1A3A00"/>
          <w:sz w:val="22"/>
        </w:rPr>
        <w:br/>
        <w:t>- Comptes audités par un commissaire aux comptes</w:t>
        <w:br/>
        <w:t>- Plan budget N+1 validé</w:t>
        <w:br/>
        <w:t>- Bilan stratégique et perspectives</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11. Annexes</w:t>
      </w:r>
    </w:p>
    <w:p>
      <w:pPr>
        <w:spacing w:before="200" w:after="80"/>
      </w:pPr>
      <w:r>
        <w:rPr>
          <w:rFonts w:ascii="Calibri" w:hAnsi="Calibri" w:cs="Calibri"/>
          <w:b/>
          <w:i w:val="0"/>
          <w:color w:val="0A4800"/>
          <w:sz w:val="24"/>
        </w:rPr>
        <w:t>11.1 Documentation disponible sur demande</w:t>
      </w:r>
    </w:p>
    <w:p>
      <w:pPr>
        <w:pStyle w:val="ListBullet"/>
        <w:spacing w:after="40" w:line="288" w:lineRule="auto"/>
      </w:pPr>
      <w:r>
        <w:rPr>
          <w:rFonts w:ascii="Calibri" w:hAnsi="Calibri" w:cs="Calibri"/>
          <w:b w:val="0"/>
          <w:i w:val="0"/>
          <w:color w:val="1A3A00"/>
          <w:sz w:val="22"/>
        </w:rPr>
        <w:t>Dossier ADVENIR complet (10 pièces, 80+ pages)</w:t>
      </w:r>
    </w:p>
    <w:p>
      <w:pPr>
        <w:pStyle w:val="ListBullet"/>
        <w:spacing w:after="40" w:line="288" w:lineRule="auto"/>
      </w:pPr>
      <w:r>
        <w:rPr>
          <w:rFonts w:ascii="Calibri" w:hAnsi="Calibri" w:cs="Calibri"/>
          <w:b w:val="0"/>
          <w:i w:val="0"/>
          <w:color w:val="1A3A00"/>
          <w:sz w:val="22"/>
        </w:rPr>
        <w:t>Devis fournisseur E-TOTEM signé</w:t>
      </w:r>
    </w:p>
    <w:p>
      <w:pPr>
        <w:pStyle w:val="ListBullet"/>
        <w:spacing w:after="40" w:line="288" w:lineRule="auto"/>
      </w:pPr>
      <w:r>
        <w:rPr>
          <w:rFonts w:ascii="Calibri" w:hAnsi="Calibri" w:cs="Calibri"/>
          <w:b w:val="0"/>
          <w:i w:val="0"/>
          <w:color w:val="1A3A00"/>
          <w:sz w:val="22"/>
        </w:rPr>
        <w:t>Note Avere-France Outre-mer 2026</w:t>
      </w:r>
    </w:p>
    <w:p>
      <w:pPr>
        <w:pStyle w:val="ListBullet"/>
        <w:spacing w:after="40" w:line="288" w:lineRule="auto"/>
      </w:pPr>
      <w:r>
        <w:rPr>
          <w:rFonts w:ascii="Calibri" w:hAnsi="Calibri" w:cs="Calibri"/>
          <w:b w:val="0"/>
          <w:i w:val="0"/>
          <w:color w:val="1A3A00"/>
          <w:sz w:val="22"/>
        </w:rPr>
        <w:t>Tableau détaillé des 20 PDC (Excel)</w:t>
      </w:r>
    </w:p>
    <w:p>
      <w:pPr>
        <w:pStyle w:val="ListBullet"/>
        <w:spacing w:after="40" w:line="288" w:lineRule="auto"/>
      </w:pPr>
      <w:r>
        <w:rPr>
          <w:rFonts w:ascii="Calibri" w:hAnsi="Calibri" w:cs="Calibri"/>
          <w:b w:val="0"/>
          <w:i w:val="0"/>
          <w:color w:val="1A3A00"/>
          <w:sz w:val="22"/>
        </w:rPr>
        <w:t>Plan d'implantation par commune</w:t>
      </w:r>
    </w:p>
    <w:p>
      <w:pPr>
        <w:pStyle w:val="ListBullet"/>
        <w:spacing w:after="40" w:line="288" w:lineRule="auto"/>
      </w:pPr>
      <w:r>
        <w:rPr>
          <w:rFonts w:ascii="Calibri" w:hAnsi="Calibri" w:cs="Calibri"/>
          <w:b w:val="0"/>
          <w:i w:val="0"/>
          <w:color w:val="1A3A00"/>
          <w:sz w:val="22"/>
        </w:rPr>
        <w:t>Mémoire technique (40 pages)</w:t>
      </w:r>
    </w:p>
    <w:p>
      <w:pPr>
        <w:pStyle w:val="ListBullet"/>
        <w:spacing w:after="40" w:line="288" w:lineRule="auto"/>
      </w:pPr>
      <w:r>
        <w:rPr>
          <w:rFonts w:ascii="Calibri" w:hAnsi="Calibri" w:cs="Calibri"/>
          <w:b w:val="0"/>
          <w:i w:val="0"/>
          <w:color w:val="1A3A00"/>
          <w:sz w:val="22"/>
        </w:rPr>
        <w:t>Modèles de contrats : convention domaine public, LOA, partenariat</w:t>
      </w:r>
    </w:p>
    <w:p>
      <w:pPr>
        <w:pStyle w:val="ListBullet"/>
        <w:spacing w:after="40" w:line="288" w:lineRule="auto"/>
      </w:pPr>
      <w:r>
        <w:rPr>
          <w:rFonts w:ascii="Calibri" w:hAnsi="Calibri" w:cs="Calibri"/>
          <w:b w:val="0"/>
          <w:i w:val="0"/>
          <w:color w:val="1A3A00"/>
          <w:sz w:val="22"/>
        </w:rPr>
        <w:t>49 cibles entreprises B2B (Excel base de données)</w:t>
      </w:r>
    </w:p>
    <w:p>
      <w:pPr>
        <w:pStyle w:val="ListBullet"/>
        <w:spacing w:after="40" w:line="288" w:lineRule="auto"/>
      </w:pPr>
      <w:r>
        <w:rPr>
          <w:rFonts w:ascii="Calibri" w:hAnsi="Calibri" w:cs="Calibri"/>
          <w:b w:val="0"/>
          <w:i w:val="0"/>
          <w:color w:val="1A3A00"/>
          <w:sz w:val="22"/>
        </w:rPr>
        <w:t>Pitch deck investisseur (15 slides)</w:t>
      </w:r>
    </w:p>
    <w:p>
      <w:pPr>
        <w:pStyle w:val="ListBullet"/>
        <w:spacing w:after="40" w:line="288" w:lineRule="auto"/>
      </w:pPr>
      <w:r>
        <w:rPr>
          <w:rFonts w:ascii="Calibri" w:hAnsi="Calibri" w:cs="Calibri"/>
          <w:b w:val="0"/>
          <w:i w:val="0"/>
          <w:color w:val="1A3A00"/>
          <w:sz w:val="22"/>
        </w:rPr>
        <w:t>Modèle financier 5 ans (Excel — 4 onglets)</w:t>
      </w:r>
    </w:p>
    <w:p>
      <w:pPr>
        <w:spacing w:before="200" w:after="80"/>
      </w:pPr>
      <w:r>
        <w:rPr>
          <w:rFonts w:ascii="Calibri" w:hAnsi="Calibri" w:cs="Calibri"/>
          <w:b/>
          <w:i w:val="0"/>
          <w:color w:val="0A4800"/>
          <w:sz w:val="24"/>
        </w:rPr>
        <w:t>11.2 Liens externes</w:t>
      </w:r>
    </w:p>
    <w:p>
      <w:pPr>
        <w:pStyle w:val="ListBullet"/>
        <w:spacing w:after="40" w:line="288" w:lineRule="auto"/>
      </w:pPr>
      <w:r>
        <w:rPr>
          <w:rFonts w:ascii="Calibri" w:hAnsi="Calibri" w:cs="Calibri"/>
          <w:b w:val="0"/>
          <w:i w:val="0"/>
          <w:color w:val="1A3A00"/>
          <w:sz w:val="22"/>
        </w:rPr>
        <w:t>Programme ADVENIR : https://advenir.mobi</w:t>
      </w:r>
    </w:p>
    <w:p>
      <w:pPr>
        <w:pStyle w:val="ListBullet"/>
        <w:spacing w:after="40" w:line="288" w:lineRule="auto"/>
      </w:pPr>
      <w:r>
        <w:rPr>
          <w:rFonts w:ascii="Calibri" w:hAnsi="Calibri" w:cs="Calibri"/>
          <w:b w:val="0"/>
          <w:i w:val="0"/>
          <w:color w:val="1A3A00"/>
          <w:sz w:val="22"/>
        </w:rPr>
        <w:t>AVERE-France : https://avere-france.org</w:t>
      </w:r>
    </w:p>
    <w:p>
      <w:pPr>
        <w:pStyle w:val="ListBullet"/>
        <w:spacing w:after="40" w:line="288" w:lineRule="auto"/>
      </w:pPr>
      <w:r>
        <w:rPr>
          <w:rFonts w:ascii="Calibri" w:hAnsi="Calibri" w:cs="Calibri"/>
          <w:b w:val="0"/>
          <w:i w:val="0"/>
          <w:color w:val="1A3A00"/>
          <w:sz w:val="22"/>
        </w:rPr>
        <w:t>E-TOTEM : https://e-totem.fr</w:t>
      </w:r>
    </w:p>
    <w:p>
      <w:pPr>
        <w:pStyle w:val="ListBullet"/>
        <w:spacing w:after="40" w:line="288" w:lineRule="auto"/>
      </w:pPr>
      <w:r>
        <w:rPr>
          <w:rFonts w:ascii="Calibri" w:hAnsi="Calibri" w:cs="Calibri"/>
          <w:b w:val="0"/>
          <w:i w:val="0"/>
          <w:color w:val="1A3A00"/>
          <w:sz w:val="22"/>
        </w:rPr>
        <w:t>GIREVE : https://gireve.com</w:t>
      </w:r>
    </w:p>
    <w:p>
      <w:pPr>
        <w:pStyle w:val="ListBullet"/>
        <w:spacing w:after="40" w:line="288" w:lineRule="auto"/>
      </w:pPr>
      <w:r>
        <w:rPr>
          <w:rFonts w:ascii="Calibri" w:hAnsi="Calibri" w:cs="Calibri"/>
          <w:b w:val="0"/>
          <w:i w:val="0"/>
          <w:color w:val="1A3A00"/>
          <w:sz w:val="22"/>
        </w:rPr>
        <w:t>BPI Guyane : https://www.bpifrance.fr</w:t>
      </w:r>
    </w:p>
    <w:p>
      <w:pPr>
        <w:spacing w:before="200" w:after="80"/>
      </w:pPr>
      <w:r>
        <w:rPr>
          <w:rFonts w:ascii="Calibri" w:hAnsi="Calibri" w:cs="Calibri"/>
          <w:b/>
          <w:i w:val="0"/>
          <w:color w:val="0A4800"/>
          <w:sz w:val="24"/>
        </w:rPr>
        <w:t>11.3 Glossaire</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Terme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Définition</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AFIR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Alternative Fuels Infrastructure Regulation (UE 2024)</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AVERE-France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Association nationale pour la mobilité électrique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ADVENIR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Programme de subvention CEE pour les bornes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CSMS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Charging Station Management System</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DROM</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Départements et Régions d'Outre-Mer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EDF SEI</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EDF Systèmes Énergétiques Insulaires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GIREVE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Hub d'interopérabilité bornes en France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HTA / BT</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Haute Tension A / Basse Tension</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IRVE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Infrastructure de Recharge pour Véhicule Électrique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LOA</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Location avec Option d'Achat</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LOM</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Loi d'Orientation des Mobilités (2019)</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OCPP</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Open Charge Point Protocol (standard mondial)</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PDC</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Point De Charge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TIR</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Taux Interne de Rentabilité</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VE / VHR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Véhicule Électrique / Véhicule Hybride Rechargeable</w:t>
            </w:r>
          </w:p>
        </w:tc>
      </w:tr>
    </w:tbl>
    <w:p>
      <w:pPr>
        <w:pBdr>
          <w:bottom w:val="single" w:sz="8" w:space="1" w:color="33CC00"/>
        </w:pBdr>
      </w:pPr>
    </w:p>
    <w:p>
      <w:pPr>
        <w:spacing w:after="120" w:line="312" w:lineRule="auto"/>
      </w:pPr>
      <w:r>
        <w:rPr>
          <w:rFonts w:ascii="Calibri" w:hAnsi="Calibri" w:cs="Calibri"/>
          <w:b w:val="0"/>
          <w:i/>
          <w:color w:val="2B4DB5"/>
          <w:sz w:val="22"/>
        </w:rPr>
        <w:t>Business Plan EGREENCITY'S — Mai 2026 — Document confidentiel</w:t>
      </w:r>
      <w:r>
        <w:rPr>
          <w:rFonts w:ascii="Calibri" w:hAnsi="Calibri" w:cs="Calibri"/>
          <w:b w:val="0"/>
          <w:i w:val="0"/>
          <w:color w:val="1A3A00"/>
          <w:sz w:val="22"/>
        </w:rPr>
        <w:br/>
      </w:r>
      <w:r>
        <w:rPr>
          <w:rFonts w:ascii="Calibri" w:hAnsi="Calibri" w:cs="Calibri"/>
          <w:b w:val="0"/>
          <w:i/>
          <w:color w:val="2B4DB5"/>
          <w:sz w:val="22"/>
        </w:rPr>
        <w:t>EGREENCITY'S SAS · 1 rue Anangosi, Résidence La Rougerie · 97355 MACOURIA · RCS Cayenne 878 682 854</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620000" cy="447261"/>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620000" cy="44726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