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﻿# Memorandum d'Investissement</w:t>
      </w: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EGREENCITY'S — Levée Seed 300 000 EUR — Mai 2026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Plan simple et réalisable : 20 PDC initial + 10 PDC/an = 60 PDC à fin An 5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Préambule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 présent Memorandum d'Investissement (« Memorandum ») a pour objet de présenter à des investisseurs qualifiés les caractéristiques générales de l'opportunité d'investissement dans la société </w:t>
      </w:r>
      <w:r>
        <w:rPr>
          <w:rFonts w:ascii="Calibri" w:hAnsi="Calibri" w:cs="Calibri"/>
          <w:b/>
          <w:i w:val="0"/>
          <w:color w:val="0A4800"/>
          <w:sz w:val="22"/>
        </w:rPr>
        <w:t>EGREENCITY'S SAS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, dans le cadre d'une levée de fonds de </w:t>
      </w:r>
      <w:r>
        <w:rPr>
          <w:rFonts w:ascii="Calibri" w:hAnsi="Calibri" w:cs="Calibri"/>
          <w:b/>
          <w:i w:val="0"/>
          <w:color w:val="0A4800"/>
          <w:sz w:val="22"/>
        </w:rPr>
        <w:t>300 000 EUR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dénommée « Tour Seed 2026 ».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Ce document est strictement </w:t>
      </w:r>
      <w:r>
        <w:rPr>
          <w:rFonts w:ascii="Calibri" w:hAnsi="Calibri" w:cs="Calibri"/>
          <w:b/>
          <w:i w:val="0"/>
          <w:color w:val="0A4800"/>
          <w:sz w:val="22"/>
        </w:rPr>
        <w:t>confidentiel</w:t>
      </w:r>
      <w:r>
        <w:rPr>
          <w:rFonts w:ascii="Calibri" w:hAnsi="Calibri" w:cs="Calibri"/>
          <w:b w:val="0"/>
          <w:i w:val="0"/>
          <w:color w:val="1A3A00"/>
          <w:sz w:val="22"/>
        </w:rPr>
        <w:t>. Toute reproduction ou diffusion sans autorisation écrite préalable d'EGREENCITY'S est interdite.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1. Présentation de l'émetteur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Donnée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Raison sociale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EGREENCITY'S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Forme juridique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Société par Actions Simplifiée (SAS)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Capital social actuel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250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Nombre d'actions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250 actions de 1 EUR de valeur nominale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SIREN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878 682 854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RCS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Cayenne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Date d'immatriculation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2025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Siège social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rue Anangosi, Résidence La Rougerie — 97355 MACOURIA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Régime fiscal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TVA DOM 8,5 %, IS 12,5 % (régime DOM)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Actionnariat actuel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Actionnaire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Qualité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Actions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% Capital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Loïc Yves LUDOSKY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Président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175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70 %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Patrice Claude LUDOSKY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Directeur Général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75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30 %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TOTAL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—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250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100 %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Mandataires sociaux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Loïc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Président, mandataire principal, signature des contrats engageant la société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Patrice Claude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Directeur Général, co-représentant légal, signature opérationnelle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2. Description de l'opération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2.1 Caractéristiques générales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Paramètre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Montant total recherché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300 000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Type de titres émis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Actions ordinaires nouvelles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Nominal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Prime d'émission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À déterminer selon valorisation pré-money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Valorisation pré-money proposée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700 000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Valorisation post-money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1 000 000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% du capital pour les nouveaux investisseurs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 30,0 %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Période de souscription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à T+90 jours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Date envisagée de closing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T+90 à T+120 jours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2.2 Structure de l'opération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L'opération est structurée en une augmentation de capital en numéraire au profit de nouveaux investisseurs, accompagnée d'une émission de </w:t>
      </w:r>
      <w:r>
        <w:rPr>
          <w:rFonts w:ascii="Calibri" w:hAnsi="Calibri" w:cs="Calibri"/>
          <w:b/>
          <w:i w:val="0"/>
          <w:color w:val="0A4800"/>
          <w:sz w:val="22"/>
        </w:rPr>
        <w:t>BSA fondateurs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pour conserver l'engagement long terme des dirigeants.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Étape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Acteurs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Montant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Augmentation de capital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Investisseurs nouveaux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300 000 EUR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Émission BSA fondateurs (vesting 4 ans)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Loïc + Patrice LUDOSKY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n.a.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Pacte d'actionnaires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Tous actionnaires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n.a.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2.3 Profil d'investisseur recherché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L'opération est ouverte à plusieurs catégories d'investisseurs :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Investisseurs privés régionaux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(Guyane, Antilles, métropolitains intéressés par l'outre-mer) — tickets de 25 à 100 k€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Business angels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spécialisés mobilité, transition énergétique ou impact — tickets de 15 à 75 k€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BPI Guyane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(prêt amorçage ou equity) — ticket de 50 à 150 k€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Crowdfunding équity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(plateformes Wiseed, Anaxago, CelyaInvest) — collecte complémentaire jusqu'à 100 k€</w:t>
      </w:r>
    </w:p>
    <w:p>
      <w:pPr>
        <w:pStyle w:val="ListNumber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France Active / fonds impact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intéressés par la transition énergétique en outre-mer — ticket de 30 à 100 k€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2.4 Ticket d'investissement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Critère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Ticket minimum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10 000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Ticket cible (lead investor)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75 000 à 150 000 EUR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Ticket maximum par investisseur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150 000 EUR (50 % du tour)</w:t>
            </w:r>
          </w:p>
        </w:tc>
      </w:tr>
    </w:tbl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Au-delà de 150 k€, le ticket nécessite un avenant à la gouvernance et fait l'objet d'une négociation spécifique.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3. Utilisation des fonds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Les 300 000 EUR levés seront affectés selon la répartition suivante, encadrée par la convention d'investissement et reportée trimestriellement aux investisseurs.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3.1 Répartition prévisionnelle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Poste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Montant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Période d'utilisation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CAPEX bornes initial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(10 bornes = 20 PDC publics ADVENIR)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99 000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33 %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à T+8 mois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Travaux génie civil et raccordement EDF SEI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65 000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T+2 à T+10 mois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Recrutement</w:t>
            </w:r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 xml:space="preserve"> (4 ETP partiels An 1)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75 000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25 %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à T+12 mois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Marketing &amp; commercial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25 000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8 %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à T+12 mois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R&amp;D / app mobile (version simple)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15 000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à T+9 mois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Fonds de roulement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12 000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Réserve permanente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Frais juridiques, conseil, structuration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9 000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T+0 à T+3 mois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TOTAL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300 000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100 %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—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3.2 Détail CAPEX bornes initial (An 1)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10 bornes E-TOTEM e-Premium 2x22 kW = 20 PDC publics voirie publique × 4 948 EUR HT = 49 480 EUR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Options DROM (peinture milieu humide, anti-graffiti, modem 4G) : ~ 4 120 EUR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Outillage technicien et équipements : ~ 10 000 EUR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Logistique livraison DROM (transit DGI E-TOTEM) : ~ 5 000 EUR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TVA Guyane DOM 8,5 % et marges : ~ 30 000 EUR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Total CAPEX bornes : ~ 99 000 EUR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Subvention ADVENIR : 37 200 EUR (75,2 % de couverture sur les bornes nues) sera perçue en cours d'année 1 et abondera la trésorerie. Net CAPEX bornes : ~ 62 000 EUR après subvention. Logique du plan SIMPLE : le Seed de 300 k€ couvre les 10 bornes initiales (20 PDC ADVENIR voirie publique) + 12 mois de runway opérationnel. Les +10 PDC/an sur les années 2 à 5 sont autofinancés par le cash flow opérationnel + Série A optionnelle (200 k€) en An 3 (crédit-bail bornes ou prêt BPI).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3.3 Détail Recrutement (12 mois An 1)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Loïc LUDOSKY (Président) — temps plein : 36 k€ brut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Patrice LUDOSKY (DG) — temps plein : 36 k€ brut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Technicien IRVE Qualifelec n°1 — à partir de T+6 : 14 k€ (6 mois)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RAF mi-temps externalisé — à partir de T+8 : 5 k€ (4 mois)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Charges patronales (45 % sur masse salariale brute) : ~ 38 k€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Total prévisionnel An 1 : ~ 75 000 EUR (équipe lean au lancement).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4. Valorisation et justification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4.1 Approche valorisation pré-money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Trois méthodes ont été utilisées et triangulées :</w:t>
      </w:r>
    </w:p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Méthode 1 — Comparable transactions Seed Outre-mer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Comparable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Stade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Valorisation pré-money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Startups DROM Seed 2024-2025 (clean-tech)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Pre-revenue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500-800 k€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ChargeGuru (France) Seed 2018 (ajusté DROM)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Stade similaire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~ 750 k€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Petits opérateurs IRVE locaux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Stade similaire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500-1 000 k€</w:t>
            </w:r>
          </w:p>
        </w:tc>
      </w:tr>
      <w:tr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Moyenne ajustée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—</w:t>
            </w:r>
          </w:p>
        </w:tc>
        <w:tc>
          <w:tcPr>
            <w:tcW w:type="dxa" w:w="3324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~ 700 k€</w:t>
            </w:r>
          </w:p>
        </w:tc>
      </w:tr>
    </w:tbl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Méthode 2 — Méthode des multiples d'EBITDA prospective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EBITDA An 5 cible : 90 k€ (régime de croisière An 7-8 : 250-350 k€)</w:t>
        <w:br/>
        <w:t>Multiple sortie cible : x8 (cession industrielle)</w:t>
        <w:br/>
        <w:t>Valorisation An 7 : 200 k€ × 8 = 1 600 k€</w:t>
        <w:br/>
        <w:t xml:space="preserve">Discount factor 25 %/an sur 7 ans : 1 600 / (1,25^7) = </w:t>
      </w:r>
      <w:r>
        <w:rPr>
          <w:rFonts w:ascii="Calibri" w:hAnsi="Calibri" w:cs="Calibri"/>
          <w:b/>
          <w:i w:val="0"/>
          <w:color w:val="0A4800"/>
          <w:sz w:val="22"/>
        </w:rPr>
        <w:t>~ 335 k€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(méthode très conservatrice)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Méthode complémentaire : x10 sur EBITDA An 5 = 900 k€ pré-money</w:t>
      </w:r>
    </w:p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Méthode 3 — Approche par les apports de la Phase 1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Investissement déjà mobilisé (temps fondateurs + études) : ~ 200 k€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ADVENIR sécurisée : 37,2 k€ (subvention)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Lettres d'intention 8 mairies + 49 cibles entreprises identifiées : valeur d'option ~ 80 k€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Site web + branding + dossier complet : ~ 40 k€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Devis E-TOTEM signé : ~ 20 k€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Sous-total apports = 377 k€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× multiplicateur d'opportunité × 1,9 = </w:t>
      </w:r>
      <w:r>
        <w:rPr>
          <w:rFonts w:ascii="Calibri" w:hAnsi="Calibri" w:cs="Calibri"/>
          <w:b/>
          <w:i w:val="0"/>
          <w:color w:val="0A4800"/>
          <w:sz w:val="22"/>
        </w:rPr>
        <w:t>~ 715 k€</w:t>
      </w:r>
    </w:p>
    <w:p>
      <w:pPr>
        <w:spacing w:before="160" w:after="60"/>
      </w:pPr>
      <w:r>
        <w:rPr>
          <w:rFonts w:ascii="Calibri" w:hAnsi="Calibri" w:cs="Calibri"/>
          <w:b/>
          <w:i w:val="0"/>
          <w:color w:val="2B4DB5"/>
          <w:sz w:val="22"/>
        </w:rPr>
        <w:t>Synthèse valorisation pré-money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Méthode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Résultat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Comparables Seed Outre-mer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700 k€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Multiple EBITDA actualisé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335 k€ - 900 k€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Apports + opportunité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715 k€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Moyenne pondérée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~ 700 k€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Valorisation pré-money retenue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0A4800"/>
                <w:sz w:val="19"/>
              </w:rPr>
              <w:t>700 k€</w:t>
            </w:r>
          </w:p>
        </w:tc>
      </w:tr>
    </w:tbl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4.2 Dilution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Situation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Pourcentage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Avant levée — Fondateurs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100 % (250 actions)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Avant levée — Investisseurs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0 %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Après levée — Fondateurs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70 %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Après levée — Investisseurs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30 %</w:t>
            </w:r>
          </w:p>
        </w:tc>
      </w:tr>
    </w:tbl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Pool BSPCE salariés à créer post-closing : 5 % du capital (dilution prévue dans le pacte).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5. Droits attachés aux actions investisseurs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Sauf stipulation contraire dans le pacte d'actionnaires :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5.1 Droits financiers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Droit aux dividendes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au prorata du capital détenu (pas de dividende prévu avant An 5)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Préférence à la liquidation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1x non-participating preferred (clause classique) — l'investisseur récupère son apport en priorité en cas de liquidation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Anti-dilution full-ratchet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désactivé — clause weighted-average broad-based standard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Plan de paiements préférentiels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en cas de cession industrielle : récupération de l'apport + 8 % par an avant participation au gain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5.2 Droits politiques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Droit de vote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1 voix par action en assemblée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Information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reporting trimestriel + accès à un tableau de bord opérationnel mensuel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Comité stratégique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1 siège pour le lead investor + 1 siège observateur pour le co-lead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Réservation de matières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décisions stratégiques nécessitant l'accord du conseil stratégique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Levée de fonds &gt; 200 k€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Cession ou acquisition &gt; 100 k€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Recrutement de cadres &gt; 50 k€/an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Modifications statutaires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Distribution de dividendes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Souscription d'emprunt &gt; 100 k€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5.3 Droits de sortie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Drag-along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si fondateurs et lead investor s'accordent sur une cession à 100 %, les minoritaires sont entraînés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Tag-along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tout actionnaire peut bénéficier d'une cession initiée par un autre actionnaire au même prix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Préemption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tout investisseur dispose d'un droit de préemption sur les cessions internes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Sortie organisée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engagement du board à étudier une sortie à partir de l'An 5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6. Échéancier prévisionnel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Étape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Date cible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Distribution Memorandum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 2026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Premiers RDV investisseurs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Mai-Juillet 2026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Lettres d'intention non engageantes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Juillet 2026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Due diligence (data room digitale)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Août 2026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Term Sheet signé avec lead investor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Septembre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Closing — augmentation de capital actée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Octobre-Novembre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Premier décaissement opérationnel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Novembre 2026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Premier reporting investisseurs</w:t>
            </w:r>
          </w:p>
        </w:tc>
        <w:tc>
          <w:tcPr>
            <w:tcW w:type="dxa" w:w="4986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Janvier 2027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7. Risques principaux</w:t>
      </w:r>
    </w:p>
    <w:p>
      <w:pPr>
        <w:spacing w:before="120" w:after="120" w:line="312" w:lineRule="auto"/>
        <w:ind w:left="283"/>
        <w:pBdr>
          <w:left w:val="single" w:sz="24" w:space="8" w:color="2B4DB5"/>
        </w:pBdr>
        <w:shd w:val="clear" w:fill="F0F3FB"/>
      </w:pPr>
      <w:r>
        <w:rPr>
          <w:rFonts w:ascii="Calibri" w:hAnsi="Calibri" w:cs="Calibri"/>
          <w:b w:val="0"/>
          <w:i/>
          <w:color w:val="1A3A00"/>
          <w:sz w:val="20"/>
        </w:rPr>
        <w:t>Les risques identifiés sont détaillés dans le Document 07 — Annexe Risques &amp; Mitigation . Synthèse ici 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Risque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Probabilité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Impact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Retard programme ADVENIR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Fonds de roulement, relations BPI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Concurrence acteur national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Conventions exclusivité communes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Panne fournisseur E-TOTEM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SAV 5 ans + plan B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Inflation prix électricité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Indexation tarifs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Manque de techniciens IRVE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Plan formation + apprentissage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Adoption VE inférieure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Faible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3 sources de revenus</w:t>
            </w:r>
          </w:p>
        </w:tc>
      </w:tr>
      <w:tr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Cyberattaque infrastructure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Moyenne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Élevé</w:t>
            </w:r>
          </w:p>
        </w:tc>
        <w:tc>
          <w:tcPr>
            <w:tcW w:type="dxa" w:w="2493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OCPP sécurisé + assurance cyber</w:t>
            </w:r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8. Sortie envisagée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8.1 Scénarios de sortie (horizon 7-8 ans)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Scénario A — Cession industrielle (probabilité élevée — 55 %)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Acheteurs potentiels : Engie Vianeo, TotalEnergies Charging, Allego France, ChargeGuru, Bouygues Energies, opérateur Antillais</w:t>
        <w:br/>
        <w:t>Multiple cible : x6 à x8 sur EBITDA An 7-8</w:t>
        <w:br/>
        <w:t>Prix indicatif : 1,6 à 2,8 M€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Scénario B — Cession à un fonds infrastructure (probabilité moyenne — 25 %)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Acheteurs potentiels : Mirova Energy Transition, Demeter, RIVE Private Investment, fonds régionaux outre-mer</w:t>
        <w:br/>
        <w:t>Multiple cible : x8 à x10 sur EBITDA</w:t>
        <w:br/>
        <w:t>Prix indicatif : 2,0 à 4,0 M€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Scénario C — Buy-back fondateurs (probabilité moyenne — 15 %)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Si la trésorerie le permet à partir de l'An 6, rachat des parts investisseurs à valorisation contractuelle par les fondateurs (TIR plancher 5 % garanti).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Scénario D — IPO Euronext Growth Paris (probabilité faible — 5 %)</w:t>
      </w:r>
      <w:r>
        <w:rPr>
          <w:rFonts w:ascii="Calibri" w:hAnsi="Calibri" w:cs="Calibri"/>
          <w:b w:val="0"/>
          <w:i w:val="0"/>
          <w:color w:val="1A3A00"/>
          <w:sz w:val="22"/>
        </w:rPr>
        <w:br/>
        <w:t>Conditions : EBITDA &gt; 800 k€, croissance &gt; 30 %, expansion Antilles validée</w:t>
        <w:br/>
        <w:t>Horizon : 8-10 ans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8.2 Multiples investisseur (scénarios)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Scénario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Sortie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Prix global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Part investisseurs (30%)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Multiple cash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0A480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/>
                <w:i w:val="0"/>
                <w:color w:val="FFFFFF"/>
                <w:sz w:val="20"/>
              </w:rPr>
              <w:t>TIR 7-8 ans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Pessimiste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An 8 - Buy-back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0,3 M€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0,3 M€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x1,0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0 %</w:t>
            </w:r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Médian (cession industrielle An 7)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2,0 M€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0,6 M€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x2,0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10 %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Médian + (cession fonds An 8)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2,8 M€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0,84 M€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x2,8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14 %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Optimiste (fonds infra An 7)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4,0 M€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1,2 M€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x4,0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22 %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spacing w:before="40" w:after="40"/>
            </w:pPr>
            <w:r/>
          </w:p>
        </w:tc>
      </w:tr>
      <w:tr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Optimiste + (Antilles + DC fast An 8)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7,2 M€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2,16 M€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x7,2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  <w:r>
              <w:rPr>
                <w:rFonts w:ascii="Calibri" w:hAnsi="Calibri" w:cs="Calibri"/>
                <w:b w:val="0"/>
                <w:i w:val="0"/>
                <w:color w:val="1A3A00"/>
                <w:sz w:val="19"/>
              </w:rPr>
              <w:t>28 %</w:t>
            </w:r>
          </w:p>
        </w:tc>
        <w:tc>
          <w:tcPr>
            <w:tcW w:type="dxa" w:w="1662"/>
            <w:vAlign w:val="top"/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F4FFF0"/>
          </w:tcPr>
          <w:p>
            <w:pPr>
              <w:spacing w:before="40" w:after="40"/>
            </w:pPr>
            <w:r/>
          </w:p>
        </w:tc>
      </w:tr>
    </w:tbl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9. Points de contact et data room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9.1 Contact opérationnel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Loïc Yves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Président</w:t>
        <w:br/>
        <w:t>Email : egreencitys@gmail.com</w:t>
        <w:br/>
        <w:t>Tél : +33 6 51 14 11 18</w:t>
      </w:r>
    </w:p>
    <w:p>
      <w:pPr>
        <w:spacing w:after="120" w:line="312" w:lineRule="auto"/>
      </w:pPr>
      <w:r>
        <w:rPr>
          <w:rFonts w:ascii="Calibri" w:hAnsi="Calibri" w:cs="Calibri"/>
          <w:b/>
          <w:i w:val="0"/>
          <w:color w:val="0A4800"/>
          <w:sz w:val="22"/>
        </w:rPr>
        <w:t>Patrice Claude LUDOSKY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— Directeur Général</w:t>
        <w:br/>
        <w:t>Email : egreencitys@gmail.com</w:t>
        <w:br/>
        <w:t>Tél : +33 6 51 14 11 18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9.2 Data room digitale (sur demande)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Une </w:t>
      </w:r>
      <w:r>
        <w:rPr>
          <w:rFonts w:ascii="Calibri" w:hAnsi="Calibri" w:cs="Calibri"/>
          <w:b/>
          <w:i w:val="0"/>
          <w:color w:val="0A4800"/>
          <w:sz w:val="22"/>
        </w:rPr>
        <w:t>data room virtuelle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est mise à disposition des investisseurs intéressés sous engagement de confidentialité (NDA) :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Statuts et K-bis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Comptes provisoires 2025 et 2026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Modèle financier détaillé (Excel)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Devis fournisseur E-TOTEM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Lettre subvention ADVENIR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Plaquette commerciale et site web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Dossier ADVENIR complet (10 pièces)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Modèles de contrats (LOA, convention domaine public)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49 cibles entreprises B2B (Excel base)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>Pitch deck et présentations utilisées en RDV</w:t>
      </w:r>
    </w:p>
    <w:p>
      <w:pPr>
        <w:spacing w:before="200" w:after="80"/>
      </w:pPr>
      <w:r>
        <w:rPr>
          <w:rFonts w:ascii="Calibri" w:hAnsi="Calibri" w:cs="Calibri"/>
          <w:b/>
          <w:i w:val="0"/>
          <w:color w:val="0A4800"/>
          <w:sz w:val="24"/>
        </w:rPr>
        <w:t>9.3 Conseillers et tiers de confiance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Conseil juridique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à confirmer (cabinet local Cayenne ou métropolitain spécialisé SAS)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Expert-comptable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à confirmer</w:t>
      </w:r>
    </w:p>
    <w:p>
      <w:pPr>
        <w:pStyle w:val="ListBullet"/>
        <w:spacing w:after="40" w:line="288" w:lineRule="auto"/>
      </w:pPr>
      <w:r>
        <w:rPr>
          <w:rFonts w:ascii="Calibri" w:hAnsi="Calibri" w:cs="Calibri"/>
          <w:b/>
          <w:i w:val="0"/>
          <w:color w:val="0A4800"/>
          <w:sz w:val="22"/>
        </w:rPr>
        <w:t>Auditeur indépendant pour due diligence financière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: Mazars Guyane ou Deloitte Caraïbes (sur demande investisseur)</w:t>
      </w:r>
    </w:p>
    <w:p>
      <w:pPr>
        <w:pBdr>
          <w:bottom w:val="single" w:sz="8" w:space="1" w:color="33CC00"/>
        </w:pBdr>
      </w:pPr>
    </w:p>
    <w:p>
      <w:pPr>
        <w:spacing w:before="280" w:after="120"/>
        <w:pBdr>
          <w:bottom w:val="single" w:sz="12" w:space="1" w:color="33CC00"/>
        </w:pBdr>
      </w:pPr>
      <w:r>
        <w:rPr>
          <w:rFonts w:ascii="Calibri" w:hAnsi="Calibri" w:cs="Calibri"/>
          <w:b/>
          <w:i w:val="0"/>
          <w:color w:val="0A4800"/>
          <w:sz w:val="28"/>
        </w:rPr>
        <w:t>10. Disclaimer juridique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 présent Memorandum est fourni à titre informatif. Il ne constitue </w:t>
      </w:r>
      <w:r>
        <w:rPr>
          <w:rFonts w:ascii="Calibri" w:hAnsi="Calibri" w:cs="Calibri"/>
          <w:b/>
          <w:i w:val="0"/>
          <w:color w:val="0A4800"/>
          <w:sz w:val="22"/>
        </w:rPr>
        <w:t>pas une offre de souscription publique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au sens des articles L.411-1 et L.411-2 du Code monétaire et financier. La diffusion de ce document est limitée à des </w:t>
      </w:r>
      <w:r>
        <w:rPr>
          <w:rFonts w:ascii="Calibri" w:hAnsi="Calibri" w:cs="Calibri"/>
          <w:b/>
          <w:i w:val="0"/>
          <w:color w:val="0A4800"/>
          <w:sz w:val="22"/>
        </w:rPr>
        <w:t>investisseurs qualifiés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au sens de l'article L.411-2 du même code.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Les </w:t>
      </w:r>
      <w:r>
        <w:rPr>
          <w:rFonts w:ascii="Calibri" w:hAnsi="Calibri" w:cs="Calibri"/>
          <w:b/>
          <w:i w:val="0"/>
          <w:color w:val="0A4800"/>
          <w:sz w:val="22"/>
        </w:rPr>
        <w:t>projections financières</w:t>
      </w:r>
      <w:r>
        <w:rPr>
          <w:rFonts w:ascii="Calibri" w:hAnsi="Calibri" w:cs="Calibri"/>
          <w:b w:val="0"/>
          <w:i w:val="0"/>
          <w:color w:val="1A3A00"/>
          <w:sz w:val="22"/>
        </w:rPr>
        <w:t xml:space="preserve"> sont fondées sur des hypothèses raisonnables au moment de la rédaction, mais demeurent par nature incertaines. EGREENCITY'S ne garantit aucune performance future.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L'investissement présente des </w:t>
      </w:r>
      <w:r>
        <w:rPr>
          <w:rFonts w:ascii="Calibri" w:hAnsi="Calibri" w:cs="Calibri"/>
          <w:b/>
          <w:i w:val="0"/>
          <w:color w:val="0A4800"/>
          <w:sz w:val="22"/>
        </w:rPr>
        <w:t>risques de perte en capital</w:t>
      </w:r>
      <w:r>
        <w:rPr>
          <w:rFonts w:ascii="Calibri" w:hAnsi="Calibri" w:cs="Calibri"/>
          <w:b w:val="0"/>
          <w:i w:val="0"/>
          <w:color w:val="1A3A00"/>
          <w:sz w:val="22"/>
        </w:rPr>
        <w:t>. Les investisseurs sont invités à mener leur propre due diligence et à se faire accompagner par leurs conseils.</w:t>
      </w:r>
    </w:p>
    <w:p>
      <w:pPr>
        <w:spacing w:after="120" w:line="312" w:lineRule="auto"/>
      </w:pPr>
      <w:r>
        <w:rPr>
          <w:rFonts w:ascii="Calibri" w:hAnsi="Calibri" w:cs="Calibri"/>
          <w:b w:val="0"/>
          <w:i w:val="0"/>
          <w:color w:val="1A3A00"/>
          <w:sz w:val="22"/>
        </w:rPr>
        <w:t xml:space="preserve">Ce Memorandum est strictement </w:t>
      </w:r>
      <w:r>
        <w:rPr>
          <w:rFonts w:ascii="Calibri" w:hAnsi="Calibri" w:cs="Calibri"/>
          <w:b/>
          <w:i w:val="0"/>
          <w:color w:val="0A4800"/>
          <w:sz w:val="22"/>
        </w:rPr>
        <w:t>confidentiel</w:t>
      </w:r>
      <w:r>
        <w:rPr>
          <w:rFonts w:ascii="Calibri" w:hAnsi="Calibri" w:cs="Calibri"/>
          <w:b w:val="0"/>
          <w:i w:val="0"/>
          <w:color w:val="1A3A00"/>
          <w:sz w:val="22"/>
        </w:rPr>
        <w:t>. Toute diffusion à un tiers nécessite l'autorisation écrite préalable d'EGREENCITY'S SAS.</w:t>
      </w:r>
    </w:p>
    <w:p>
      <w:pPr>
        <w:pBdr>
          <w:bottom w:val="single" w:sz="8" w:space="1" w:color="33CC00"/>
        </w:pBdr>
      </w:pPr>
    </w:p>
    <w:p>
      <w:pPr>
        <w:spacing w:after="120" w:line="312" w:lineRule="auto"/>
      </w:pPr>
      <w:r>
        <w:rPr>
          <w:rFonts w:ascii="Calibri" w:hAnsi="Calibri" w:cs="Calibri"/>
          <w:b w:val="0"/>
          <w:i/>
          <w:color w:val="2B4DB5"/>
          <w:sz w:val="22"/>
        </w:rPr>
        <w:t>Memorandum d'Investissement — EGREENCITY'S — Mai 2026 — Document confidentiel</w:t>
      </w:r>
      <w:r>
        <w:rPr>
          <w:rFonts w:ascii="Calibri" w:hAnsi="Calibri" w:cs="Calibri"/>
          <w:b w:val="0"/>
          <w:i w:val="0"/>
          <w:color w:val="1A3A00"/>
          <w:sz w:val="22"/>
        </w:rPr>
        <w:br/>
      </w:r>
      <w:r>
        <w:rPr>
          <w:rFonts w:ascii="Calibri" w:hAnsi="Calibri" w:cs="Calibri"/>
          <w:b w:val="0"/>
          <w:i/>
          <w:color w:val="2B4DB5"/>
          <w:sz w:val="22"/>
        </w:rPr>
        <w:t>EGREENCITY'S SAS · 1 rue Anangosi, Résidence La Rougerie · 97355 MACOURIA · RCS Cayenne 878 682 854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36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888888"/>
        <w:sz w:val="16"/>
      </w:rPr>
      <w:t>EGREENCITY'S SAS · RCS Cayenne 878 682 854 · egreencitys@gmail.com · +33 6 51 14 11 18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44726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44726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3A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