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80"/>
        <w:shd w:val="clear" w:fill="0A4800"/>
        <w:pBdr>
          <w:left w:val="single" w:sz="24" w:space="4" w:color="33CC00"/>
        </w:pBdr>
        <w:ind w:left="227"/>
      </w:pPr>
      <w:r>
        <w:rPr>
          <w:rFonts w:ascii="Calibri" w:hAnsi="Calibri" w:cs="Calibri"/>
          <w:b/>
          <w:i w:val="0"/>
          <w:color w:val="FFFFFF"/>
          <w:sz w:val="36"/>
        </w:rPr>
        <w:t>Term Sheet Type</w:t>
      </w:r>
    </w:p>
    <w:p>
      <w:pPr>
        <w:spacing w:before="280" w:after="120"/>
        <w:pBdr>
          <w:bottom w:val="single" w:sz="12" w:space="1" w:color="33CC00"/>
        </w:pBdr>
      </w:pPr>
      <w:r>
        <w:rPr>
          <w:rFonts w:ascii="Calibri" w:hAnsi="Calibri" w:cs="Calibri"/>
          <w:b/>
          <w:i w:val="0"/>
          <w:color w:val="0A4800"/>
          <w:sz w:val="28"/>
        </w:rPr>
        <w:t>EGREENCITY'S SAS — Tour de financement Seed 2026</w:t>
      </w:r>
    </w:p>
    <w:p>
      <w:pPr>
        <w:pBdr>
          <w:bottom w:val="single" w:sz="8" w:space="1" w:color="33CC00"/>
        </w:pBdr>
      </w:pPr>
    </w:p>
    <w:p>
      <w:pPr>
        <w:spacing w:before="120" w:after="120" w:line="312" w:lineRule="auto"/>
        <w:ind w:left="283"/>
        <w:pBdr>
          <w:left w:val="single" w:sz="24" w:space="8" w:color="2B4DB5"/>
        </w:pBdr>
        <w:shd w:val="clear" w:fill="F0F3FB"/>
      </w:pPr>
      <w:r>
        <w:rPr>
          <w:rFonts w:ascii="Calibri" w:hAnsi="Calibri" w:cs="Calibri"/>
          <w:b w:val="0"/>
          <w:i/>
          <w:color w:val="1A3A00"/>
          <w:sz w:val="20"/>
        </w:rPr>
        <w:t>Document non engageant. Les présents termes ne constituent qu'une base de discussion entre EGREENCITY'S SAS et l'investisseur potentiel. Seul un pacte d'actionnaires signé entre les parties après due diligence aura valeur juridique contraignante.</w:t>
      </w:r>
    </w:p>
    <w:p>
      <w:pPr>
        <w:pBdr>
          <w:bottom w:val="single" w:sz="8" w:space="1" w:color="33CC00"/>
        </w:pBdr>
      </w:pPr>
    </w:p>
    <w:p>
      <w:pPr>
        <w:spacing w:before="280" w:after="120"/>
        <w:pBdr>
          <w:bottom w:val="single" w:sz="12" w:space="1" w:color="33CC00"/>
        </w:pBdr>
      </w:pPr>
      <w:r>
        <w:rPr>
          <w:rFonts w:ascii="Calibri" w:hAnsi="Calibri" w:cs="Calibri"/>
          <w:b/>
          <w:i w:val="0"/>
          <w:color w:val="0A4800"/>
          <w:sz w:val="28"/>
        </w:rPr>
        <w:t>I. Parties</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Partie</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Identité</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Société (Émetteur)</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EGREENCITY'S SAS — RCS Cayenne 878 682 854 — Représentée par Loïc Yves LUDOSKY, Président</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Fondateurs</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Loïc Yves LUDOSKY (175 actions) — Patrice Claude LUDOSKY (75 actions)</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Investisseur(s)</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color w:val="2B4DB5"/>
                <w:sz w:val="19"/>
              </w:rPr>
              <w:t>_</w:t>
            </w:r>
            <w:r>
              <w:rPr>
                <w:rFonts w:ascii="Calibri" w:hAnsi="Calibri" w:cs="Calibri"/>
                <w:b/>
                <w:i/>
                <w:color w:val="2B4DB5"/>
                <w:sz w:val="19"/>
              </w:rPr>
              <w:t>_</w:t>
            </w:r>
            <w:r>
              <w:rPr>
                <w:rFonts w:ascii="Calibri" w:hAnsi="Calibri" w:cs="Calibri"/>
                <w:b/>
                <w:i/>
                <w:color w:val="2B4DB5"/>
                <w:sz w:val="19"/>
              </w:rPr>
              <w:t>_</w:t>
            </w:r>
            <w:r>
              <w:rPr>
                <w:rFonts w:ascii="Calibri" w:hAnsi="Calibri" w:cs="Calibri"/>
                <w:b/>
                <w:i/>
                <w:color w:val="2B4DB5"/>
                <w:sz w:val="19"/>
              </w:rPr>
              <w:t>_</w:t>
            </w:r>
            <w:r>
              <w:rPr>
                <w:rFonts w:ascii="Calibri" w:hAnsi="Calibri" w:cs="Calibri"/>
                <w:b/>
                <w:i/>
                <w:color w:val="2B4DB5"/>
                <w:sz w:val="19"/>
              </w:rPr>
              <w:t>_</w:t>
            </w:r>
            <w:r>
              <w:rPr>
                <w:rFonts w:ascii="Calibri" w:hAnsi="Calibri" w:cs="Calibri"/>
                <w:b/>
                <w:i/>
                <w:color w:val="2B4DB5"/>
                <w:sz w:val="19"/>
              </w:rPr>
              <w:t>_</w:t>
            </w:r>
            <w:r>
              <w:rPr>
                <w:rFonts w:ascii="Calibri" w:hAnsi="Calibri" w:cs="Calibri"/>
                <w:b w:val="0"/>
                <w:i w:val="0"/>
                <w:color w:val="1A3A00"/>
                <w:sz w:val="19"/>
              </w:rPr>
              <w:t>___</w:t>
            </w:r>
          </w:p>
        </w:tc>
      </w:tr>
    </w:tbl>
    <w:p>
      <w:pPr>
        <w:pBdr>
          <w:bottom w:val="single" w:sz="8" w:space="1" w:color="33CC00"/>
        </w:pBdr>
      </w:pPr>
    </w:p>
    <w:p>
      <w:pPr>
        <w:spacing w:before="280" w:after="120"/>
        <w:pBdr>
          <w:bottom w:val="single" w:sz="12" w:space="1" w:color="33CC00"/>
        </w:pBdr>
      </w:pPr>
      <w:r>
        <w:rPr>
          <w:rFonts w:ascii="Calibri" w:hAnsi="Calibri" w:cs="Calibri"/>
          <w:b/>
          <w:i w:val="0"/>
          <w:color w:val="0A4800"/>
          <w:sz w:val="28"/>
        </w:rPr>
        <w:t>II. Caractéristiques de l'opération</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Paramètre</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Valeur</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Nature de l'opération</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Augmentation de capital en numéraire</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Type de titres émis</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Actions ordinaires</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Nominal par action</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 EUR</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Valorisation pré-money</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700 000 EUR</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Montant total levé</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300 000 EUR</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Valorisation post-money</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1 000 000 EUR</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Nombre d'actions nouvelles à émettre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À calculer selon souscription</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Prime d'émission</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À déterminer selon valorisation finale</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Date prévue de closing</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T+90 à T+120 jours suivant signature term sheet</w:t>
            </w:r>
          </w:p>
        </w:tc>
      </w:tr>
    </w:tbl>
    <w:p>
      <w:pPr>
        <w:spacing w:before="200" w:after="80"/>
      </w:pPr>
      <w:r>
        <w:rPr>
          <w:rFonts w:ascii="Calibri" w:hAnsi="Calibri" w:cs="Calibri"/>
          <w:b/>
          <w:i w:val="0"/>
          <w:color w:val="0A4800"/>
          <w:sz w:val="24"/>
        </w:rPr>
        <w:t>Souscription proposée par l'investisseur</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Paramètre</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Valeur</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Montant souscrit (ticket)</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color w:val="2B4DB5"/>
                <w:sz w:val="19"/>
              </w:rPr>
              <w:t>_</w:t>
            </w:r>
            <w:r>
              <w:rPr>
                <w:rFonts w:ascii="Calibri" w:hAnsi="Calibri" w:cs="Calibri"/>
                <w:b/>
                <w:i/>
                <w:color w:val="2B4DB5"/>
                <w:sz w:val="19"/>
              </w:rPr>
              <w:t>_</w:t>
            </w:r>
            <w:r>
              <w:rPr>
                <w:rFonts w:ascii="Calibri" w:hAnsi="Calibri" w:cs="Calibri"/>
                <w:b w:val="0"/>
                <w:i w:val="0"/>
                <w:color w:val="1A3A00"/>
                <w:sz w:val="19"/>
              </w:rPr>
              <w:t>___ EUR</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 du capital post-money correspondant</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color w:val="2B4DB5"/>
                <w:sz w:val="19"/>
              </w:rPr>
              <w:t>_</w:t>
            </w:r>
            <w:r>
              <w:rPr>
                <w:rFonts w:ascii="Calibri" w:hAnsi="Calibri" w:cs="Calibri"/>
                <w:b/>
                <w:i/>
                <w:color w:val="2B4DB5"/>
                <w:sz w:val="19"/>
              </w:rPr>
              <w:t>_</w:t>
            </w:r>
            <w:r>
              <w:rPr>
                <w:rFonts w:ascii="Calibri" w:hAnsi="Calibri" w:cs="Calibri"/>
                <w:b w:val="0"/>
                <w:i w:val="0"/>
                <w:color w:val="1A3A00"/>
                <w:sz w:val="19"/>
              </w:rPr>
              <w:t>___ %</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Nombre d'actions à attribuer</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color w:val="2B4DB5"/>
                <w:sz w:val="19"/>
              </w:rPr>
              <w:t>_</w:t>
            </w:r>
            <w:r>
              <w:rPr>
                <w:rFonts w:ascii="Calibri" w:hAnsi="Calibri" w:cs="Calibri"/>
                <w:b/>
                <w:i/>
                <w:color w:val="2B4DB5"/>
                <w:sz w:val="19"/>
              </w:rPr>
              <w:t>_</w:t>
            </w:r>
            <w:r>
              <w:rPr>
                <w:rFonts w:ascii="Calibri" w:hAnsi="Calibri" w:cs="Calibri"/>
                <w:b w:val="0"/>
                <w:i w:val="0"/>
                <w:color w:val="1A3A00"/>
                <w:sz w:val="19"/>
              </w:rPr>
              <w:t>___</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Prix unitaire par action</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color w:val="2B4DB5"/>
                <w:sz w:val="19"/>
              </w:rPr>
              <w:t>_</w:t>
            </w:r>
            <w:r>
              <w:rPr>
                <w:rFonts w:ascii="Calibri" w:hAnsi="Calibri" w:cs="Calibri"/>
                <w:b/>
                <w:i/>
                <w:color w:val="2B4DB5"/>
                <w:sz w:val="19"/>
              </w:rPr>
              <w:t>_</w:t>
            </w:r>
            <w:r>
              <w:rPr>
                <w:rFonts w:ascii="Calibri" w:hAnsi="Calibri" w:cs="Calibri"/>
                <w:b w:val="0"/>
                <w:i w:val="0"/>
                <w:color w:val="1A3A00"/>
                <w:sz w:val="19"/>
              </w:rPr>
              <w:t>___ EUR</w:t>
            </w:r>
          </w:p>
        </w:tc>
      </w:tr>
    </w:tbl>
    <w:p>
      <w:pPr>
        <w:pBdr>
          <w:bottom w:val="single" w:sz="8" w:space="1" w:color="33CC00"/>
        </w:pBdr>
      </w:pPr>
    </w:p>
    <w:p>
      <w:pPr>
        <w:spacing w:before="280" w:after="120"/>
        <w:pBdr>
          <w:bottom w:val="single" w:sz="12" w:space="1" w:color="33CC00"/>
        </w:pBdr>
      </w:pPr>
      <w:r>
        <w:rPr>
          <w:rFonts w:ascii="Calibri" w:hAnsi="Calibri" w:cs="Calibri"/>
          <w:b/>
          <w:i w:val="0"/>
          <w:color w:val="0A4800"/>
          <w:sz w:val="28"/>
        </w:rPr>
        <w:t>III. Conditions suspensives</w:t>
      </w:r>
    </w:p>
    <w:p>
      <w:pPr>
        <w:spacing w:after="120" w:line="312" w:lineRule="auto"/>
      </w:pPr>
      <w:r>
        <w:rPr>
          <w:rFonts w:ascii="Calibri" w:hAnsi="Calibri" w:cs="Calibri"/>
          <w:b w:val="0"/>
          <w:i w:val="0"/>
          <w:color w:val="1A3A00"/>
          <w:sz w:val="22"/>
        </w:rPr>
        <w:t>Le closing est subordonné à la réalisation, à la satisfaction de l'investisseur, des conditions suivantes :</w:t>
      </w:r>
    </w:p>
    <w:p>
      <w:pPr>
        <w:pStyle w:val="ListNumber"/>
        <w:spacing w:after="40" w:line="288" w:lineRule="auto"/>
      </w:pPr>
      <w:r>
        <w:rPr>
          <w:rFonts w:ascii="Calibri" w:hAnsi="Calibri" w:cs="Calibri"/>
          <w:b/>
          <w:i w:val="0"/>
          <w:color w:val="0A4800"/>
          <w:sz w:val="22"/>
        </w:rPr>
        <w:t>Due diligence financière, juridique, fiscale et opérationnelle</w:t>
      </w:r>
      <w:r>
        <w:rPr>
          <w:rFonts w:ascii="Calibri" w:hAnsi="Calibri" w:cs="Calibri"/>
          <w:b w:val="0"/>
          <w:i w:val="0"/>
          <w:color w:val="1A3A00"/>
          <w:sz w:val="22"/>
        </w:rPr>
        <w:t xml:space="preserve"> réalisée par l'investisseur ou ses conseils, sans révélation de fait substantiel inconnu défavorable</w:t>
      </w:r>
    </w:p>
    <w:p>
      <w:pPr>
        <w:pStyle w:val="ListNumber"/>
        <w:spacing w:after="40" w:line="288" w:lineRule="auto"/>
      </w:pPr>
      <w:r>
        <w:rPr>
          <w:rFonts w:ascii="Calibri" w:hAnsi="Calibri" w:cs="Calibri"/>
          <w:b/>
          <w:i w:val="0"/>
          <w:color w:val="0A4800"/>
          <w:sz w:val="22"/>
        </w:rPr>
        <w:t>Confirmation de la subvention ADVENIR</w:t>
      </w:r>
      <w:r>
        <w:rPr>
          <w:rFonts w:ascii="Calibri" w:hAnsi="Calibri" w:cs="Calibri"/>
          <w:b w:val="0"/>
          <w:i w:val="0"/>
          <w:color w:val="1A3A00"/>
          <w:sz w:val="22"/>
        </w:rPr>
        <w:t xml:space="preserve"> par l'AVERE-France (montant 37 200 EUR confirmé)</w:t>
      </w:r>
    </w:p>
    <w:p>
      <w:pPr>
        <w:pStyle w:val="ListNumber"/>
        <w:spacing w:after="40" w:line="288" w:lineRule="auto"/>
      </w:pPr>
      <w:r>
        <w:rPr>
          <w:rFonts w:ascii="Calibri" w:hAnsi="Calibri" w:cs="Calibri"/>
          <w:b/>
          <w:i w:val="0"/>
          <w:color w:val="0A4800"/>
          <w:sz w:val="22"/>
        </w:rPr>
        <w:t>Signature d'au moins 3 conventions de domaine public</w:t>
      </w:r>
      <w:r>
        <w:rPr>
          <w:rFonts w:ascii="Calibri" w:hAnsi="Calibri" w:cs="Calibri"/>
          <w:b w:val="0"/>
          <w:i w:val="0"/>
          <w:color w:val="1A3A00"/>
          <w:sz w:val="22"/>
        </w:rPr>
        <w:t xml:space="preserve"> avec des communes guyanaises</w:t>
      </w:r>
    </w:p>
    <w:p>
      <w:pPr>
        <w:pStyle w:val="ListNumber"/>
        <w:spacing w:after="40" w:line="288" w:lineRule="auto"/>
      </w:pPr>
      <w:r>
        <w:rPr>
          <w:rFonts w:ascii="Calibri" w:hAnsi="Calibri" w:cs="Calibri"/>
          <w:b/>
          <w:i w:val="0"/>
          <w:color w:val="0A4800"/>
          <w:sz w:val="22"/>
        </w:rPr>
        <w:t>Ouverture d'un compte bancaire professionnel dédié</w:t>
      </w:r>
      <w:r>
        <w:rPr>
          <w:rFonts w:ascii="Calibri" w:hAnsi="Calibri" w:cs="Calibri"/>
          <w:b w:val="0"/>
          <w:i w:val="0"/>
          <w:color w:val="1A3A00"/>
          <w:sz w:val="22"/>
        </w:rPr>
        <w:t xml:space="preserve"> au tour de financement</w:t>
      </w:r>
    </w:p>
    <w:p>
      <w:pPr>
        <w:pStyle w:val="ListNumber"/>
        <w:spacing w:after="40" w:line="288" w:lineRule="auto"/>
      </w:pPr>
      <w:r>
        <w:rPr>
          <w:rFonts w:ascii="Calibri" w:hAnsi="Calibri" w:cs="Calibri"/>
          <w:b/>
          <w:i w:val="0"/>
          <w:color w:val="0A4800"/>
          <w:sz w:val="22"/>
        </w:rPr>
        <w:t>Engagement de non-concurrence</w:t>
      </w:r>
      <w:r>
        <w:rPr>
          <w:rFonts w:ascii="Calibri" w:hAnsi="Calibri" w:cs="Calibri"/>
          <w:b w:val="0"/>
          <w:i w:val="0"/>
          <w:color w:val="1A3A00"/>
          <w:sz w:val="22"/>
        </w:rPr>
        <w:t xml:space="preserve"> de la part des fondateurs (durée 5 ans, périmètre Guyane + Antilles)</w:t>
      </w:r>
    </w:p>
    <w:p>
      <w:pPr>
        <w:pStyle w:val="ListNumber"/>
        <w:spacing w:after="40" w:line="288" w:lineRule="auto"/>
      </w:pPr>
      <w:r>
        <w:rPr>
          <w:rFonts w:ascii="Calibri" w:hAnsi="Calibri" w:cs="Calibri"/>
          <w:b/>
          <w:i w:val="0"/>
          <w:color w:val="0A4800"/>
          <w:sz w:val="22"/>
        </w:rPr>
        <w:t>Pacte d'actionnaires signé</w:t>
      </w:r>
      <w:r>
        <w:rPr>
          <w:rFonts w:ascii="Calibri" w:hAnsi="Calibri" w:cs="Calibri"/>
          <w:b w:val="0"/>
          <w:i w:val="0"/>
          <w:color w:val="1A3A00"/>
          <w:sz w:val="22"/>
        </w:rPr>
        <w:t xml:space="preserve"> entre tous les actionnaires</w:t>
      </w:r>
    </w:p>
    <w:p>
      <w:pPr>
        <w:pStyle w:val="ListNumber"/>
        <w:spacing w:after="40" w:line="288" w:lineRule="auto"/>
      </w:pPr>
      <w:r>
        <w:rPr>
          <w:rFonts w:ascii="Calibri" w:hAnsi="Calibri" w:cs="Calibri"/>
          <w:b/>
          <w:i w:val="0"/>
          <w:color w:val="0A4800"/>
          <w:sz w:val="22"/>
        </w:rPr>
        <w:t>Statuts mis à jour</w:t>
      </w:r>
      <w:r>
        <w:rPr>
          <w:rFonts w:ascii="Calibri" w:hAnsi="Calibri" w:cs="Calibri"/>
          <w:b w:val="0"/>
          <w:i w:val="0"/>
          <w:color w:val="1A3A00"/>
          <w:sz w:val="22"/>
        </w:rPr>
        <w:t xml:space="preserve"> intégrant les clauses du pacte</w:t>
      </w:r>
    </w:p>
    <w:p>
      <w:pPr>
        <w:pStyle w:val="ListNumber"/>
        <w:spacing w:after="40" w:line="288" w:lineRule="auto"/>
      </w:pPr>
      <w:r>
        <w:rPr>
          <w:rFonts w:ascii="Calibri" w:hAnsi="Calibri" w:cs="Calibri"/>
          <w:b/>
          <w:i w:val="0"/>
          <w:color w:val="0A4800"/>
          <w:sz w:val="22"/>
        </w:rPr>
        <w:t>Approbation du comité d'investissement</w:t>
      </w:r>
      <w:r>
        <w:rPr>
          <w:rFonts w:ascii="Calibri" w:hAnsi="Calibri" w:cs="Calibri"/>
          <w:b w:val="0"/>
          <w:i w:val="0"/>
          <w:color w:val="1A3A00"/>
          <w:sz w:val="22"/>
        </w:rPr>
        <w:t xml:space="preserve"> de l'investisseur lead</w:t>
      </w:r>
    </w:p>
    <w:p>
      <w:pPr>
        <w:pBdr>
          <w:bottom w:val="single" w:sz="8" w:space="1" w:color="33CC00"/>
        </w:pBdr>
      </w:pPr>
    </w:p>
    <w:p>
      <w:pPr>
        <w:spacing w:before="280" w:after="120"/>
        <w:pBdr>
          <w:bottom w:val="single" w:sz="12" w:space="1" w:color="33CC00"/>
        </w:pBdr>
      </w:pPr>
      <w:r>
        <w:rPr>
          <w:rFonts w:ascii="Calibri" w:hAnsi="Calibri" w:cs="Calibri"/>
          <w:b/>
          <w:i w:val="0"/>
          <w:color w:val="0A4800"/>
          <w:sz w:val="28"/>
        </w:rPr>
        <w:t>IV. Droits financiers</w:t>
      </w:r>
    </w:p>
    <w:p>
      <w:pPr>
        <w:spacing w:before="200" w:after="80"/>
      </w:pPr>
      <w:r>
        <w:rPr>
          <w:rFonts w:ascii="Calibri" w:hAnsi="Calibri" w:cs="Calibri"/>
          <w:b/>
          <w:i w:val="0"/>
          <w:color w:val="0A4800"/>
          <w:sz w:val="24"/>
        </w:rPr>
        <w:t>IV.1 Préférence à la liquidation</w:t>
      </w:r>
    </w:p>
    <w:p>
      <w:pPr>
        <w:spacing w:after="120" w:line="312" w:lineRule="auto"/>
      </w:pPr>
      <w:r>
        <w:rPr>
          <w:rFonts w:ascii="Calibri" w:hAnsi="Calibri" w:cs="Calibri"/>
          <w:b/>
          <w:i w:val="0"/>
          <w:color w:val="0A4800"/>
          <w:sz w:val="22"/>
        </w:rPr>
        <w:t>Préférence 1x non-participating preferred</w:t>
      </w:r>
      <w:r>
        <w:rPr>
          <w:rFonts w:ascii="Calibri" w:hAnsi="Calibri" w:cs="Calibri"/>
          <w:b w:val="0"/>
          <w:i w:val="0"/>
          <w:color w:val="1A3A00"/>
          <w:sz w:val="22"/>
        </w:rPr>
        <w:t xml:space="preserve"> : en cas de liquidation, cession de la société, fusion, ou tout événement de liquidité, les investisseurs récupèrent en priorité </w:t>
      </w:r>
      <w:r>
        <w:rPr>
          <w:rFonts w:ascii="Calibri" w:hAnsi="Calibri" w:cs="Calibri"/>
          <w:b/>
          <w:i w:val="0"/>
          <w:color w:val="0A4800"/>
          <w:sz w:val="22"/>
        </w:rPr>
        <w:t>un montant équivalent à leur apport</w:t>
      </w:r>
      <w:r>
        <w:rPr>
          <w:rFonts w:ascii="Calibri" w:hAnsi="Calibri" w:cs="Calibri"/>
          <w:b w:val="0"/>
          <w:i w:val="0"/>
          <w:color w:val="1A3A00"/>
          <w:sz w:val="22"/>
        </w:rPr>
        <w:t xml:space="preserve"> (et non multiplié), avant toute distribution aux fondateurs.</w:t>
      </w:r>
    </w:p>
    <w:p>
      <w:pPr>
        <w:spacing w:after="120" w:line="312" w:lineRule="auto"/>
      </w:pPr>
      <w:r>
        <w:rPr>
          <w:rFonts w:ascii="Calibri" w:hAnsi="Calibri" w:cs="Calibri"/>
          <w:b w:val="0"/>
          <w:i w:val="0"/>
          <w:color w:val="1A3A00"/>
          <w:sz w:val="22"/>
        </w:rPr>
        <w:t>Si la valorisation de sortie est supérieure à la préférence + valeur des actions ordinaires, les investisseurs choisissent la voie la plus avantageuse (préférence OU conversion en actions ordinaires).</w:t>
      </w:r>
    </w:p>
    <w:p>
      <w:pPr>
        <w:spacing w:before="200" w:after="80"/>
      </w:pPr>
      <w:r>
        <w:rPr>
          <w:rFonts w:ascii="Calibri" w:hAnsi="Calibri" w:cs="Calibri"/>
          <w:b/>
          <w:i w:val="0"/>
          <w:color w:val="0A4800"/>
          <w:sz w:val="24"/>
        </w:rPr>
        <w:t>IV.2 Anti-dilution</w:t>
      </w:r>
    </w:p>
    <w:p>
      <w:pPr>
        <w:spacing w:after="120" w:line="312" w:lineRule="auto"/>
      </w:pPr>
      <w:r>
        <w:rPr>
          <w:rFonts w:ascii="Calibri" w:hAnsi="Calibri" w:cs="Calibri"/>
          <w:b/>
          <w:i w:val="0"/>
          <w:color w:val="0A4800"/>
          <w:sz w:val="22"/>
        </w:rPr>
        <w:t>Clause weighted-average broad-based</w:t>
      </w:r>
      <w:r>
        <w:rPr>
          <w:rFonts w:ascii="Calibri" w:hAnsi="Calibri" w:cs="Calibri"/>
          <w:b w:val="0"/>
          <w:i w:val="0"/>
          <w:color w:val="1A3A00"/>
          <w:sz w:val="22"/>
        </w:rPr>
        <w:t xml:space="preserve"> : protection contre les dilutions ultérieures à un prix par action inférieur à celui souscrit. Le prix de conversion des actions investisseurs est ajusté selon la formule :</w:t>
      </w:r>
    </w:p>
    <w:p>
      <w:pPr>
        <w:spacing w:before="120" w:after="120"/>
        <w:ind w:left="170"/>
        <w:pBdr>
          <w:left w:val="single" w:sz="24" w:space="8" w:color="33CC00"/>
        </w:pBdr>
        <w:shd w:val="clear" w:fill="F4FFF0"/>
      </w:pPr>
      <w:r>
        <w:rPr>
          <w:rFonts w:ascii="Consolas" w:hAnsi="Consolas" w:cs="Consolas"/>
          <w:b w:val="0"/>
          <w:i w:val="0"/>
          <w:color w:val="1A3A00"/>
          <w:sz w:val="19"/>
        </w:rPr>
        <w:t>NCP = OCP × (A + B) / (A + C)</w:t>
      </w:r>
    </w:p>
    <w:p>
      <w:pPr>
        <w:spacing w:after="120" w:line="312" w:lineRule="auto"/>
      </w:pPr>
      <w:r>
        <w:rPr>
          <w:rFonts w:ascii="Calibri" w:hAnsi="Calibri" w:cs="Calibri"/>
          <w:b w:val="0"/>
          <w:i w:val="0"/>
          <w:color w:val="1A3A00"/>
          <w:sz w:val="22"/>
        </w:rPr>
        <w:t>Où :</w:t>
        <w:br/>
        <w:t>- NCP = New Conversion Price</w:t>
        <w:br/>
        <w:t>- OCP = Old Conversion Price</w:t>
        <w:br/>
        <w:t>- A = nombre d'actions en circulation avant la nouvelle émission</w:t>
        <w:br/>
        <w:t>- B = nombre d'actions qu'aurait théoriquement émises l'opération aux conditions OCP</w:t>
        <w:br/>
        <w:t>- C = nombre d'actions effectivement émises</w:t>
      </w:r>
    </w:p>
    <w:p>
      <w:pPr>
        <w:spacing w:before="200" w:after="80"/>
      </w:pPr>
      <w:r>
        <w:rPr>
          <w:rFonts w:ascii="Calibri" w:hAnsi="Calibri" w:cs="Calibri"/>
          <w:b/>
          <w:i w:val="0"/>
          <w:color w:val="0A4800"/>
          <w:sz w:val="24"/>
        </w:rPr>
        <w:t>IV.3 Droits aux dividendes</w:t>
      </w:r>
    </w:p>
    <w:p>
      <w:pPr>
        <w:pStyle w:val="ListBullet"/>
        <w:spacing w:after="40" w:line="288" w:lineRule="auto"/>
      </w:pPr>
      <w:r>
        <w:rPr>
          <w:rFonts w:ascii="Calibri" w:hAnsi="Calibri" w:cs="Calibri"/>
          <w:b w:val="0"/>
          <w:i w:val="0"/>
          <w:color w:val="1A3A00"/>
          <w:sz w:val="22"/>
        </w:rPr>
        <w:t>Aucun dividende prévu pendant 5 ans (réinvestissement du résultat dans la croissance)</w:t>
      </w:r>
    </w:p>
    <w:p>
      <w:pPr>
        <w:pStyle w:val="ListBullet"/>
        <w:spacing w:after="40" w:line="288" w:lineRule="auto"/>
      </w:pPr>
      <w:r>
        <w:rPr>
          <w:rFonts w:ascii="Calibri" w:hAnsi="Calibri" w:cs="Calibri"/>
          <w:b w:val="0"/>
          <w:i w:val="0"/>
          <w:color w:val="1A3A00"/>
          <w:sz w:val="22"/>
        </w:rPr>
        <w:t>Au-delà : droit aux dividendes au prorata du capital détenu, distribués au libre choix de l'AG</w:t>
      </w:r>
    </w:p>
    <w:p>
      <w:pPr>
        <w:pBdr>
          <w:bottom w:val="single" w:sz="8" w:space="1" w:color="33CC00"/>
        </w:pBdr>
      </w:pPr>
    </w:p>
    <w:p>
      <w:pPr>
        <w:spacing w:before="280" w:after="120"/>
        <w:pBdr>
          <w:bottom w:val="single" w:sz="12" w:space="1" w:color="33CC00"/>
        </w:pBdr>
      </w:pPr>
      <w:r>
        <w:rPr>
          <w:rFonts w:ascii="Calibri" w:hAnsi="Calibri" w:cs="Calibri"/>
          <w:b/>
          <w:i w:val="0"/>
          <w:color w:val="0A4800"/>
          <w:sz w:val="28"/>
        </w:rPr>
        <w:t>V. Droits politiques et gouvernance</w:t>
      </w:r>
    </w:p>
    <w:p>
      <w:pPr>
        <w:spacing w:before="200" w:after="80"/>
      </w:pPr>
      <w:r>
        <w:rPr>
          <w:rFonts w:ascii="Calibri" w:hAnsi="Calibri" w:cs="Calibri"/>
          <w:b/>
          <w:i w:val="0"/>
          <w:color w:val="0A4800"/>
          <w:sz w:val="24"/>
        </w:rPr>
        <w:t>V.1 Conseil stratégique</w:t>
      </w:r>
    </w:p>
    <w:p>
      <w:pPr>
        <w:spacing w:after="120" w:line="312" w:lineRule="auto"/>
      </w:pPr>
      <w:r>
        <w:rPr>
          <w:rFonts w:ascii="Calibri" w:hAnsi="Calibri" w:cs="Calibri"/>
          <w:b w:val="0"/>
          <w:i w:val="0"/>
          <w:color w:val="1A3A00"/>
          <w:sz w:val="22"/>
        </w:rPr>
        <w:t xml:space="preserve">Création d'un </w:t>
      </w:r>
      <w:r>
        <w:rPr>
          <w:rFonts w:ascii="Calibri" w:hAnsi="Calibri" w:cs="Calibri"/>
          <w:b/>
          <w:i w:val="0"/>
          <w:color w:val="0A4800"/>
          <w:sz w:val="22"/>
        </w:rPr>
        <w:t>Conseil Stratégique</w:t>
      </w:r>
      <w:r>
        <w:rPr>
          <w:rFonts w:ascii="Calibri" w:hAnsi="Calibri" w:cs="Calibri"/>
          <w:b w:val="0"/>
          <w:i w:val="0"/>
          <w:color w:val="1A3A00"/>
          <w:sz w:val="22"/>
        </w:rPr>
        <w:t xml:space="preserve"> composé de :</w:t>
        <w:br/>
        <w:t>- 2 sièges fondateurs (Loïc et Patrice LUDOSKY)</w:t>
        <w:br/>
        <w:t>- 1 siège Lead Investor (de droit pour le plus gros ticket)</w:t>
        <w:br/>
        <w:t>- 1 siège Co-Lead Investor (réservé pour ticket &gt; 200 k€)</w:t>
        <w:br/>
        <w:t>- 1 siège Conseil Indépendant (nommé par accord)</w:t>
      </w:r>
    </w:p>
    <w:p>
      <w:pPr>
        <w:spacing w:after="120" w:line="312" w:lineRule="auto"/>
      </w:pPr>
      <w:r>
        <w:rPr>
          <w:rFonts w:ascii="Calibri" w:hAnsi="Calibri" w:cs="Calibri"/>
          <w:b w:val="0"/>
          <w:i w:val="0"/>
          <w:color w:val="1A3A00"/>
          <w:sz w:val="22"/>
        </w:rPr>
        <w:t>Réunions trimestrielles minimum. Tout investisseur souscrivant &gt; 100 k€ a droit à participer en observateur (sans vote).</w:t>
      </w:r>
    </w:p>
    <w:p>
      <w:pPr>
        <w:spacing w:before="200" w:after="80"/>
      </w:pPr>
      <w:r>
        <w:rPr>
          <w:rFonts w:ascii="Calibri" w:hAnsi="Calibri" w:cs="Calibri"/>
          <w:b/>
          <w:i w:val="0"/>
          <w:color w:val="0A4800"/>
          <w:sz w:val="24"/>
        </w:rPr>
        <w:t>V.2 Réserves de matières (matters reserved)</w:t>
      </w:r>
    </w:p>
    <w:p>
      <w:pPr>
        <w:spacing w:after="120" w:line="312" w:lineRule="auto"/>
      </w:pPr>
      <w:r>
        <w:rPr>
          <w:rFonts w:ascii="Calibri" w:hAnsi="Calibri" w:cs="Calibri"/>
          <w:b w:val="0"/>
          <w:i w:val="0"/>
          <w:color w:val="1A3A00"/>
          <w:sz w:val="22"/>
        </w:rPr>
        <w:t xml:space="preserve">Les décisions suivantes nécessitent l'accord du Conseil Stratégique à la majorité simple, incluant </w:t>
      </w:r>
      <w:r>
        <w:rPr>
          <w:rFonts w:ascii="Calibri" w:hAnsi="Calibri" w:cs="Calibri"/>
          <w:b/>
          <w:i w:val="0"/>
          <w:color w:val="0A4800"/>
          <w:sz w:val="22"/>
        </w:rPr>
        <w:t>au moins une voix investisseur</w:t>
      </w:r>
      <w:r>
        <w:rPr>
          <w:rFonts w:ascii="Calibri" w:hAnsi="Calibri" w:cs="Calibri"/>
          <w:b w:val="0"/>
          <w:i w:val="0"/>
          <w:color w:val="1A3A00"/>
          <w:sz w:val="22"/>
        </w:rPr>
        <w:t xml:space="preserve"> :</w:t>
      </w:r>
    </w:p>
    <w:p>
      <w:pPr>
        <w:pStyle w:val="ListNumber"/>
        <w:spacing w:after="40" w:line="288" w:lineRule="auto"/>
      </w:pPr>
      <w:r>
        <w:rPr>
          <w:rFonts w:ascii="Calibri" w:hAnsi="Calibri" w:cs="Calibri"/>
          <w:b w:val="0"/>
          <w:i w:val="0"/>
          <w:color w:val="1A3A00"/>
          <w:sz w:val="22"/>
        </w:rPr>
        <w:t xml:space="preserve">Approbation du </w:t>
      </w:r>
      <w:r>
        <w:rPr>
          <w:rFonts w:ascii="Calibri" w:hAnsi="Calibri" w:cs="Calibri"/>
          <w:b/>
          <w:i w:val="0"/>
          <w:color w:val="0A4800"/>
          <w:sz w:val="22"/>
        </w:rPr>
        <w:t>budget annuel</w:t>
      </w:r>
      <w:r>
        <w:rPr>
          <w:rFonts w:ascii="Calibri" w:hAnsi="Calibri" w:cs="Calibri"/>
          <w:b w:val="0"/>
          <w:i w:val="0"/>
          <w:color w:val="1A3A00"/>
          <w:sz w:val="22"/>
        </w:rPr>
        <w:t xml:space="preserve"> et du business plan</w:t>
      </w:r>
    </w:p>
    <w:p>
      <w:pPr>
        <w:pStyle w:val="ListNumber"/>
        <w:spacing w:after="40" w:line="288" w:lineRule="auto"/>
      </w:pPr>
      <w:r>
        <w:rPr>
          <w:rFonts w:ascii="Calibri" w:hAnsi="Calibri" w:cs="Calibri"/>
          <w:b/>
          <w:i w:val="0"/>
          <w:color w:val="0A4800"/>
          <w:sz w:val="22"/>
        </w:rPr>
        <w:t>Modifications statutaires</w:t>
      </w:r>
    </w:p>
    <w:p>
      <w:pPr>
        <w:pStyle w:val="ListNumber"/>
        <w:spacing w:after="40" w:line="288" w:lineRule="auto"/>
      </w:pPr>
      <w:r>
        <w:rPr>
          <w:rFonts w:ascii="Calibri" w:hAnsi="Calibri" w:cs="Calibri"/>
          <w:b/>
          <w:i w:val="0"/>
          <w:color w:val="0A4800"/>
          <w:sz w:val="22"/>
        </w:rPr>
        <w:t>Distribution de dividendes</w:t>
      </w:r>
    </w:p>
    <w:p>
      <w:pPr>
        <w:pStyle w:val="ListNumber"/>
        <w:spacing w:after="40" w:line="288" w:lineRule="auto"/>
      </w:pPr>
      <w:r>
        <w:rPr>
          <w:rFonts w:ascii="Calibri" w:hAnsi="Calibri" w:cs="Calibri"/>
          <w:b/>
          <w:i w:val="0"/>
          <w:color w:val="0A4800"/>
          <w:sz w:val="22"/>
        </w:rPr>
        <w:t>Levée de fonds</w:t>
      </w:r>
      <w:r>
        <w:rPr>
          <w:rFonts w:ascii="Calibri" w:hAnsi="Calibri" w:cs="Calibri"/>
          <w:b w:val="0"/>
          <w:i w:val="0"/>
          <w:color w:val="1A3A00"/>
          <w:sz w:val="22"/>
        </w:rPr>
        <w:t xml:space="preserve"> ultérieure &gt; 200 k€</w:t>
      </w:r>
    </w:p>
    <w:p>
      <w:pPr>
        <w:pStyle w:val="ListNumber"/>
        <w:spacing w:after="40" w:line="288" w:lineRule="auto"/>
      </w:pPr>
      <w:r>
        <w:rPr>
          <w:rFonts w:ascii="Calibri" w:hAnsi="Calibri" w:cs="Calibri"/>
          <w:b/>
          <w:i w:val="0"/>
          <w:color w:val="0A4800"/>
          <w:sz w:val="22"/>
        </w:rPr>
        <w:t>Cession ou acquisition</w:t>
      </w:r>
      <w:r>
        <w:rPr>
          <w:rFonts w:ascii="Calibri" w:hAnsi="Calibri" w:cs="Calibri"/>
          <w:b w:val="0"/>
          <w:i w:val="0"/>
          <w:color w:val="1A3A00"/>
          <w:sz w:val="22"/>
        </w:rPr>
        <w:t xml:space="preserve"> d'actifs &gt; 100 k€</w:t>
      </w:r>
    </w:p>
    <w:p>
      <w:pPr>
        <w:pStyle w:val="ListNumber"/>
        <w:spacing w:after="40" w:line="288" w:lineRule="auto"/>
      </w:pPr>
      <w:r>
        <w:rPr>
          <w:rFonts w:ascii="Calibri" w:hAnsi="Calibri" w:cs="Calibri"/>
          <w:b/>
          <w:i w:val="0"/>
          <w:color w:val="0A4800"/>
          <w:sz w:val="22"/>
        </w:rPr>
        <w:t>Recrutement</w:t>
      </w:r>
      <w:r>
        <w:rPr>
          <w:rFonts w:ascii="Calibri" w:hAnsi="Calibri" w:cs="Calibri"/>
          <w:b w:val="0"/>
          <w:i w:val="0"/>
          <w:color w:val="1A3A00"/>
          <w:sz w:val="22"/>
        </w:rPr>
        <w:t xml:space="preserve"> ou licenciement de cadres dirigeants &gt; 50 k€/an</w:t>
      </w:r>
    </w:p>
    <w:p>
      <w:pPr>
        <w:pStyle w:val="ListNumber"/>
        <w:spacing w:after="40" w:line="288" w:lineRule="auto"/>
      </w:pPr>
      <w:r>
        <w:rPr>
          <w:rFonts w:ascii="Calibri" w:hAnsi="Calibri" w:cs="Calibri"/>
          <w:b/>
          <w:i w:val="0"/>
          <w:color w:val="0A4800"/>
          <w:sz w:val="22"/>
        </w:rPr>
        <w:t>Changement de mandataires sociaux</w:t>
      </w:r>
      <w:r>
        <w:rPr>
          <w:rFonts w:ascii="Calibri" w:hAnsi="Calibri" w:cs="Calibri"/>
          <w:b w:val="0"/>
          <w:i w:val="0"/>
          <w:color w:val="1A3A00"/>
          <w:sz w:val="22"/>
        </w:rPr>
        <w:t xml:space="preserve"> (Président, DG)</w:t>
      </w:r>
    </w:p>
    <w:p>
      <w:pPr>
        <w:pStyle w:val="ListNumber"/>
        <w:spacing w:after="40" w:line="288" w:lineRule="auto"/>
      </w:pPr>
      <w:r>
        <w:rPr>
          <w:rFonts w:ascii="Calibri" w:hAnsi="Calibri" w:cs="Calibri"/>
          <w:b/>
          <w:i w:val="0"/>
          <w:color w:val="0A4800"/>
          <w:sz w:val="22"/>
        </w:rPr>
        <w:t>Engagements de plus de 250 k€</w:t>
      </w:r>
      <w:r>
        <w:rPr>
          <w:rFonts w:ascii="Calibri" w:hAnsi="Calibri" w:cs="Calibri"/>
          <w:b w:val="0"/>
          <w:i w:val="0"/>
          <w:color w:val="1A3A00"/>
          <w:sz w:val="22"/>
        </w:rPr>
        <w:t xml:space="preserve"> ou de plus de 5 ans (location, partenariat)</w:t>
      </w:r>
    </w:p>
    <w:p>
      <w:pPr>
        <w:pStyle w:val="ListNumber"/>
        <w:spacing w:after="40" w:line="288" w:lineRule="auto"/>
      </w:pPr>
      <w:r>
        <w:rPr>
          <w:rFonts w:ascii="Calibri" w:hAnsi="Calibri" w:cs="Calibri"/>
          <w:b/>
          <w:i w:val="0"/>
          <w:color w:val="0A4800"/>
          <w:sz w:val="22"/>
        </w:rPr>
        <w:t>Souscription d'emprunts</w:t>
      </w:r>
      <w:r>
        <w:rPr>
          <w:rFonts w:ascii="Calibri" w:hAnsi="Calibri" w:cs="Calibri"/>
          <w:b w:val="0"/>
          <w:i w:val="0"/>
          <w:color w:val="1A3A00"/>
          <w:sz w:val="22"/>
        </w:rPr>
        <w:t xml:space="preserve"> &gt; 100 k€</w:t>
      </w:r>
    </w:p>
    <w:p>
      <w:pPr>
        <w:pStyle w:val="ListNumber"/>
        <w:spacing w:after="40" w:line="288" w:lineRule="auto"/>
      </w:pPr>
      <w:r>
        <w:rPr>
          <w:rFonts w:ascii="Calibri" w:hAnsi="Calibri" w:cs="Calibri"/>
          <w:b/>
          <w:i w:val="0"/>
          <w:color w:val="0A4800"/>
          <w:sz w:val="22"/>
        </w:rPr>
        <w:t>Cession ou liquidation</w:t>
      </w:r>
      <w:r>
        <w:rPr>
          <w:rFonts w:ascii="Calibri" w:hAnsi="Calibri" w:cs="Calibri"/>
          <w:b w:val="0"/>
          <w:i w:val="0"/>
          <w:color w:val="1A3A00"/>
          <w:sz w:val="22"/>
        </w:rPr>
        <w:t xml:space="preserve"> de la société</w:t>
      </w:r>
    </w:p>
    <w:p>
      <w:pPr>
        <w:spacing w:before="200" w:after="80"/>
      </w:pPr>
      <w:r>
        <w:rPr>
          <w:rFonts w:ascii="Calibri" w:hAnsi="Calibri" w:cs="Calibri"/>
          <w:b/>
          <w:i w:val="0"/>
          <w:color w:val="0A4800"/>
          <w:sz w:val="24"/>
        </w:rPr>
        <w:t>V.3 Information</w:t>
      </w:r>
    </w:p>
    <w:p>
      <w:pPr>
        <w:spacing w:after="120" w:line="312" w:lineRule="auto"/>
      </w:pPr>
      <w:r>
        <w:rPr>
          <w:rFonts w:ascii="Calibri" w:hAnsi="Calibri" w:cs="Calibri"/>
          <w:b w:val="0"/>
          <w:i w:val="0"/>
          <w:color w:val="1A3A00"/>
          <w:sz w:val="22"/>
        </w:rPr>
        <w:t>Les investisseurs ont accès à :</w:t>
        <w:br/>
        <w:t xml:space="preserve">- </w:t>
      </w:r>
      <w:r>
        <w:rPr>
          <w:rFonts w:ascii="Calibri" w:hAnsi="Calibri" w:cs="Calibri"/>
          <w:b/>
          <w:i w:val="0"/>
          <w:color w:val="0A4800"/>
          <w:sz w:val="22"/>
        </w:rPr>
        <w:t>Reporting mensuel</w:t>
      </w:r>
      <w:r>
        <w:rPr>
          <w:rFonts w:ascii="Calibri" w:hAnsi="Calibri" w:cs="Calibri"/>
          <w:b w:val="0"/>
          <w:i w:val="0"/>
          <w:color w:val="1A3A00"/>
          <w:sz w:val="22"/>
        </w:rPr>
        <w:t xml:space="preserve"> : tableau de bord opérationnel (PDC opérationnels, contrats LOA, sessions, revenus, trésorerie)</w:t>
        <w:br/>
        <w:t xml:space="preserve">- </w:t>
      </w:r>
      <w:r>
        <w:rPr>
          <w:rFonts w:ascii="Calibri" w:hAnsi="Calibri" w:cs="Calibri"/>
          <w:b/>
          <w:i w:val="0"/>
          <w:color w:val="0A4800"/>
          <w:sz w:val="22"/>
        </w:rPr>
        <w:t>Reporting trimestriel</w:t>
      </w:r>
      <w:r>
        <w:rPr>
          <w:rFonts w:ascii="Calibri" w:hAnsi="Calibri" w:cs="Calibri"/>
          <w:b w:val="0"/>
          <w:i w:val="0"/>
          <w:color w:val="1A3A00"/>
          <w:sz w:val="22"/>
        </w:rPr>
        <w:t xml:space="preserve"> : compte de résultat, bilan, point stratégique</w:t>
        <w:br/>
        <w:t xml:space="preserve">- </w:t>
      </w:r>
      <w:r>
        <w:rPr>
          <w:rFonts w:ascii="Calibri" w:hAnsi="Calibri" w:cs="Calibri"/>
          <w:b/>
          <w:i w:val="0"/>
          <w:color w:val="0A4800"/>
          <w:sz w:val="22"/>
        </w:rPr>
        <w:t>Reporting annuel</w:t>
      </w:r>
      <w:r>
        <w:rPr>
          <w:rFonts w:ascii="Calibri" w:hAnsi="Calibri" w:cs="Calibri"/>
          <w:b w:val="0"/>
          <w:i w:val="0"/>
          <w:color w:val="1A3A00"/>
          <w:sz w:val="22"/>
        </w:rPr>
        <w:t xml:space="preserve"> : comptes audités + plan N+1</w:t>
        <w:br/>
        <w:t xml:space="preserve">- </w:t>
      </w:r>
      <w:r>
        <w:rPr>
          <w:rFonts w:ascii="Calibri" w:hAnsi="Calibri" w:cs="Calibri"/>
          <w:b/>
          <w:i w:val="0"/>
          <w:color w:val="0A4800"/>
          <w:sz w:val="22"/>
        </w:rPr>
        <w:t>Accès permanent</w:t>
      </w:r>
      <w:r>
        <w:rPr>
          <w:rFonts w:ascii="Calibri" w:hAnsi="Calibri" w:cs="Calibri"/>
          <w:b w:val="0"/>
          <w:i w:val="0"/>
          <w:color w:val="1A3A00"/>
          <w:sz w:val="22"/>
        </w:rPr>
        <w:t xml:space="preserve"> à la data room digitale</w:t>
      </w:r>
    </w:p>
    <w:p>
      <w:pPr>
        <w:pBdr>
          <w:bottom w:val="single" w:sz="8" w:space="1" w:color="33CC00"/>
        </w:pBdr>
      </w:pPr>
    </w:p>
    <w:p>
      <w:pPr>
        <w:spacing w:before="280" w:after="120"/>
        <w:pBdr>
          <w:bottom w:val="single" w:sz="12" w:space="1" w:color="33CC00"/>
        </w:pBdr>
      </w:pPr>
      <w:r>
        <w:rPr>
          <w:rFonts w:ascii="Calibri" w:hAnsi="Calibri" w:cs="Calibri"/>
          <w:b/>
          <w:i w:val="0"/>
          <w:color w:val="0A4800"/>
          <w:sz w:val="28"/>
        </w:rPr>
        <w:t>VI. Droits de sortie</w:t>
      </w:r>
    </w:p>
    <w:p>
      <w:pPr>
        <w:spacing w:before="200" w:after="80"/>
      </w:pPr>
      <w:r>
        <w:rPr>
          <w:rFonts w:ascii="Calibri" w:hAnsi="Calibri" w:cs="Calibri"/>
          <w:b/>
          <w:i w:val="0"/>
          <w:color w:val="0A4800"/>
          <w:sz w:val="24"/>
        </w:rPr>
        <w:t>VI.1 Drag-along (entraînement)</w:t>
      </w:r>
    </w:p>
    <w:p>
      <w:pPr>
        <w:spacing w:after="120" w:line="312" w:lineRule="auto"/>
      </w:pPr>
      <w:r>
        <w:rPr>
          <w:rFonts w:ascii="Calibri" w:hAnsi="Calibri" w:cs="Calibri"/>
          <w:b w:val="0"/>
          <w:i w:val="0"/>
          <w:color w:val="1A3A00"/>
          <w:sz w:val="22"/>
        </w:rPr>
        <w:t xml:space="preserve">Si </w:t>
      </w:r>
      <w:r>
        <w:rPr>
          <w:rFonts w:ascii="Calibri" w:hAnsi="Calibri" w:cs="Calibri"/>
          <w:b/>
          <w:i w:val="0"/>
          <w:color w:val="0A4800"/>
          <w:sz w:val="22"/>
        </w:rPr>
        <w:t>les fondateurs et l'investisseur lead</w:t>
      </w:r>
      <w:r>
        <w:rPr>
          <w:rFonts w:ascii="Calibri" w:hAnsi="Calibri" w:cs="Calibri"/>
          <w:b w:val="0"/>
          <w:i w:val="0"/>
          <w:color w:val="1A3A00"/>
          <w:sz w:val="22"/>
        </w:rPr>
        <w:t xml:space="preserve"> s'accordent pour céder 100 % du capital à un acquéreur tiers, </w:t>
      </w:r>
      <w:r>
        <w:rPr>
          <w:rFonts w:ascii="Calibri" w:hAnsi="Calibri" w:cs="Calibri"/>
          <w:b/>
          <w:i w:val="0"/>
          <w:color w:val="0A4800"/>
          <w:sz w:val="22"/>
        </w:rPr>
        <w:t>tous les autres actionnaires sont obligés de céder</w:t>
      </w:r>
      <w:r>
        <w:rPr>
          <w:rFonts w:ascii="Calibri" w:hAnsi="Calibri" w:cs="Calibri"/>
          <w:b w:val="0"/>
          <w:i w:val="0"/>
          <w:color w:val="1A3A00"/>
          <w:sz w:val="22"/>
        </w:rPr>
        <w:t xml:space="preserve"> leurs actions au même prix et dans les mêmes conditions.</w:t>
      </w:r>
    </w:p>
    <w:p>
      <w:pPr>
        <w:spacing w:after="120" w:line="312" w:lineRule="auto"/>
      </w:pPr>
      <w:r>
        <w:rPr>
          <w:rFonts w:ascii="Calibri" w:hAnsi="Calibri" w:cs="Calibri"/>
          <w:b w:val="0"/>
          <w:i w:val="0"/>
          <w:color w:val="1A3A00"/>
          <w:sz w:val="22"/>
        </w:rPr>
        <w:t>Conditions cumulatives :</w:t>
        <w:br/>
        <w:t>- Vote favorable du Conseil Stratégique à la majorité qualifiée (75 %)</w:t>
        <w:br/>
        <w:t>- Prix de cession équivalent ou supérieur à la valorisation pré-money initiale ajustée d'un taux de rentabilité minimum de 12 % par an</w:t>
      </w:r>
    </w:p>
    <w:p>
      <w:pPr>
        <w:spacing w:before="200" w:after="80"/>
      </w:pPr>
      <w:r>
        <w:rPr>
          <w:rFonts w:ascii="Calibri" w:hAnsi="Calibri" w:cs="Calibri"/>
          <w:b/>
          <w:i w:val="0"/>
          <w:color w:val="0A4800"/>
          <w:sz w:val="24"/>
        </w:rPr>
        <w:t>VI.2 Tag-along (sortie conjointe)</w:t>
      </w:r>
    </w:p>
    <w:p>
      <w:pPr>
        <w:spacing w:after="120" w:line="312" w:lineRule="auto"/>
      </w:pPr>
      <w:r>
        <w:rPr>
          <w:rFonts w:ascii="Calibri" w:hAnsi="Calibri" w:cs="Calibri"/>
          <w:b w:val="0"/>
          <w:i w:val="0"/>
          <w:color w:val="1A3A00"/>
          <w:sz w:val="22"/>
        </w:rPr>
        <w:t xml:space="preserve">Si l'un des </w:t>
      </w:r>
      <w:r>
        <w:rPr>
          <w:rFonts w:ascii="Calibri" w:hAnsi="Calibri" w:cs="Calibri"/>
          <w:b/>
          <w:i w:val="0"/>
          <w:color w:val="0A4800"/>
          <w:sz w:val="22"/>
        </w:rPr>
        <w:t>fondateurs ou l'investisseur lead</w:t>
      </w:r>
      <w:r>
        <w:rPr>
          <w:rFonts w:ascii="Calibri" w:hAnsi="Calibri" w:cs="Calibri"/>
          <w:b w:val="0"/>
          <w:i w:val="0"/>
          <w:color w:val="1A3A00"/>
          <w:sz w:val="22"/>
        </w:rPr>
        <w:t xml:space="preserve"> souhaite céder ses actions à un tiers, </w:t>
      </w:r>
      <w:r>
        <w:rPr>
          <w:rFonts w:ascii="Calibri" w:hAnsi="Calibri" w:cs="Calibri"/>
          <w:b/>
          <w:i w:val="0"/>
          <w:color w:val="0A4800"/>
          <w:sz w:val="22"/>
        </w:rPr>
        <w:t>les autres actionnaires ont le droit de céder leurs actions</w:t>
      </w:r>
      <w:r>
        <w:rPr>
          <w:rFonts w:ascii="Calibri" w:hAnsi="Calibri" w:cs="Calibri"/>
          <w:b w:val="0"/>
          <w:i w:val="0"/>
          <w:color w:val="1A3A00"/>
          <w:sz w:val="22"/>
        </w:rPr>
        <w:t xml:space="preserve"> au même prix et conditions, au prorata.</w:t>
      </w:r>
    </w:p>
    <w:p>
      <w:pPr>
        <w:spacing w:before="200" w:after="80"/>
      </w:pPr>
      <w:r>
        <w:rPr>
          <w:rFonts w:ascii="Calibri" w:hAnsi="Calibri" w:cs="Calibri"/>
          <w:b/>
          <w:i w:val="0"/>
          <w:color w:val="0A4800"/>
          <w:sz w:val="24"/>
        </w:rPr>
        <w:t>VI.3 Droit de préemption</w:t>
      </w:r>
    </w:p>
    <w:p>
      <w:pPr>
        <w:spacing w:after="120" w:line="312" w:lineRule="auto"/>
      </w:pPr>
      <w:r>
        <w:rPr>
          <w:rFonts w:ascii="Calibri" w:hAnsi="Calibri" w:cs="Calibri"/>
          <w:b w:val="0"/>
          <w:i w:val="0"/>
          <w:color w:val="1A3A00"/>
          <w:sz w:val="22"/>
        </w:rPr>
        <w:t xml:space="preserve">Toute cession d'actions par un actionnaire à un tiers est précédée d'une </w:t>
      </w:r>
      <w:r>
        <w:rPr>
          <w:rFonts w:ascii="Calibri" w:hAnsi="Calibri" w:cs="Calibri"/>
          <w:b/>
          <w:i w:val="0"/>
          <w:color w:val="0A4800"/>
          <w:sz w:val="22"/>
        </w:rPr>
        <w:t>proposition de rachat</w:t>
      </w:r>
      <w:r>
        <w:rPr>
          <w:rFonts w:ascii="Calibri" w:hAnsi="Calibri" w:cs="Calibri"/>
          <w:b w:val="0"/>
          <w:i w:val="0"/>
          <w:color w:val="1A3A00"/>
          <w:sz w:val="22"/>
        </w:rPr>
        <w:t xml:space="preserve"> aux actionnaires existants, qui disposent de </w:t>
      </w:r>
      <w:r>
        <w:rPr>
          <w:rFonts w:ascii="Calibri" w:hAnsi="Calibri" w:cs="Calibri"/>
          <w:b/>
          <w:i w:val="0"/>
          <w:color w:val="0A4800"/>
          <w:sz w:val="22"/>
        </w:rPr>
        <w:t>45 jours</w:t>
      </w:r>
      <w:r>
        <w:rPr>
          <w:rFonts w:ascii="Calibri" w:hAnsi="Calibri" w:cs="Calibri"/>
          <w:b w:val="0"/>
          <w:i w:val="0"/>
          <w:color w:val="1A3A00"/>
          <w:sz w:val="22"/>
        </w:rPr>
        <w:t xml:space="preserve"> pour exercer leur droit de préemption.</w:t>
      </w:r>
    </w:p>
    <w:p>
      <w:pPr>
        <w:spacing w:before="200" w:after="80"/>
      </w:pPr>
      <w:r>
        <w:rPr>
          <w:rFonts w:ascii="Calibri" w:hAnsi="Calibri" w:cs="Calibri"/>
          <w:b/>
          <w:i w:val="0"/>
          <w:color w:val="0A4800"/>
          <w:sz w:val="24"/>
        </w:rPr>
        <w:t>VI.4 Engagement de sortie organisée</w:t>
      </w:r>
    </w:p>
    <w:p>
      <w:pPr>
        <w:spacing w:after="120" w:line="312" w:lineRule="auto"/>
      </w:pPr>
      <w:r>
        <w:rPr>
          <w:rFonts w:ascii="Calibri" w:hAnsi="Calibri" w:cs="Calibri"/>
          <w:b w:val="0"/>
          <w:i w:val="0"/>
          <w:color w:val="1A3A00"/>
          <w:sz w:val="22"/>
        </w:rPr>
        <w:t xml:space="preserve">Le Conseil Stratégique s'engage à étudier et préparer une </w:t>
      </w:r>
      <w:r>
        <w:rPr>
          <w:rFonts w:ascii="Calibri" w:hAnsi="Calibri" w:cs="Calibri"/>
          <w:b/>
          <w:i w:val="0"/>
          <w:color w:val="0A4800"/>
          <w:sz w:val="22"/>
        </w:rPr>
        <w:t>sortie organisée</w:t>
      </w:r>
      <w:r>
        <w:rPr>
          <w:rFonts w:ascii="Calibri" w:hAnsi="Calibri" w:cs="Calibri"/>
          <w:b w:val="0"/>
          <w:i w:val="0"/>
          <w:color w:val="1A3A00"/>
          <w:sz w:val="22"/>
        </w:rPr>
        <w:t xml:space="preserve"> (cession industrielle ou cession à un fonds) à partir de </w:t>
      </w:r>
      <w:r>
        <w:rPr>
          <w:rFonts w:ascii="Calibri" w:hAnsi="Calibri" w:cs="Calibri"/>
          <w:b/>
          <w:i w:val="0"/>
          <w:color w:val="0A4800"/>
          <w:sz w:val="22"/>
        </w:rPr>
        <w:t>l'An 5</w:t>
      </w:r>
      <w:r>
        <w:rPr>
          <w:rFonts w:ascii="Calibri" w:hAnsi="Calibri" w:cs="Calibri"/>
          <w:b w:val="0"/>
          <w:i w:val="0"/>
          <w:color w:val="1A3A00"/>
          <w:sz w:val="22"/>
        </w:rPr>
        <w:t xml:space="preserve"> post-closing, avec un mandat de présentation aux acquéreurs potentiels.</w:t>
      </w:r>
    </w:p>
    <w:p>
      <w:pPr>
        <w:pBdr>
          <w:bottom w:val="single" w:sz="8" w:space="1" w:color="33CC00"/>
        </w:pBdr>
      </w:pPr>
    </w:p>
    <w:p>
      <w:pPr>
        <w:spacing w:before="280" w:after="120"/>
        <w:pBdr>
          <w:bottom w:val="single" w:sz="12" w:space="1" w:color="33CC00"/>
        </w:pBdr>
      </w:pPr>
      <w:r>
        <w:rPr>
          <w:rFonts w:ascii="Calibri" w:hAnsi="Calibri" w:cs="Calibri"/>
          <w:b/>
          <w:i w:val="0"/>
          <w:color w:val="0A4800"/>
          <w:sz w:val="28"/>
        </w:rPr>
        <w:t>VII. Engagements des fondateurs</w:t>
      </w:r>
    </w:p>
    <w:p>
      <w:pPr>
        <w:spacing w:after="120" w:line="312" w:lineRule="auto"/>
      </w:pPr>
      <w:r>
        <w:rPr>
          <w:rFonts w:ascii="Calibri" w:hAnsi="Calibri" w:cs="Calibri"/>
          <w:b w:val="0"/>
          <w:i w:val="0"/>
          <w:color w:val="1A3A00"/>
          <w:sz w:val="22"/>
        </w:rPr>
        <w:t>Les fondateurs (Loïc et Patrice LUDOSKY) s'engagent envers la Société et les investisseurs :</w:t>
      </w:r>
    </w:p>
    <w:p>
      <w:pPr>
        <w:pStyle w:val="ListNumber"/>
        <w:spacing w:after="40" w:line="288" w:lineRule="auto"/>
      </w:pPr>
      <w:r>
        <w:rPr>
          <w:rFonts w:ascii="Calibri" w:hAnsi="Calibri" w:cs="Calibri"/>
          <w:b/>
          <w:i w:val="0"/>
          <w:color w:val="0A4800"/>
          <w:sz w:val="22"/>
        </w:rPr>
        <w:t>Engagement de présence</w:t>
      </w:r>
      <w:r>
        <w:rPr>
          <w:rFonts w:ascii="Calibri" w:hAnsi="Calibri" w:cs="Calibri"/>
          <w:b w:val="0"/>
          <w:i w:val="0"/>
          <w:color w:val="1A3A00"/>
          <w:sz w:val="22"/>
        </w:rPr>
        <w:t xml:space="preserve"> : engagement à temps plein pendant 4 ans minimum (vesting)</w:t>
      </w:r>
    </w:p>
    <w:p>
      <w:pPr>
        <w:pStyle w:val="ListNumber"/>
        <w:spacing w:after="40" w:line="288" w:lineRule="auto"/>
      </w:pPr>
      <w:r>
        <w:rPr>
          <w:rFonts w:ascii="Calibri" w:hAnsi="Calibri" w:cs="Calibri"/>
          <w:b/>
          <w:i w:val="0"/>
          <w:color w:val="0A4800"/>
          <w:sz w:val="22"/>
        </w:rPr>
        <w:t>Non-concurrence</w:t>
      </w:r>
      <w:r>
        <w:rPr>
          <w:rFonts w:ascii="Calibri" w:hAnsi="Calibri" w:cs="Calibri"/>
          <w:b w:val="0"/>
          <w:i w:val="0"/>
          <w:color w:val="1A3A00"/>
          <w:sz w:val="22"/>
        </w:rPr>
        <w:t xml:space="preserve"> : pendant la durée de leur mandat et 2 ans après leur départ, sur le périmètre Guyane française et Antilles françaises (Martinique, Guadeloupe)</w:t>
      </w:r>
    </w:p>
    <w:p>
      <w:pPr>
        <w:pStyle w:val="ListNumber"/>
        <w:spacing w:after="40" w:line="288" w:lineRule="auto"/>
      </w:pPr>
      <w:r>
        <w:rPr>
          <w:rFonts w:ascii="Calibri" w:hAnsi="Calibri" w:cs="Calibri"/>
          <w:b/>
          <w:i w:val="0"/>
          <w:color w:val="0A4800"/>
          <w:sz w:val="22"/>
        </w:rPr>
        <w:t>Non-débauchage</w:t>
      </w:r>
      <w:r>
        <w:rPr>
          <w:rFonts w:ascii="Calibri" w:hAnsi="Calibri" w:cs="Calibri"/>
          <w:b w:val="0"/>
          <w:i w:val="0"/>
          <w:color w:val="1A3A00"/>
          <w:sz w:val="22"/>
        </w:rPr>
        <w:t xml:space="preserve"> : pendant 2 ans après leur départ</w:t>
      </w:r>
    </w:p>
    <w:p>
      <w:pPr>
        <w:pStyle w:val="ListNumber"/>
        <w:spacing w:after="40" w:line="288" w:lineRule="auto"/>
      </w:pPr>
      <w:r>
        <w:rPr>
          <w:rFonts w:ascii="Calibri" w:hAnsi="Calibri" w:cs="Calibri"/>
          <w:b/>
          <w:i w:val="0"/>
          <w:color w:val="0A4800"/>
          <w:sz w:val="22"/>
        </w:rPr>
        <w:t>Cession encadrée des actions fondateurs</w:t>
      </w:r>
      <w:r>
        <w:rPr>
          <w:rFonts w:ascii="Calibri" w:hAnsi="Calibri" w:cs="Calibri"/>
          <w:b w:val="0"/>
          <w:i w:val="0"/>
          <w:color w:val="1A3A00"/>
          <w:sz w:val="22"/>
        </w:rPr>
        <w:t xml:space="preserve"> : interdiction de céder leurs actions sans accord du Conseil Stratégique pendant 4 ans</w:t>
      </w:r>
    </w:p>
    <w:p>
      <w:pPr>
        <w:pStyle w:val="ListNumber"/>
        <w:spacing w:after="40" w:line="288" w:lineRule="auto"/>
      </w:pPr>
      <w:r>
        <w:rPr>
          <w:rFonts w:ascii="Calibri" w:hAnsi="Calibri" w:cs="Calibri"/>
          <w:b/>
          <w:i w:val="0"/>
          <w:color w:val="0A4800"/>
          <w:sz w:val="22"/>
        </w:rPr>
        <w:t>Loyauté commerciale</w:t>
      </w:r>
      <w:r>
        <w:rPr>
          <w:rFonts w:ascii="Calibri" w:hAnsi="Calibri" w:cs="Calibri"/>
          <w:b w:val="0"/>
          <w:i w:val="0"/>
          <w:color w:val="1A3A00"/>
          <w:sz w:val="22"/>
        </w:rPr>
        <w:t xml:space="preserve"> : interdiction de capter à titre personnel les opportunités d'affaires de la Société</w:t>
      </w:r>
    </w:p>
    <w:p>
      <w:pPr>
        <w:pStyle w:val="ListNumber"/>
        <w:spacing w:after="40" w:line="288" w:lineRule="auto"/>
      </w:pPr>
      <w:r>
        <w:rPr>
          <w:rFonts w:ascii="Calibri" w:hAnsi="Calibri" w:cs="Calibri"/>
          <w:b/>
          <w:i w:val="0"/>
          <w:color w:val="0A4800"/>
          <w:sz w:val="22"/>
        </w:rPr>
        <w:t>Vesting accéléré</w:t>
      </w:r>
      <w:r>
        <w:rPr>
          <w:rFonts w:ascii="Calibri" w:hAnsi="Calibri" w:cs="Calibri"/>
          <w:b w:val="0"/>
          <w:i w:val="0"/>
          <w:color w:val="1A3A00"/>
          <w:sz w:val="22"/>
        </w:rPr>
        <w:t xml:space="preserve"> : en cas de cession de la Société, le vesting est accéléré à 100 %</w:t>
      </w:r>
    </w:p>
    <w:p>
      <w:pPr>
        <w:pStyle w:val="ListNumber"/>
        <w:spacing w:after="40" w:line="288" w:lineRule="auto"/>
      </w:pPr>
      <w:r>
        <w:rPr>
          <w:rFonts w:ascii="Calibri" w:hAnsi="Calibri" w:cs="Calibri"/>
          <w:b/>
          <w:i w:val="0"/>
          <w:color w:val="0A4800"/>
          <w:sz w:val="22"/>
        </w:rPr>
        <w:t>Vesting cliff 12 mois</w:t>
      </w:r>
      <w:r>
        <w:rPr>
          <w:rFonts w:ascii="Calibri" w:hAnsi="Calibri" w:cs="Calibri"/>
          <w:b w:val="0"/>
          <w:i w:val="0"/>
          <w:color w:val="1A3A00"/>
          <w:sz w:val="22"/>
        </w:rPr>
        <w:t xml:space="preserve"> : si l'un des fondateurs quitte la Société avant 12 mois, ses actions BSA non encore acquises sont annulées</w:t>
      </w:r>
    </w:p>
    <w:p>
      <w:pPr>
        <w:pStyle w:val="ListNumber"/>
        <w:spacing w:after="40" w:line="288" w:lineRule="auto"/>
      </w:pPr>
      <w:r>
        <w:rPr>
          <w:rFonts w:ascii="Calibri" w:hAnsi="Calibri" w:cs="Calibri"/>
          <w:b/>
          <w:i w:val="0"/>
          <w:color w:val="0A4800"/>
          <w:sz w:val="22"/>
        </w:rPr>
        <w:t>BSA fondateurs</w:t>
      </w:r>
      <w:r>
        <w:rPr>
          <w:rFonts w:ascii="Calibri" w:hAnsi="Calibri" w:cs="Calibri"/>
          <w:b w:val="0"/>
          <w:i w:val="0"/>
          <w:color w:val="1A3A00"/>
          <w:sz w:val="22"/>
        </w:rPr>
        <w:t xml:space="preserve"> : émis à titre incitatif sur 4 ans (vesting trimestriel après le cliff de 12 mois)</w:t>
      </w:r>
    </w:p>
    <w:p>
      <w:pPr>
        <w:pBdr>
          <w:bottom w:val="single" w:sz="8" w:space="1" w:color="33CC00"/>
        </w:pBdr>
      </w:pPr>
    </w:p>
    <w:p>
      <w:pPr>
        <w:spacing w:before="280" w:after="120"/>
        <w:pBdr>
          <w:bottom w:val="single" w:sz="12" w:space="1" w:color="33CC00"/>
        </w:pBdr>
      </w:pPr>
      <w:r>
        <w:rPr>
          <w:rFonts w:ascii="Calibri" w:hAnsi="Calibri" w:cs="Calibri"/>
          <w:b/>
          <w:i w:val="0"/>
          <w:color w:val="0A4800"/>
          <w:sz w:val="28"/>
        </w:rPr>
        <w:t>VIII. Engagements de la Société</w:t>
      </w:r>
    </w:p>
    <w:p>
      <w:pPr>
        <w:spacing w:after="120" w:line="312" w:lineRule="auto"/>
      </w:pPr>
      <w:r>
        <w:rPr>
          <w:rFonts w:ascii="Calibri" w:hAnsi="Calibri" w:cs="Calibri"/>
          <w:b w:val="0"/>
          <w:i w:val="0"/>
          <w:color w:val="1A3A00"/>
          <w:sz w:val="22"/>
        </w:rPr>
        <w:t>La Société s'engage envers les investisseurs :</w:t>
      </w:r>
    </w:p>
    <w:p>
      <w:pPr>
        <w:pStyle w:val="ListNumber"/>
        <w:spacing w:after="40" w:line="288" w:lineRule="auto"/>
      </w:pPr>
      <w:r>
        <w:rPr>
          <w:rFonts w:ascii="Calibri" w:hAnsi="Calibri" w:cs="Calibri"/>
          <w:b/>
          <w:i w:val="0"/>
          <w:color w:val="0A4800"/>
          <w:sz w:val="22"/>
        </w:rPr>
        <w:t>Audit annuel</w:t>
      </w:r>
      <w:r>
        <w:rPr>
          <w:rFonts w:ascii="Calibri" w:hAnsi="Calibri" w:cs="Calibri"/>
          <w:b w:val="0"/>
          <w:i w:val="0"/>
          <w:color w:val="1A3A00"/>
          <w:sz w:val="22"/>
        </w:rPr>
        <w:t xml:space="preserve"> par un cabinet indépendant à partir de l'An 2</w:t>
      </w:r>
    </w:p>
    <w:p>
      <w:pPr>
        <w:pStyle w:val="ListNumber"/>
        <w:spacing w:after="40" w:line="288" w:lineRule="auto"/>
      </w:pPr>
      <w:r>
        <w:rPr>
          <w:rFonts w:ascii="Calibri" w:hAnsi="Calibri" w:cs="Calibri"/>
          <w:b/>
          <w:i w:val="0"/>
          <w:color w:val="0A4800"/>
          <w:sz w:val="22"/>
        </w:rPr>
        <w:t>Souscription d'une assurance Dirigeants &amp; Mandataires sociaux</w:t>
      </w:r>
      <w:r>
        <w:rPr>
          <w:rFonts w:ascii="Calibri" w:hAnsi="Calibri" w:cs="Calibri"/>
          <w:b w:val="0"/>
          <w:i w:val="0"/>
          <w:color w:val="1A3A00"/>
          <w:sz w:val="22"/>
        </w:rPr>
        <w:t xml:space="preserve"> (D&amp;O) — montant garantie min. 500 k€</w:t>
      </w:r>
    </w:p>
    <w:p>
      <w:pPr>
        <w:pStyle w:val="ListNumber"/>
        <w:spacing w:after="40" w:line="288" w:lineRule="auto"/>
      </w:pPr>
      <w:r>
        <w:rPr>
          <w:rFonts w:ascii="Calibri" w:hAnsi="Calibri" w:cs="Calibri"/>
          <w:b/>
          <w:i w:val="0"/>
          <w:color w:val="0A4800"/>
          <w:sz w:val="22"/>
        </w:rPr>
        <w:t>Souscription d'une assurance Cyber</w:t>
      </w:r>
      <w:r>
        <w:rPr>
          <w:rFonts w:ascii="Calibri" w:hAnsi="Calibri" w:cs="Calibri"/>
          <w:b w:val="0"/>
          <w:i w:val="0"/>
          <w:color w:val="1A3A00"/>
          <w:sz w:val="22"/>
        </w:rPr>
        <w:t xml:space="preserve"> dédiée à l'infrastructure de recharge — montant garantie min. 250 k€</w:t>
      </w:r>
    </w:p>
    <w:p>
      <w:pPr>
        <w:pStyle w:val="ListNumber"/>
        <w:spacing w:after="40" w:line="288" w:lineRule="auto"/>
      </w:pPr>
      <w:r>
        <w:rPr>
          <w:rFonts w:ascii="Calibri" w:hAnsi="Calibri" w:cs="Calibri"/>
          <w:b/>
          <w:i w:val="0"/>
          <w:color w:val="0A4800"/>
          <w:sz w:val="22"/>
        </w:rPr>
        <w:t>Mise en place d'un Pool BSPCE Salariés</w:t>
      </w:r>
      <w:r>
        <w:rPr>
          <w:rFonts w:ascii="Calibri" w:hAnsi="Calibri" w:cs="Calibri"/>
          <w:b w:val="0"/>
          <w:i w:val="0"/>
          <w:color w:val="1A3A00"/>
          <w:sz w:val="22"/>
        </w:rPr>
        <w:t xml:space="preserve"> (max 5 % du capital post-closing) à arrêter au Conseil Stratégique</w:t>
      </w:r>
    </w:p>
    <w:p>
      <w:pPr>
        <w:pStyle w:val="ListNumber"/>
        <w:spacing w:after="40" w:line="288" w:lineRule="auto"/>
      </w:pPr>
      <w:r>
        <w:rPr>
          <w:rFonts w:ascii="Calibri" w:hAnsi="Calibri" w:cs="Calibri"/>
          <w:b/>
          <w:i w:val="0"/>
          <w:color w:val="0A4800"/>
          <w:sz w:val="22"/>
        </w:rPr>
        <w:t>Reporting financier et opérationnel</w:t>
      </w:r>
      <w:r>
        <w:rPr>
          <w:rFonts w:ascii="Calibri" w:hAnsi="Calibri" w:cs="Calibri"/>
          <w:b w:val="0"/>
          <w:i w:val="0"/>
          <w:color w:val="1A3A00"/>
          <w:sz w:val="22"/>
        </w:rPr>
        <w:t xml:space="preserve"> strict (cf. section V.3)</w:t>
      </w:r>
    </w:p>
    <w:p>
      <w:pPr>
        <w:pStyle w:val="ListNumber"/>
        <w:spacing w:after="40" w:line="288" w:lineRule="auto"/>
      </w:pPr>
      <w:r>
        <w:rPr>
          <w:rFonts w:ascii="Calibri" w:hAnsi="Calibri" w:cs="Calibri"/>
          <w:b/>
          <w:i w:val="0"/>
          <w:color w:val="0A4800"/>
          <w:sz w:val="22"/>
        </w:rPr>
        <w:t>Confidentialité</w:t>
      </w:r>
      <w:r>
        <w:rPr>
          <w:rFonts w:ascii="Calibri" w:hAnsi="Calibri" w:cs="Calibri"/>
          <w:b w:val="0"/>
          <w:i w:val="0"/>
          <w:color w:val="1A3A00"/>
          <w:sz w:val="22"/>
        </w:rPr>
        <w:t xml:space="preserve"> des données investisseurs et clients</w:t>
      </w:r>
    </w:p>
    <w:p>
      <w:pPr>
        <w:pStyle w:val="ListNumber"/>
        <w:spacing w:after="40" w:line="288" w:lineRule="auto"/>
      </w:pPr>
      <w:r>
        <w:rPr>
          <w:rFonts w:ascii="Calibri" w:hAnsi="Calibri" w:cs="Calibri"/>
          <w:b/>
          <w:i w:val="0"/>
          <w:color w:val="0A4800"/>
          <w:sz w:val="22"/>
        </w:rPr>
        <w:t>Conformité réglementaire</w:t>
      </w:r>
      <w:r>
        <w:rPr>
          <w:rFonts w:ascii="Calibri" w:hAnsi="Calibri" w:cs="Calibri"/>
          <w:b w:val="0"/>
          <w:i w:val="0"/>
          <w:color w:val="1A3A00"/>
          <w:sz w:val="22"/>
        </w:rPr>
        <w:t xml:space="preserve"> RGPD, ARS, CNIL, AFNOR</w:t>
      </w:r>
    </w:p>
    <w:p>
      <w:pPr>
        <w:pBdr>
          <w:bottom w:val="single" w:sz="8" w:space="1" w:color="33CC00"/>
        </w:pBdr>
      </w:pPr>
    </w:p>
    <w:p>
      <w:pPr>
        <w:spacing w:before="280" w:after="120"/>
        <w:pBdr>
          <w:bottom w:val="single" w:sz="12" w:space="1" w:color="33CC00"/>
        </w:pBdr>
      </w:pPr>
      <w:r>
        <w:rPr>
          <w:rFonts w:ascii="Calibri" w:hAnsi="Calibri" w:cs="Calibri"/>
          <w:b/>
          <w:i w:val="0"/>
          <w:color w:val="0A4800"/>
          <w:sz w:val="28"/>
        </w:rPr>
        <w:t>IX. Frais et confidentialité</w:t>
      </w:r>
    </w:p>
    <w:p>
      <w:pPr>
        <w:spacing w:before="200" w:after="80"/>
      </w:pPr>
      <w:r>
        <w:rPr>
          <w:rFonts w:ascii="Calibri" w:hAnsi="Calibri" w:cs="Calibri"/>
          <w:b/>
          <w:i w:val="0"/>
          <w:color w:val="0A4800"/>
          <w:sz w:val="24"/>
        </w:rPr>
        <w:t>IX.1 Frais</w:t>
      </w:r>
    </w:p>
    <w:p>
      <w:pPr>
        <w:pStyle w:val="ListBullet"/>
        <w:spacing w:after="40" w:line="288" w:lineRule="auto"/>
      </w:pPr>
      <w:r>
        <w:rPr>
          <w:rFonts w:ascii="Calibri" w:hAnsi="Calibri" w:cs="Calibri"/>
          <w:b w:val="0"/>
          <w:i w:val="0"/>
          <w:color w:val="1A3A00"/>
          <w:sz w:val="22"/>
        </w:rPr>
        <w:t xml:space="preserve">Les </w:t>
      </w:r>
      <w:r>
        <w:rPr>
          <w:rFonts w:ascii="Calibri" w:hAnsi="Calibri" w:cs="Calibri"/>
          <w:b/>
          <w:i w:val="0"/>
          <w:color w:val="0A4800"/>
          <w:sz w:val="22"/>
        </w:rPr>
        <w:t>frais de structuration de l'opération</w:t>
      </w:r>
      <w:r>
        <w:rPr>
          <w:rFonts w:ascii="Calibri" w:hAnsi="Calibri" w:cs="Calibri"/>
          <w:b w:val="0"/>
          <w:i w:val="0"/>
          <w:color w:val="1A3A00"/>
          <w:sz w:val="22"/>
        </w:rPr>
        <w:t xml:space="preserve"> (juridique, comptable, conseil) sont à la charge de la Société, dans la limite de </w:t>
      </w:r>
      <w:r>
        <w:rPr>
          <w:rFonts w:ascii="Calibri" w:hAnsi="Calibri" w:cs="Calibri"/>
          <w:b/>
          <w:i w:val="0"/>
          <w:color w:val="0A4800"/>
          <w:sz w:val="22"/>
        </w:rPr>
        <w:t>40 000 EUR</w:t>
      </w:r>
      <w:r>
        <w:rPr>
          <w:rFonts w:ascii="Calibri" w:hAnsi="Calibri" w:cs="Calibri"/>
          <w:b w:val="0"/>
          <w:i w:val="0"/>
          <w:color w:val="1A3A00"/>
          <w:sz w:val="22"/>
        </w:rPr>
        <w:t>.</w:t>
      </w:r>
    </w:p>
    <w:p>
      <w:pPr>
        <w:pStyle w:val="ListBullet"/>
        <w:spacing w:after="40" w:line="288" w:lineRule="auto"/>
      </w:pPr>
      <w:r>
        <w:rPr>
          <w:rFonts w:ascii="Calibri" w:hAnsi="Calibri" w:cs="Calibri"/>
          <w:b w:val="0"/>
          <w:i w:val="0"/>
          <w:color w:val="1A3A00"/>
          <w:sz w:val="22"/>
        </w:rPr>
        <w:t>Au-delà de ce plafond, les coûts excédentaires sont supportés par l'investisseur lead, sauf accord contraire.</w:t>
      </w:r>
    </w:p>
    <w:p>
      <w:pPr>
        <w:pStyle w:val="ListBullet"/>
        <w:spacing w:after="40" w:line="288" w:lineRule="auto"/>
      </w:pPr>
      <w:r>
        <w:rPr>
          <w:rFonts w:ascii="Calibri" w:hAnsi="Calibri" w:cs="Calibri"/>
          <w:b w:val="0"/>
          <w:i w:val="0"/>
          <w:color w:val="1A3A00"/>
          <w:sz w:val="22"/>
        </w:rPr>
        <w:t xml:space="preserve">Les </w:t>
      </w:r>
      <w:r>
        <w:rPr>
          <w:rFonts w:ascii="Calibri" w:hAnsi="Calibri" w:cs="Calibri"/>
          <w:b/>
          <w:i w:val="0"/>
          <w:color w:val="0A4800"/>
          <w:sz w:val="22"/>
        </w:rPr>
        <w:t>frais propres à chaque investisseur</w:t>
      </w:r>
      <w:r>
        <w:rPr>
          <w:rFonts w:ascii="Calibri" w:hAnsi="Calibri" w:cs="Calibri"/>
          <w:b w:val="0"/>
          <w:i w:val="0"/>
          <w:color w:val="1A3A00"/>
          <w:sz w:val="22"/>
        </w:rPr>
        <w:t xml:space="preserve"> (conseil personnel, due diligence interne) restent à sa charge.</w:t>
      </w:r>
    </w:p>
    <w:p>
      <w:pPr>
        <w:spacing w:before="200" w:after="80"/>
      </w:pPr>
      <w:r>
        <w:rPr>
          <w:rFonts w:ascii="Calibri" w:hAnsi="Calibri" w:cs="Calibri"/>
          <w:b/>
          <w:i w:val="0"/>
          <w:color w:val="0A4800"/>
          <w:sz w:val="24"/>
        </w:rPr>
        <w:t>IX.2 Confidentialité</w:t>
      </w:r>
    </w:p>
    <w:p>
      <w:pPr>
        <w:spacing w:after="120" w:line="312" w:lineRule="auto"/>
      </w:pPr>
      <w:r>
        <w:rPr>
          <w:rFonts w:ascii="Calibri" w:hAnsi="Calibri" w:cs="Calibri"/>
          <w:b w:val="0"/>
          <w:i w:val="0"/>
          <w:color w:val="1A3A00"/>
          <w:sz w:val="22"/>
        </w:rPr>
        <w:t xml:space="preserve">Les parties s'engagent à la confidentialité totale sur le contenu des présentes négociations et sur les informations échangées dans le cadre de la due diligence. Cet engagement est valable </w:t>
      </w:r>
      <w:r>
        <w:rPr>
          <w:rFonts w:ascii="Calibri" w:hAnsi="Calibri" w:cs="Calibri"/>
          <w:b/>
          <w:i w:val="0"/>
          <w:color w:val="0A4800"/>
          <w:sz w:val="22"/>
        </w:rPr>
        <w:t>pendant 5 ans</w:t>
      </w:r>
      <w:r>
        <w:rPr>
          <w:rFonts w:ascii="Calibri" w:hAnsi="Calibri" w:cs="Calibri"/>
          <w:b w:val="0"/>
          <w:i w:val="0"/>
          <w:color w:val="1A3A00"/>
          <w:sz w:val="22"/>
        </w:rPr>
        <w:t xml:space="preserve"> à compter de la signature du présent term sheet, qu'il aboutisse à un closing ou non.</w:t>
      </w:r>
    </w:p>
    <w:p>
      <w:pPr>
        <w:spacing w:before="200" w:after="80"/>
      </w:pPr>
      <w:r>
        <w:rPr>
          <w:rFonts w:ascii="Calibri" w:hAnsi="Calibri" w:cs="Calibri"/>
          <w:b/>
          <w:i w:val="0"/>
          <w:color w:val="0A4800"/>
          <w:sz w:val="24"/>
        </w:rPr>
        <w:t>IX.3 Exclusivité</w:t>
      </w:r>
    </w:p>
    <w:p>
      <w:pPr>
        <w:spacing w:after="120" w:line="312" w:lineRule="auto"/>
      </w:pPr>
      <w:r>
        <w:rPr>
          <w:rFonts w:ascii="Calibri" w:hAnsi="Calibri" w:cs="Calibri"/>
          <w:b w:val="0"/>
          <w:i w:val="0"/>
          <w:color w:val="1A3A00"/>
          <w:sz w:val="22"/>
        </w:rPr>
        <w:t xml:space="preserve">À compter de la signature du présent term sheet par les parties et pendant </w:t>
      </w:r>
      <w:r>
        <w:rPr>
          <w:rFonts w:ascii="Calibri" w:hAnsi="Calibri" w:cs="Calibri"/>
          <w:b/>
          <w:i w:val="0"/>
          <w:color w:val="0A4800"/>
          <w:sz w:val="22"/>
        </w:rPr>
        <w:t>60 jours</w:t>
      </w:r>
      <w:r>
        <w:rPr>
          <w:rFonts w:ascii="Calibri" w:hAnsi="Calibri" w:cs="Calibri"/>
          <w:b w:val="0"/>
          <w:i w:val="0"/>
          <w:color w:val="1A3A00"/>
          <w:sz w:val="22"/>
        </w:rPr>
        <w:t>, la Société s'engage à ne pas négocier avec d'autres investisseurs sur des termes substantiellement différents, sans accord préalable de l'investisseur lead.</w:t>
      </w:r>
    </w:p>
    <w:p>
      <w:pPr>
        <w:pBdr>
          <w:bottom w:val="single" w:sz="8" w:space="1" w:color="33CC00"/>
        </w:pBdr>
      </w:pPr>
    </w:p>
    <w:p>
      <w:pPr>
        <w:spacing w:before="280" w:after="120"/>
        <w:pBdr>
          <w:bottom w:val="single" w:sz="12" w:space="1" w:color="33CC00"/>
        </w:pBdr>
      </w:pPr>
      <w:r>
        <w:rPr>
          <w:rFonts w:ascii="Calibri" w:hAnsi="Calibri" w:cs="Calibri"/>
          <w:b/>
          <w:i w:val="0"/>
          <w:color w:val="0A4800"/>
          <w:sz w:val="28"/>
        </w:rPr>
        <w:t>X. Loi et juridiction</w:t>
      </w:r>
    </w:p>
    <w:p>
      <w:pPr>
        <w:spacing w:after="120" w:line="312" w:lineRule="auto"/>
      </w:pPr>
      <w:r>
        <w:rPr>
          <w:rFonts w:ascii="Calibri" w:hAnsi="Calibri" w:cs="Calibri"/>
          <w:b w:val="0"/>
          <w:i w:val="0"/>
          <w:color w:val="1A3A00"/>
          <w:sz w:val="22"/>
        </w:rPr>
        <w:t xml:space="preserve">Le présent term sheet est régi par le </w:t>
      </w:r>
      <w:r>
        <w:rPr>
          <w:rFonts w:ascii="Calibri" w:hAnsi="Calibri" w:cs="Calibri"/>
          <w:b/>
          <w:i w:val="0"/>
          <w:color w:val="0A4800"/>
          <w:sz w:val="22"/>
        </w:rPr>
        <w:t>droit français</w:t>
      </w:r>
      <w:r>
        <w:rPr>
          <w:rFonts w:ascii="Calibri" w:hAnsi="Calibri" w:cs="Calibri"/>
          <w:b w:val="0"/>
          <w:i w:val="0"/>
          <w:color w:val="1A3A00"/>
          <w:sz w:val="22"/>
        </w:rPr>
        <w:t xml:space="preserve">. Tout litige sera soumis à la compétence exclusive du </w:t>
      </w:r>
      <w:r>
        <w:rPr>
          <w:rFonts w:ascii="Calibri" w:hAnsi="Calibri" w:cs="Calibri"/>
          <w:b/>
          <w:i w:val="0"/>
          <w:color w:val="0A4800"/>
          <w:sz w:val="22"/>
        </w:rPr>
        <w:t>Tribunal de Commerce de Cayenne</w:t>
      </w:r>
      <w:r>
        <w:rPr>
          <w:rFonts w:ascii="Calibri" w:hAnsi="Calibri" w:cs="Calibri"/>
          <w:b w:val="0"/>
          <w:i w:val="0"/>
          <w:color w:val="1A3A00"/>
          <w:sz w:val="22"/>
        </w:rPr>
        <w:t>.</w:t>
      </w:r>
    </w:p>
    <w:p>
      <w:pPr>
        <w:pBdr>
          <w:bottom w:val="single" w:sz="8" w:space="1" w:color="33CC00"/>
        </w:pBdr>
      </w:pPr>
    </w:p>
    <w:p>
      <w:pPr>
        <w:spacing w:before="280" w:after="120"/>
        <w:pBdr>
          <w:bottom w:val="single" w:sz="12" w:space="1" w:color="33CC00"/>
        </w:pBdr>
      </w:pPr>
      <w:r>
        <w:rPr>
          <w:rFonts w:ascii="Calibri" w:hAnsi="Calibri" w:cs="Calibri"/>
          <w:b/>
          <w:i w:val="0"/>
          <w:color w:val="0A4800"/>
          <w:sz w:val="28"/>
        </w:rPr>
        <w:t>XI. Signatures</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Pour la Société EGREENCITY'S SAS</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Pour l'Investisseur</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Nom : Loïc Yves LUDOSKY</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 xml:space="preserve">Nom : </w:t>
            </w:r>
            <w:r>
              <w:rPr>
                <w:rFonts w:ascii="Calibri" w:hAnsi="Calibri" w:cs="Calibri"/>
                <w:b/>
                <w:i/>
                <w:color w:val="2B4DB5"/>
                <w:sz w:val="19"/>
              </w:rPr>
              <w:t>_</w:t>
            </w:r>
            <w:r>
              <w:rPr>
                <w:rFonts w:ascii="Calibri" w:hAnsi="Calibri" w:cs="Calibri"/>
                <w:b/>
                <w:i/>
                <w:color w:val="2B4DB5"/>
                <w:sz w:val="19"/>
              </w:rPr>
              <w:t>_</w:t>
            </w:r>
            <w:r>
              <w:rPr>
                <w:rFonts w:ascii="Calibri" w:hAnsi="Calibri" w:cs="Calibri"/>
                <w:b w:val="0"/>
                <w:i w:val="0"/>
                <w:color w:val="1A3A00"/>
                <w:sz w:val="19"/>
              </w:rPr>
              <w:t>____</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Qualité : Président</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 xml:space="preserve">Qualité : </w:t>
            </w:r>
            <w:r>
              <w:rPr>
                <w:rFonts w:ascii="Calibri" w:hAnsi="Calibri" w:cs="Calibri"/>
                <w:b/>
                <w:i/>
                <w:color w:val="2B4DB5"/>
                <w:sz w:val="19"/>
              </w:rPr>
              <w:t>_</w:t>
            </w:r>
            <w:r>
              <w:rPr>
                <w:rFonts w:ascii="Calibri" w:hAnsi="Calibri" w:cs="Calibri"/>
                <w:b/>
                <w:i/>
                <w:color w:val="2B4DB5"/>
                <w:sz w:val="19"/>
              </w:rPr>
              <w:t>_</w:t>
            </w:r>
            <w:r>
              <w:rPr>
                <w:rFonts w:ascii="Calibri" w:hAnsi="Calibri" w:cs="Calibri"/>
                <w:b w:val="0"/>
                <w:i w:val="0"/>
                <w:color w:val="1A3A00"/>
                <w:sz w:val="19"/>
              </w:rPr>
              <w:t>____</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Date : ___ / ___ / 2026</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Date : ___ / ___ / 2026</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Signature :</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Signature :</w:t>
            </w:r>
          </w:p>
        </w:tc>
      </w:tr>
    </w:tbl>
    <w:p>
      <w:pPr>
        <w:pBdr>
          <w:bottom w:val="single" w:sz="8" w:space="1" w:color="33CC00"/>
        </w:pBdr>
      </w:pPr>
    </w:p>
    <w:p>
      <w:pPr>
        <w:spacing w:before="280" w:after="120"/>
        <w:pBdr>
          <w:bottom w:val="single" w:sz="12" w:space="1" w:color="33CC00"/>
        </w:pBdr>
      </w:pPr>
      <w:r>
        <w:rPr>
          <w:rFonts w:ascii="Calibri" w:hAnsi="Calibri" w:cs="Calibri"/>
          <w:b/>
          <w:i w:val="0"/>
          <w:color w:val="0A4800"/>
          <w:sz w:val="28"/>
        </w:rPr>
        <w:t>Annexe — Lexique</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Terme</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Définition</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BSA</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Bon de Souscription d'Actions — option d'acquérir des actions à un prix fixé</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BSPCE</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Bon de Souscription de Parts de Créateur d'Entreprise — outil d'incitation salariés</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Drag-along</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Clause permettant à la majorité d'entraîner la minorité dans une cession</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Due diligence</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Audit complet par les conseils de l'investisseur</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Liquidation préférentielle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Priorité de remboursement en cas de sortie</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Pacte d'actionnaires</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Convention privée encadrant les relations entre actionnaires</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Tag-along</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Clause permettant à la minorité de suivre la majorité dans une cession</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Vesting</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Acquisition progressive des actions d'un fondateur ou salarié</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Weighted-average ratchet</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Méthode de protection anti-dilution proportionnée</w:t>
            </w:r>
          </w:p>
        </w:tc>
      </w:tr>
    </w:tbl>
    <w:p>
      <w:pPr>
        <w:pBdr>
          <w:bottom w:val="single" w:sz="8" w:space="1" w:color="33CC00"/>
        </w:pBdr>
      </w:pPr>
    </w:p>
    <w:p>
      <w:pPr>
        <w:spacing w:after="120" w:line="312" w:lineRule="auto"/>
      </w:pPr>
      <w:r>
        <w:rPr>
          <w:rFonts w:ascii="Calibri" w:hAnsi="Calibri" w:cs="Calibri"/>
          <w:b w:val="0"/>
          <w:i/>
          <w:color w:val="2B4DB5"/>
          <w:sz w:val="22"/>
        </w:rPr>
        <w:t>Term Sheet Type — EGREENCITY'S — Mai 2026 — Document de négociation non engageant</w:t>
      </w:r>
    </w:p>
    <w:sectPr w:rsidR="00FC693F" w:rsidRPr="0006063C" w:rsidSect="00034616">
      <w:headerReference w:type="default" r:id="rId9"/>
      <w:footerReference w:type="default" r:id="rId10"/>
      <w:pgSz w:w="12240" w:h="15840"/>
      <w:pgMar w:top="1247" w:right="1134" w:bottom="136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888888"/>
        <w:sz w:val="16"/>
      </w:rPr>
      <w:t>EGREENCITY'S SAS · RCS Cayenne 878 682 854 · egreencitys@gmail.com · +33 6 51 14 11 18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620000" cy="447261"/>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620000" cy="44726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3A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