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Annexe — Cartographie des Risques et Plans de Mitigation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EGREENCITY'S — Tour Seed 2026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Méthodologie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risques sont cotés selon deux axes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Probabilité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Faible (F) / Moyenne (M) / Élevée (E)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Impact financier ou opérationnel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Faible (F) / Moyen (M) / Élevé (E)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score combiné permet de classer les risques en 3 catégories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Critique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(Probabilité × Impact &gt;= 6) — plan d'action prioritaire et reporting mensuel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Significatif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(Probabilité × Impact = 4-5) — plan d'action et reporting trimestriel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Maîtrisé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(Probabilité × Impact &lt;= 3) — surveillance simple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Risques stratégiques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1.1 Retard du programme ADVENIR — Critique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L'AVERE-France peut tarder à débloquer la subvention 37 200 EUR (75,2 % de couverture).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6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Critique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T+3 à T+12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Décalage du closing financier de 3-6 mois ; tension de trésorerie ; perte d'opportunité commerciale auprès des mairies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Fonds de roulement de 80 k€ inscrit dans la levée Seed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Relations établies avec BPI Guyane pour pont de financement (50-100 k€ si nécessaire)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Engagement convention écrite AVERE-France obtenu avant le closing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B : crédit-bail bornes via BRED ou Crédit Agricole Guyane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Date de notification ADVENIR — alerte rouge si J+90 sans réponse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1.2 Concurrence d'un acteur national — Critique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Un acteur métropolitain (Engie, TotalEnergies, Allego) entre sur le marché guyanais.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4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Significatif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2-5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Perte de parts de marché ; pression tarifaire ; difficulté à signer les LOA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Conventions exclusivité signées avec les 8 communes (verrouillage géographique)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Signatures rapides des LOA (avantage du premier arrivé)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Différenciation par l'ancrage local et le service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Réputation et notoriété installée localement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Discussions stratégiques précoces avec acteurs nationaux pour partenariat ou cession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Veille concurrentielle mensuelle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1.3 Adoption VE inférieure aux prévisions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 parc VE en Guyane progresse moins vite que les +35 %/an attendus.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Maîtrisé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Sessions B2C inférieures aux prévisions ; impact ROI bornes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3 sources de revenus diversifiées (B2G + B2B + B2C)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Modèle LOA = revenus fermes contractuels indépendants de la fréquentation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Adaptation des hypothèses dans le modèle financier (scénario pessimiste prévu)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Possibilité de lancer offre vélos/scooters électriques (option)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Statistiques DREAL Guyane (immatriculations VE/VHR mensuelles)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Risques opérationnels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2.1 Panne du fournisseur E-TOTEM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 rencontre un problème majeur (rupture stocks, problème qualité, faillite)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4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Significatif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Retard des installations ; pannes terrain non couvertes ; SAV indisponible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Convention SAV 5 ans signée avec E-TOTEM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Engagement de support et pièces de rechange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Stocks tampon de 5 bornes à Macouria (sécurité)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B fournisseur identifié : Schneider Electric ou Hager (qualifiés)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Diversification phase 2 (au moins 2 fournisseurs)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Santé financière E-TOTEM (vérification annuelle)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2.2 Inflation prix électricité — Maîtrisé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EDF SEI augmente le tarif vert de gros pour les opérateurs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Maîtrisé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Pression sur la marge brute des sessions B2C/B2G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Indexation des tarifs sessions sur l'évolution prix EDF SEI (clause prévue)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Contrats LOA fixes — non impactés par l'inflation énergie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Suivi des décisions CRE (Commission de Régulation de l'Énergie)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Possibilité d'autoconsommation photovoltaïque sur certaines stations à terme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Évolution tarif vert EDF SEI publié trimestriel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2.3 Manque de techniciens IRVE Qualifelec — Critique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Difficulté à recruter 5 techniciens qualifiés en Guyane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Élevée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6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Critique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T+18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Retard des installations ; surcoût formation ; sous-traitance plus chère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de formation interne : recruter 5 jeunes électriciens locaux + financer leur certification IRVE Qualifelec (3 000 EUR/personne)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Partenariat avec lycée pro et GRETA pour pré-embauche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Contrats d'apprentissage avec aides Pôle Emploi DROM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B : sous-traitance temporaire à des installateurs métropolitains (mission de 2-3 mois)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Politique RH attractive (CDI, formation continue, BSPCE)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techniciens recrutés et certifiés vs prévision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2.4 Climat tropical et impact sur le matériel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L'humidité, la salinité (proximité mer), les orages tropicaux dégradent le matériel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4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Significatif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Permanent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Augmentation des pannes ; coûts de maintenance accrus ; durée de vie réduite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• Bornes E-TOTEM commandées avec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option peinture milieu humide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(203 EUR/borne)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Revêtement anti-graffiti sur sites publics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Maintenance préventive renforcée (2 visites/an au lieu d'1 sur sites côtiers)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Audit annuel de l'état du parc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Provisions pour renouvellement à 7 ans (au lieu de 10) sur les sites les plus exposés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Taux de pannes par site et par année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2.5 Cyberattaque sur l'infrastructure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Attaque sur les bornes (DDoS, exfiltration de données, déni de service)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6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Critique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Indisponibilité des bornes ; vol de données utilisateurs ; atteinte à l'image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Protocole OCPP 1.6J chiffré TLS avec authentification mutuelle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Architecture sécurisée GIREVE (CSMS hébergé en France métropolitaine, certifié)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Mises à jour firmware régulières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de réponse aux incidents documenté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Assurance Cyber dédiée à l'infrastructure de recharge (250 k€ minimum)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Audit de sécurité annuel par un tiers indépendant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Conformité RGPD pour les données utilisateurs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Audits sécurité annuels + incident reporting trimestriel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Risques financiers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Échec ou retard de la levée Série A — Critique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La levée Série A (2 M€) en An 3 ne se concrétise pas dans les délais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6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Critique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3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Ralentissement de l'expansion ; pression sur la trésorerie ; impact sur le calendrier de sortie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EBITDA positif dès l'An 2 = autofinancement possible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B : crédit-bail bornes auprès de banques régionales (BRED, Crédit Agricole Guyane)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C : plan de croissance ralenti (financement par cash flow uniquement)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Préparation Série A dès l'An 2 (12 mois d'avance)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Maintien de relations actives avec fonds spécialisés outre-mer/mobilité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Avancement préparation Série A : pitch deck, data room, premiers contacts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Défaillance de clients LOA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Faillite ou défaut de paiement d'entreprises ayant signé un contrat LOA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4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Significatif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Permanent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Perte de revenus locatifs ; nécessité de récupérer la borne ; surcoût juridique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Dépôt de garantie équivalent à 3 mois de loyer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Indemnité de résiliation anticipée 30 % des loyers restants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Vérification credit/scoring du client avant signature (Coface ou Allianz Trade)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Diversification du portefeuille LOA (pas plus de 15 % d'un même client)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Mécanisme de relocation rapide en cas de récupération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DSO (jours de retard de paiement) suivi mensuellement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3.3 Hausse des coûts de matériaux — Maîtrisé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L'inflation mondiale fait monter les prix des bornes et composants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Maîtrisé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CAPEX plus élevé que prévu ; pression sur la rentabilité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Devis E-TOTEM signé fixant le prix 2026 (4 948 EUR HT/borne Premium)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Cadrage des achats sur 12 mois minimum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Indexation possible des LOA sur l'indice SYNTEC (clause prévue dans le contrat type)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Vigilance sur les coûts logistiques DROM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Évolution prix matériel constructeur trimestriel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Risques juridiques et réglementaires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4.1 Évolution défavorable du programme ADVENIR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 programme ADVENIR est modifié, suspendu ou voit son taux de couverture baisser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6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Critique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1-3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Subventions inférieures aux prévisions ; impact CAPEX phase 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Sécuriser la subvention de la phase 1 dès le closing (37 200 EUR engagés)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Suivi proactif des modifications du programme via AVERE-France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Modèle financier construit pour rester rentable sans subventions phase 2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B : autres dispositifs de financement (BPI verte, Banque des Territoires, FEDER)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Lobbying auprès AVERE-France via membre actif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Veille programme ADVENIR + relations institutionnelles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4.2 Résiliation de convention de domaine public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Une commune décide de résilier unilatéralement la convention d'occupation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Maîtrisé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Démontage et déplacement de la borne ; perte d'investissement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Conventions de domaine public d'une durée minimum de 5 ans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Clauses de résiliation encadrées : préavis minimum 12 mois + indemnisation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Engagement public mutuel (utilisation par le service public local : VE municipaux)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Diversification : pas plus de 20 % du parc total sur une commune unique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Relations politiques entretenues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Renouvellement annuel des relations avec les maires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4.3 Évolution réglementaire AFIR — Maîtrisé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Modifications de la directive AFIR 2024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1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Maîtrisé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1-5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Adaptation des spécifications techniques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Veille réglementaire permanente via AVERE-France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Choix de bornes E-TOTEM compatibles aux dernières normes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Provisions pour mises à jour si nécessaires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Notes AVERE et publications officielles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Risques liés à l'équipe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Départ d'un fondateur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Un des deux fondateurs quitte la société ou devient indisponible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4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Significatif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Permanent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Perte de compétence, retard, perturbation interne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Vesting fondateurs sur 4 ans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avec cliff de 12 mois (clause dans le pacte)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Engagement de présence à temps plein contractualisé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Assurance homme-clé (1 M€ par fondateur)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Documentation interne des processus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Recrutement progressif d'un comité de direction renforcé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Engagement de non-concurrence 2 ans post-départ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Mood interne, entretien trimestriel des fondateurs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Difficultés de recrutement de cadres — Significatif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Difficulté à recruter le RAF, le chef de projet ou le responsable commercial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4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Significatif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T+12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Retard ramp-up commercial ; surcharge des fondateurs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Recrutement avec cabinet local (Apec Guyane) ou métropolitain spécialisé DROM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Politique salariale attractive (avec BSPCE pour les cadres)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Possibilité de recrutement métropolitain avec mobilité Guyane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B : externalisation temporaire de fonctions support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Délais de recrutement vs cible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6. Risques liés au marché et aux clients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6.1 Évolution comportement utilisateurs — Maîtrisé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Les utilisateurs préfèrent recharger à domicile uniquement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 (F)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Maîtrisé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2-5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Sessions B2C inférieures aux prévisions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Localisation stratégique : centres commerciaux, zones de loisirs, axes routiers (déplacements obligatoires)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Tarification adaptée : sessions courtes facturées plus cher, abonnements flotte avantageux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Communication ciblée sur les usages (ex: longue distance Cayenne-Saint-Laurent)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Statistiques d'utilisation par site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6.2 Échec offre LOA — Critique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Très peu d'entreprises souscrivent à l'offre LOA dans les 18 premiers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Probabilité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(M)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Impact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 (E)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Score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6 —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Critique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Échéance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T+18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Conséquences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Pilier B2B fragilisé ; impact significatif sur le revenu prévu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de mitigation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Tarif d'accroche très compétitif (89 EUR/mois HT/PDC dès le ticket d'entrée)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49 cibles entreprises identifiées, qualifiées et priorisées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d'actions commerciales structuré (3 vagues d'envoi)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Recrutement d'un commercial dédié dès T+2 mois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Partenariats CCI Guyane et MEDEF Guyane pour démos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• Plan B : mécanisme d'incitation accrue pour les premiers signataires (remise pendant 12 mois)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Indicateur de suivi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contrats LOA signés vs cible mensuelle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7. Synthèse des risques critiques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Risque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Probabilité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Plan d'action prioritaire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Retard ADVENIR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Fonds de roulement 80 k€ + plan B BPI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Manque de techniciens IRVE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Plan formation 5 personnes + apprentissage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Cyberattaque infrastructure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OCPP sécurisé + assurance cyber + audit annuel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Échec Série A An 3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Préparation 12 mois avant + plan B crédit-bail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Évolution défavorable ADVENIR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Subvention sécurisée An 1 + plan B financements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Échec offre LOA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Tarif d'accroche + 49 cibles qualifiées + commercial dédié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8. Tableau de bord de pilotage des risques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met en place un </w:t>
      </w:r>
      <w:r>
        <w:rPr>
          <w:rFonts w:ascii="Calibri" w:hAnsi="Calibri" w:cs="Calibri"/>
          <w:b/>
          <w:i w:val="0"/>
          <w:color w:val="0A4800"/>
          <w:sz w:val="22"/>
        </w:rPr>
        <w:t>tableau de bord risques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présenté trimestriellement au Conseil Stratégique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État de chaque risque (mitigé / sous surveillance / critique)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Indicateur clé associé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Évolution depuis le trimestre précédent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Plan d'action en cours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Décisions à prendre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Ce dispositif fait partie intégrante de la gouvernance EGREENCITY'S et conditionne le pilotage stratégique de l'entreprise.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Annexe Risques &amp; Mitigation — EGREENCITY'S — Mai 2026 — Document confidentiel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