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  <w:spacing w:before="0" w:after="0"/>
      </w:pPr>
      <w:r>
        <w:rPr>
          <w:b w:val="1"/>
          <w:bCs w:val="1"/>
        </w:rPr>
        <w:t xml:space="preserve">Варианты замены занятия c 28.11.22 по 04.12.22</w:t>
      </w:r>
    </w:p>
    <w:p>
      <w:pPr>
        <w:spacing w:before="0" w:after="0"/>
      </w:pPr>
      <w:r>
        <w:rPr/>
        <w:t xml:space="preserve">Заменяемое занятие: четвёртая пара, вторник, каждую неделю</w:t>
      </w:r>
    </w:p>
    <w:p>
      <w:pPr>
        <w:spacing w:before="0" w:after="0"/>
      </w:pPr>
      <w:r>
        <w:rPr/>
        <w:t xml:space="preserve">Преподавателя: доц. Сафьянский Д.А.</w:t>
      </w:r>
    </w:p>
    <w:p>
      <w:pPr>
        <w:spacing w:before="0" w:after="100"/>
      </w:pPr>
      <w:r>
        <w:rPr/>
        <w:t xml:space="preserve">Группы: Б.O.БиСТ-4-Э(эп)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Управление качеством (ПЗ)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1013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Б.O.БиСТ-4-Э(эп)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  <w:shd w:val="clear" w:fill="#DCDCDC"/>
              </w:rPr>
              <w:t xml:space="preserve">Управление качеством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  <w:shd w:val="clear" w:fill="#DCDCDC"/>
              </w:rPr>
              <w:t xml:space="preserve">ауд. 1013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  <w:shd w:val="clear" w:fill="#DCDCDC"/>
              </w:rPr>
              <w:t xml:space="preserve">проф. Метладзе Б.Ф.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Б.O.БиСТ-3-БИ(эб)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Л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1016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Б.O.БиСТ-3-БИ(эб)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Б.O.БиСТ-4-[БИ; М]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Б.O.БиСТ-2-М(пм)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Б.O.БиСТ-2-М(пм)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//28.11.22// ауд. 1005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Б.З.БиСТ-2-Э(эп)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//29.11.22// ауд. 1006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Б.З.БиСТ-2-Э(эп)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Б.З.БиСТ-2-Э(эп)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Политология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 ауд. 1001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проф. Алханов К.Л.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Б.O.БиСТ-2-[БИ; М; Э]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Управление качеством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 ауд. 1013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проф. Метладзе Б.Ф.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Б.O.БиСТ-4-М(пм)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Б.O.БиСТ-4-М(пм)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1006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Б.O.БиСТ-4-М(пм)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Английский язык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 ауд. 1013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shd w:val="clear" w:fill="#DCDCDC"/>
              </w:rPr>
              <w:t xml:space="preserve">проф. Малахов А.Л.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 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Б.O.БиСТ-4-Э(эп)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  <w:shd w:val="clear" w:fill="#DCDCDC"/>
              </w:rPr>
              <w:t xml:space="preserve">(Заменяемое занятие)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Б.З.БиСТ-2-Э(эп)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2022-11-25T07:40:27+00:00</dcterms:created>
  <dcterms:modified xsi:type="dcterms:W3CDTF">2022-11-25T07:40:27+00:00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