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/>
        <w:t xml:space="preserve">Расписание занятий</w:t>
      </w:r>
    </w:p>
    <w:p>
      <w:pPr/>
      <w:r>
        <w:rPr/>
        <w:t xml:space="preserve">доц. Масатонов А.П.</w:t>
      </w:r>
    </w:p>
    <w:tbl>
      <w:tblGrid>
        <w:gridCol w:w="13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chedule"/>
      </w:tblPr>
      <w:tr>
        <w:trPr>
          <w:tblHeader w:val="1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Пары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Суббота</w:t>
            </w:r>
          </w:p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08:00 - 09:35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Б.O.БиСТ-2-БИ(эб)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09:45 - 11:20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Б.O.БиСТ-4-Э(эп)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Б.O.БиСТ-4-Э(эп)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1015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Б.O.БиСТ-4-М(пм)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1007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Б.O.БиСТ-1-Э(эп)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12:00 - 13:35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1017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Б.O.БиСТ-1-БИ(эб)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1006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Б.O.БиСТ-1-БИ(эб)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13:45 - 15:20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1020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Б.O.БиСТ-1-БИ(эб)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Б.O.БиСТ-3-М(пм)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Б.O.БиСТ-1-БИ(эб)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15:30 - 17:05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chedule">
    <w:name w:val="Schedu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2022-11-15T17:09:13+00:00</dcterms:created>
  <dcterms:modified xsi:type="dcterms:W3CDTF">2022-11-15T17:09:13+00:00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