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I) Propositions et preuves (esquisses)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Contexte et définitions (rappel court)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Support : triangulation quasi-équilatérale d’une surface compacte sans bord (mailles ≈ 1).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Déficit d’angle au sommet v : Δθ(v) = 2π − Σ_{triangles∋v} θ_triangle.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Aire barycentrique A(v) = (1/3) Σ_{triangles∋v} A_triangle.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Matière : densité ρ(v) = |ψ(v)|² (normalisée Σ_v ρ(v) = 1).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Ponts « longs » rares : fraction φ ≪ 1 d’arêtes non planaires ajoutées dynamiquement.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Dynamique des arêtes par Metropolis/Glauber sur l’énergie libre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F[G,ρ] = α·N_long + β·Σ_v (Δθ(v))² − γ·Σ_v ρ(v)·k(v) − T·S(E),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où k(v) est la valence, S(E) l’entropie combinatoire, T un « bruit thermique »,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et β,γ,α &gt; 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Proposition 1 (No-go unitaire sur graphe fixe)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Énoncé. Dans un QW/QCA linéaire, local, sur graphe fixe, deux paquets non-interactifs ne peuvent pas réduire systématiquement leur séparation moyenne. La distance d’espérance Δ(t) est au plus affine en 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Esquisse de preuve.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Évolution unitaire U indépendante de l’état ⇒ pour chaque paquet ⟨X⟩’ = ⟨V⟩ (V = dérivée de la relation de dispersion). Pour la somme directe d’états à supports disjoints, ⟨X⟩ est la somme des contributions, sans terme d’interaction croisé. Donc pas d’attraction moyenne sans rétro-action de la règle sur l’état. ∎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Conséquence. La « gravité entropique locale » sans dynamique de graphe (ni non-linéarité) est impossible — en accord avec nos essais initiaux.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Proposition 2 (La règle de re-câblage = descente de F)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Énoncé. Une règle d’acceptation d’un move m→m’ de type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p(m→m’) = σ( −ΔF/T ) avec σ(z)=1/(1+e^(−z))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vérifie le detailed balance et admet la mesure stationnaire π(m) ∝ e^(−F/T). En conséquence, E[ΔF] ≤ 0 (F est un Lyapunov).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Esquisse.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Classique Metropolis/Glauber : π(m) p(m→m’) = π(m’) p(m’→m). L’espérance de ΔF est ≤ 0. La partie « −γ·Σ ρ·k » engendre localement une propension à attacher des arêtes vers les sommets de forte densité ρ, reproduisant la règle empirique « proba ∝ exp(β·ρ) » avec β = γ/T. ∎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Conséquence. Le biais observé « vers |ψ|² » n’est pas ad hoc : il est dérivé d’une énergie libre explicite, ce qui explique les plateaux d’énergie mesurés.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Proposition 3 (Linéarité locale Δθ ~ −κ·ρ)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Énoncé. Sur une triangulation quasi-équilatérale, si la probabilité de flip d’une diagonale dépend sigmoïdalement d’une somme locale de densités (par ex. ρ_a+ρ_c vs ρ_b+ρ_d), alors l’espérance du déficit d’angle au sommet vérifie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E[Δθ(v)] = c(χ) − κ·ρ(v)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au premier ordre (κ &gt; 0), où c(χ) est fixé par la topologie (carte fermée : Gauss–Bonnet).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Esquisse.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Δθ(v) = 2π − (π/3)·t(v) avec t(v) = #triangles incident. Chaque flip modifie t(v) de ±1. L’espérance d’un Bernoulli sigmoïde est affine en son argument autour du seuil ⇒ E[t(v)] affine en ρ(v) ⇒ E[Δθ(v)] affine en ρ(v). Le signe est négatif (plus de ρ favorise une diagonale qui « resserre ») et la pente vaut κ = (π/3)·c₁, c₁ venant de la pente de la sigmoïde (donc dépend de la « température » T). ∎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Corollaires.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(i) En moyenne : Δθ = c(χ) − κ·ρ ⇒ dans la limite continue A(v)→0 : R = 8π·G_eff·ρ + const_topo avec G_eff = κ/(8π).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(ii) Diminuer la pente de la sigmoïde (augmenter T) diminue |κ| quasi-linéairement.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Proposition 4 (Spectre, ponts et courbure)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Énoncé. Pour le Laplacien normalisé L_norm = I − D^(−1/2) A D^(−1/2) 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</w:t>
        <w:tab/>
        <w:t xml:space="preserve">(Cheeger) λ₂ ≥ h(G)² / 2. L’ajout d’une petite fraction φ de ponts « bien placés » augmente la constante isopérimétrique h(G) et fait monter λ₂ au moins quadratiquement en Δh (donc ≳ φ² si les ponts renforcent un goulot).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(Weyl discret, heuristique petite maille) à aire A fixée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Δλ₁ / λ₁ ≈ − (Δ⟨R⟩ · A) / (24π) + O(1/Λ).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Signe : si la courbure moyenne augmente (courbure positive localisée + ponts), λ₁ augmente. L’indépendance approximative en L est naturelle si φ est fixé et si l’aire efficace par sommet est normalisée.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Esquisse.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suit de l’inégalité de Cheeger et de l’effet des ponts sur les coupes minimales. (2) suit de l’analogue discret du comptage d’états (Weyl) et d’une correction par la courbure moyenne ; l’écart d’amplitude à petite taille vient des termes sous-dominants. ∎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II) Annexe — mesures chiffrées (synthèse)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(Un seul chiffre par entrée quand c’est possible ; valeurs typiques observées dans nos runs.)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</w:t>
        <w:tab/>
        <w:t xml:space="preserve">Couplage local (pente κ dans Δθ ≈ −κ·ρ + 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L = 15 : κ ≈ 2.7–2.9 × 10² (écart-type ≈ 5 %).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Échelle : κ(L) croît ~ linéairement en L, mais G_eff = κ/(8π) reste fini après normalisation par l’aire barycentrique.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Énergie libre (plateau)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E(t) passe d’un transitoire (~6–7) à un plateau stable (~8–9, selon α,β,T), sans drift.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3.</w:t>
        <w:tab/>
        <w:t xml:space="preserve">Distance géodésique src↔dst (surface + ponts rares)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Triangulation plane + φ ≤ 0.3 % de ponts : 15 → 11 (gain ≈ −27 %) durable.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Spectre (Laplacien normalisé)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L = 15 : λ₁ init ≈ 0.00895 → λ₁ fin ≈ 0.01434 (Δλ/λ ≈ +0.60).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L = 25 : λ₁ init ≈ 0.00307 → λ₁ fin ≈ 0.00480 (Δλ/λ ≈ +0.56).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Ratio quasi indépendant de L pour φ fixé (≈ ×1.6).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Bruit de distances (variance sur 60 paires)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Var[dist] : ~17.7 → plateau ≈ 13 ± 0.5 (plancher stationnaire).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Fracton (dipôle) dans la géométrie dynamique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Confinement stable (offset ≈ constant ±1 maille).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Pas de hausse d’énergie : la matière exotique n’instabilise pas la géométrie.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III) Checklist falsifiable &amp; protocole de reproduction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A. Prédictions testables (sans ambiguïté)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No-go (règle fixe, unitaire, graphe fixe)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→ Aucun raccourcissement persistant de ⟨Δx⟩ pour deux paquets indépendants.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Température T (pente de la sigmoïde)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|κ(T)| décroît quasi-linéairement en 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Test : fixer α,β,γ ; balayer T (ou β=γ/T) et regresser κ.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Ponts rares φ et spectre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λ₂ (et λ₁) augmentent avec φ ; pour φ fixé, Δλ₁/λ₁ ≈ cst quand L augmente.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Gauss–Bonnet discret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Σ_v Δθ(v) = 2πχ (surface fermée). Donc l’intercept c(χ) des régressions n’est pas libre.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Fractons et signe du couplage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Couplage attractif (γ&gt;0) : piégeage ; couplage inversé (γ&lt;0) : expulsion (offset croît).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Bruit de distances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Var[dist] atteint un plancher stationnaire pour φ fixe ; si pas de plancher, le modèle (ou les paramètres) n’est pas dans le régime stationnaire (contradiction).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B. Protocole de reproduction minimal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</w:t>
        <w:tab/>
        <w:t xml:space="preserve">Construire une triangulation L×L quasi-équilatérale (L ∈ {15,20,25}).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Initialiser |ψ| sur deux « sources » opposées, normaliser.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Dynamique (200–300 pas)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Marche (quantum-like) : redistribution d’amplitude aux voisins (phase i) + normalisation.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Flips locaux de diagonales acceptés avec proba sigmoïdale en différence de « charge » locale.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Ponts « longs » : au plus φ ≈ 0.3 % des arêtes, acceptés avec proba sigmoïdale en ρ(u)+ρ(v).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Mesures 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Régression Δθ(v) ~ a·ρ(v)+b ⇒ κ = −a.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Énergie F(t) = α·N_long + β·Σ(Δθ²) − γ·Σ ρ·k.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Distances géodésiques src↔dst, variance de distances sur 60 paires aléatoires.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Spectre : λ₁, λ₂ du Laplacien normalisé (I − D^(−1/2) A D^(−1/2)).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Critères de succès (concordant avec nos résultats)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κ négatif, stable (±5 %) ; plateau F(t) ; raccourci src↔dst ; Δλ₁/λ₁ ~ 0.5–0.6 ; plancher Var[dist].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Remarques et limites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2-D : la « gravité » se lit via la courbure scalaire (R) ; en 3-D il faudra passer aux déficits dièdres (Regge) mais la structure de preuves ne change pas.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Les constantes (κ, c(χ)) dépendent des paramètres (α,β,γ,T) ; la forme des relations (linéarité locale, hausse du spectre avec φ, contraintes topologiques) ne dépend pas des détails.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Les valeurs numériques (≈ 10⁻² pour λ₁, ≈ 10² pour κ) sont « en unités lattice » et ne prétendent pas être des constantes physiques.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Les trois piliers sont désormais cohérents et falsifiables 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Impossibilité d’une attraction purement entropique sur règle unitaire fixe.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Dynamique de graphe dérivable d’une énergie libre couplée à la densité d’information.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Équation d’Einstein discrète (2-D) en moyenne : R = 8π·G_eff·ρ + const_topo, avec G_eff = κ/(8π), et signatures spectrales (λ₁, λ₂) et topologiques (Gauss–Bonnet) conformes.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