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Report di Analisi Comparativa</w:t>
      </w:r>
    </w:p>
    <w:p>
      <w:pPr>
        <w:jc w:val="center"/>
      </w:pPr>
      <w:r>
        <w:rPr>
          <w:i/>
          <w:sz w:val="24"/>
        </w:rPr>
        <w:t>2.12.2.01 ITA - Auto / RE Danni non auto Autorizzazione deroghe -&gt; 2.12.2.01 ITA - Auto / RE Danni non auto Autorizzazione deroghe</w:t>
      </w:r>
    </w:p>
    <w:p>
      <w:pPr>
        <w:jc w:val="center"/>
      </w:pPr>
      <w:r>
        <w:rPr>
          <w:color w:val="666666"/>
          <w:sz w:val="20"/>
        </w:rPr>
        <w:t>Data: 30/01/2026</w:t>
      </w:r>
    </w:p>
    <w:p/>
    <w:p>
      <w:pPr>
        <w:pStyle w:val="Heading1"/>
      </w:pPr>
      <w:r>
        <w:t>Riepilogo Metriche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E5A7C"/>
          </w:tcPr>
          <w:p>
            <w:r>
              <w:rPr>
                <w:b/>
                <w:color w:val="FFFFFF"/>
              </w:rPr>
              <w:t>Metrica</w:t>
            </w:r>
          </w:p>
        </w:tc>
        <w:tc>
          <w:tcPr>
            <w:tcW w:type="dxa" w:w="2880"/>
            <w:shd w:fill="2E5A7C"/>
          </w:tcPr>
          <w:p>
            <w:r>
              <w:rPr>
                <w:b/>
                <w:color w:val="FFFFFF"/>
              </w:rPr>
              <w:t>Valore</w:t>
            </w:r>
          </w:p>
        </w:tc>
        <w:tc>
          <w:tcPr>
            <w:tcW w:type="dxa" w:w="2880"/>
            <w:shd w:fill="2E5A7C"/>
          </w:tcPr>
          <w:p>
            <w:r>
              <w:rPr>
                <w:b/>
                <w:color w:val="FFFFFF"/>
              </w:rPr>
              <w:t>Valutazione</w:t>
            </w:r>
          </w:p>
        </w:tc>
      </w:tr>
      <w:tr>
        <w:tc>
          <w:tcPr>
            <w:tcW w:type="dxa" w:w="2880"/>
          </w:tcPr>
          <w:p>
            <w:r>
              <w:t>Volatility Index</w:t>
            </w:r>
          </w:p>
        </w:tc>
        <w:tc>
          <w:tcPr>
            <w:tcW w:type="dxa" w:w="2880"/>
          </w:tcPr>
          <w:p>
            <w:r>
              <w:t>0.0%</w:t>
            </w:r>
          </w:p>
        </w:tc>
        <w:tc>
          <w:tcPr>
            <w:tcW w:type="dxa" w:w="2880"/>
          </w:tcPr>
          <w:p>
            <w:r>
              <w:t>Bassa</w:t>
            </w:r>
          </w:p>
        </w:tc>
      </w:tr>
      <w:tr>
        <w:tc>
          <w:tcPr>
            <w:tcW w:type="dxa" w:w="2880"/>
          </w:tcPr>
          <w:p>
            <w:r>
              <w:t>Handover Delta</w:t>
            </w:r>
          </w:p>
        </w:tc>
        <w:tc>
          <w:tcPr>
            <w:tcW w:type="dxa" w:w="2880"/>
          </w:tcPr>
          <w:p>
            <w:r>
              <w:t>-1</w:t>
            </w:r>
          </w:p>
        </w:tc>
        <w:tc>
          <w:tcPr>
            <w:tcW w:type="dxa" w:w="2880"/>
          </w:tcPr>
          <w:p>
            <w:r>
              <w:t>2 -&gt; 1</w:t>
            </w:r>
          </w:p>
        </w:tc>
      </w:tr>
      <w:tr>
        <w:tc>
          <w:tcPr>
            <w:tcW w:type="dxa" w:w="2880"/>
          </w:tcPr>
          <w:p>
            <w:r>
              <w:t>Automation Rate</w:t>
            </w:r>
          </w:p>
        </w:tc>
        <w:tc>
          <w:tcPr>
            <w:tcW w:type="dxa" w:w="2880"/>
          </w:tcPr>
          <w:p>
            <w:r>
              <w:t>83.3% -&gt; 83.3%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  <w:shd w:fill="FFF3CD"/>
          </w:tcPr>
          <w:p>
            <w:r>
              <w:rPr>
                <w:b/>
              </w:rPr>
              <w:t>Process Change Score</w:t>
            </w:r>
          </w:p>
        </w:tc>
        <w:tc>
          <w:tcPr>
            <w:tcW w:type="dxa" w:w="2880"/>
            <w:shd w:fill="FFF3CD"/>
          </w:tcPr>
          <w:p>
            <w:r>
              <w:rPr>
                <w:b/>
              </w:rPr>
              <w:t>0.20</w:t>
            </w:r>
          </w:p>
        </w:tc>
        <w:tc>
          <w:tcPr>
            <w:tcW w:type="dxa" w:w="2880"/>
            <w:shd w:fill="FFF3CD"/>
          </w:tcPr>
          <w:p>
            <w:r>
              <w:rPr>
                <w:b/>
              </w:rPr>
              <w:t>Medio</w:t>
            </w:r>
          </w:p>
        </w:tc>
      </w:tr>
    </w:tbl>
    <w:p/>
    <w:p>
      <w:r>
        <w:t xml:space="preserve">Ecco il report di analisi comparativa del processo </w:t>
      </w:r>
      <w:r>
        <w:rPr>
          <w:b/>
        </w:rPr>
        <w:t>2.12.2.01 ITA - Auto / RE Danni non auto Autorizzazione deroghe</w:t>
      </w:r>
      <w:r>
        <w:t>.</w:t>
      </w:r>
    </w:p>
    <w:p>
      <w:pPr>
        <w:pStyle w:val="Heading2"/>
      </w:pPr>
      <w:r>
        <w:t>1. EXECUTIVE SUMMARY</w:t>
      </w:r>
    </w:p>
    <w:p>
      <w:r>
        <w:t xml:space="preserve">Il processo non presenta variazioni strutturali nel numero di attività, ma subisce una riorganizzazione funzionale significativa. Il cambiamento principale riguarda l'arricchimento dei criteri di valutazione delle deroghe (fase 030) e una </w:t>
      </w:r>
      <w:r>
        <w:rPr>
          <w:b/>
        </w:rPr>
        <w:t>inversione logica e sequenziale</w:t>
      </w:r>
      <w:r>
        <w:t xml:space="preserve"> tra le attività di controllo e di chiusura (050 e 060). L'aggiornamento mira a una maggiore precisione nella valutazione tecnica del rischio e a una migliore integrazione dei sistemi CRM.</w:t>
      </w:r>
    </w:p>
    <w:p>
      <w:pPr>
        <w:pStyle w:val="Heading2"/>
      </w:pPr>
      <w:r>
        <w:t>2. QUANTITATIVE OVERVIEW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0E0E0"/>
          </w:tcPr>
          <w:p>
            <w:r>
              <w:rPr>
                <w:b/>
              </w:rPr>
            </w:r>
            <w:r>
              <w:rPr>
                <w:b/>
              </w:rPr>
              <w:t>Metrica</w:t>
            </w:r>
          </w:p>
        </w:tc>
        <w:tc>
          <w:tcPr>
            <w:tcW w:type="dxa" w:w="2880"/>
            <w:shd w:fill="E0E0E0"/>
          </w:tcPr>
          <w:p>
            <w:r>
              <w:rPr>
                <w:b/>
              </w:rPr>
            </w:r>
            <w:r>
              <w:rPr>
                <w:b/>
              </w:rPr>
              <w:t>Valore</w:t>
            </w:r>
          </w:p>
        </w:tc>
        <w:tc>
          <w:tcPr>
            <w:tcW w:type="dxa" w:w="2880"/>
            <w:shd w:fill="E0E0E0"/>
          </w:tcPr>
          <w:p>
            <w:r>
              <w:rPr>
                <w:b/>
              </w:rPr>
            </w:r>
            <w:r>
              <w:rPr>
                <w:b/>
              </w:rPr>
              <w:t>Valutazione</w:t>
            </w:r>
          </w:p>
        </w:tc>
      </w:tr>
      <w:tr>
        <w:tc>
          <w:tcPr>
            <w:tcW w:type="dxa" w:w="2880"/>
          </w:tcPr>
          <w:p>
            <w:r/>
            <w:r>
              <w:t>Volatility Index</w:t>
            </w:r>
          </w:p>
        </w:tc>
        <w:tc>
          <w:tcPr>
            <w:tcW w:type="dxa" w:w="2880"/>
          </w:tcPr>
          <w:p>
            <w:r/>
            <w:r>
              <w:t>0%</w:t>
            </w:r>
          </w:p>
        </w:tc>
        <w:tc>
          <w:tcPr>
            <w:tcW w:type="dxa" w:w="2880"/>
          </w:tcPr>
          <w:p>
            <w:r/>
            <w:r>
              <w:t>Bassa</w:t>
            </w:r>
          </w:p>
        </w:tc>
      </w:tr>
      <w:tr>
        <w:tc>
          <w:tcPr>
            <w:tcW w:type="dxa" w:w="2880"/>
          </w:tcPr>
          <w:p>
            <w:r/>
            <w:r>
              <w:t>Handover Delta</w:t>
            </w:r>
          </w:p>
        </w:tc>
        <w:tc>
          <w:tcPr>
            <w:tcW w:type="dxa" w:w="2880"/>
          </w:tcPr>
          <w:p>
            <w:r/>
            <w:r>
              <w:t>-1</w:t>
            </w:r>
          </w:p>
        </w:tc>
        <w:tc>
          <w:tcPr>
            <w:tcW w:type="dxa" w:w="2880"/>
          </w:tcPr>
          <w:p>
            <w:r/>
            <w:r>
              <w:t>Riduzione passaggi organizzativi</w:t>
            </w:r>
          </w:p>
        </w:tc>
      </w:tr>
      <w:tr>
        <w:tc>
          <w:tcPr>
            <w:tcW w:type="dxa" w:w="2880"/>
          </w:tcPr>
          <w:p>
            <w:r/>
            <w:r>
              <w:t>Automation Rate</w:t>
            </w:r>
          </w:p>
        </w:tc>
        <w:tc>
          <w:tcPr>
            <w:tcW w:type="dxa" w:w="2880"/>
          </w:tcPr>
          <w:p>
            <w:r/>
            <w:r>
              <w:t>83.3% → 83.3%</w:t>
            </w:r>
          </w:p>
        </w:tc>
        <w:tc>
          <w:tcPr>
            <w:tcW w:type="dxa" w:w="2880"/>
          </w:tcPr>
          <w:p>
            <w:r/>
            <w:r>
              <w:t>Invariata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Process Change Score</w:t>
            </w:r>
          </w:p>
        </w:tc>
        <w:tc>
          <w:tcPr>
            <w:tcW w:type="dxa" w:w="2880"/>
          </w:tcPr>
          <w:p>
            <w:r/>
            <w:r>
              <w:t>0.20</w:t>
            </w:r>
          </w:p>
        </w:tc>
        <w:tc>
          <w:tcPr>
            <w:tcW w:type="dxa" w:w="2880"/>
          </w:tcPr>
          <w:p>
            <w:r/>
            <w:r>
              <w:t>Medio</w:t>
            </w:r>
          </w:p>
        </w:tc>
      </w:tr>
    </w:tbl>
    <w:p>
      <w:pPr>
        <w:pStyle w:val="Heading2"/>
      </w:pPr>
      <w:r>
        <w:t>2.1 REVISIONE SEMANTICA DELLE METRICHE</w:t>
      </w:r>
    </w:p>
    <w:p>
      <w:r>
        <w:rPr>
          <w:b/>
        </w:rPr>
        <w:t>Valutazione confermata</w:t>
      </w:r>
      <w:r>
        <w:t xml:space="preserve">: Il livello </w:t>
      </w:r>
      <w:r>
        <w:rPr>
          <w:b/>
        </w:rPr>
        <w:t>Medio</w:t>
      </w:r>
      <w:r>
        <w:t xml:space="preserve"> è coerente con l'analisi qualitativa.</w:t>
      </w:r>
    </w:p>
    <w:p>
      <w:r>
        <w:t>Sebbene la volatilità sia nulla (nessuna attività aggiunta o rimossa), l'impatto reale è significativo per due motivi:</w:t>
      </w:r>
    </w:p>
    <w:p>
      <w:pPr>
        <w:pStyle w:val="ListNumber"/>
      </w:pPr>
      <w:r>
        <w:rPr>
          <w:b/>
        </w:rPr>
        <w:t>Arricchimento informativo</w:t>
      </w:r>
      <w:r>
        <w:t>: L'attività 030 introduce nuovi punti di controllo e dati (CRM) che cambiano la profondità della valutazione.</w:t>
      </w:r>
    </w:p>
    <w:p>
      <w:pPr>
        <w:pStyle w:val="ListNumber"/>
      </w:pPr>
      <w:r>
        <w:rPr>
          <w:b/>
        </w:rPr>
        <w:t>Inversione di flusso</w:t>
      </w:r>
      <w:r>
        <w:t>: Lo scambio di contenuti tra le attività 050 e 060 indica una correzione della sequenza logica del processo che ha impatto sulla gestione operativa e sulla misurazione delle SLA.</w:t>
      </w:r>
    </w:p>
    <w:p>
      <w:pPr>
        <w:pStyle w:val="Heading2"/>
      </w:pPr>
      <w:r>
        <w:t>3. DETAILED CHANGE ANALYSIS</w:t>
      </w:r>
    </w:p>
    <w:p>
      <w:pPr>
        <w:pStyle w:val="Heading3"/>
      </w:pPr>
      <w:r>
        <w:t>3.1 Structural Changes (Activities Added/Removed)</w:t>
      </w:r>
    </w:p>
    <w:p>
      <w:r>
        <w:t>Non sono state aggiunte o rimosse attività. La struttura portante del processo rimane invariata in termini di numero di step.</w:t>
      </w:r>
    </w:p>
    <w:p>
      <w:pPr>
        <w:pStyle w:val="Heading3"/>
      </w:pPr>
      <w:r>
        <w:t>3.2 Organizational Changes</w:t>
      </w:r>
    </w:p>
    <w:p>
      <w:r>
        <w:t>Si osserva uno scambio di responsabilità tra le attività 050 e 060:</w:t>
      </w:r>
    </w:p>
    <w:p>
      <w:pPr>
        <w:pStyle w:val="ListBullet"/>
      </w:pPr>
      <w:r>
        <w:rPr>
          <w:b/>
        </w:rPr>
        <w:t>Attività 050</w:t>
      </w:r>
      <w:r>
        <w:t>: Passa da "AUTOMATICO" a "FOR AUTO / DANNI NON AUTO - Ufficio".</w:t>
      </w:r>
    </w:p>
    <w:p>
      <w:pPr>
        <w:pStyle w:val="ListBullet"/>
      </w:pPr>
      <w:r>
        <w:rPr>
          <w:b/>
        </w:rPr>
        <w:t>Attività 060</w:t>
      </w:r>
      <w:r>
        <w:t>: Passa da "FOR AUTO / DANNI NON AUTO - Ufficio" a "AUTOMATICO".</w:t>
      </w:r>
    </w:p>
    <w:p>
      <w:r>
        <w:t>Questo suggerisce che il controllo degli sconti (ora in 050) precede o è stato riposizionato rispetto alla chiusura tecnica della richiesta (ora in 060).</w:t>
      </w:r>
    </w:p>
    <w:p>
      <w:pPr>
        <w:pStyle w:val="Heading3"/>
      </w:pPr>
      <w:r>
        <w:t>3.3 Technological Changes</w:t>
      </w:r>
    </w:p>
    <w:p>
      <w:pPr>
        <w:pStyle w:val="ListBullet"/>
      </w:pPr>
      <w:r>
        <w:rPr>
          <w:b/>
        </w:rPr>
        <w:t>Introduzione CRM</w:t>
      </w:r>
      <w:r>
        <w:t xml:space="preserve">: Nell'attività 030 viene introdotto l'uso del </w:t>
      </w:r>
      <w:r>
        <w:rPr>
          <w:b/>
        </w:rPr>
        <w:t>CRM ASSICURATIVO (DYNAMICS)</w:t>
      </w:r>
      <w:r>
        <w:t xml:space="preserve"> per la valutazione del cliente e dell'intermediario.</w:t>
      </w:r>
    </w:p>
    <w:p>
      <w:pPr>
        <w:pStyle w:val="ListBullet"/>
      </w:pPr>
      <w:r>
        <w:rPr>
          <w:b/>
        </w:rPr>
        <w:t>Evoluzione Applicativo Emissione</w:t>
      </w:r>
      <w:r>
        <w:t>: Viene segnalato l'allargamento dei campi di testo libero per rendere le note parte integrante della polizza, riducendo la necessità di documenti extra.</w:t>
      </w:r>
    </w:p>
    <w:p>
      <w:pPr>
        <w:pStyle w:val="ListBullet"/>
      </w:pPr>
      <w:r>
        <w:rPr>
          <w:b/>
        </w:rPr>
        <w:t>Spostamento Sistemi</w:t>
      </w:r>
      <w:r>
        <w:t>: I sistemi ISAAC e PASS vengono spostati dall'attività 050 alla 060, seguendo la logica della chiusura automatica.</w:t>
      </w:r>
    </w:p>
    <w:p>
      <w:pPr>
        <w:pStyle w:val="Heading3"/>
      </w:pPr>
      <w:r>
        <w:t>3.4 Content Changes (Descriptions/Titles)</w:t>
      </w:r>
    </w:p>
    <w:p>
      <w:pPr>
        <w:pStyle w:val="ListBullet"/>
      </w:pPr>
      <w:r>
        <w:rPr>
          <w:b/>
        </w:rPr>
        <w:t>Attività 030 (Valutazione)</w:t>
      </w:r>
      <w:r>
        <w:t>: Notevole espansione della descrizione. Vengono esplicitati nuovi parametri di valutazione: andamento recupero premio medio, new business, sconto medio applicato e andamento rapporto tecnico di agenzia.</w:t>
      </w:r>
    </w:p>
    <w:p>
      <w:pPr>
        <w:pStyle w:val="ListBullet"/>
      </w:pPr>
      <w:r>
        <w:rPr>
          <w:b/>
        </w:rPr>
        <w:t>Attività 050 e 060</w:t>
      </w:r>
      <w:r>
        <w:t>: I titoli e le descrizioni sono stati integralmente scambiati tra loro. La 050 ora riguarda la verifica sconti, la 060 la chiusura della richiesta.</w:t>
      </w:r>
    </w:p>
    <w:p>
      <w:pPr>
        <w:pStyle w:val="Heading2"/>
      </w:pPr>
      <w:r>
        <w:t>4. RISK AND COMPLIANCE NOTES</w:t>
      </w:r>
    </w:p>
    <w:p>
      <w:pPr>
        <w:pStyle w:val="ListBullet"/>
      </w:pPr>
      <w:r>
        <w:rPr>
          <w:b/>
        </w:rPr>
        <w:t>Miglioramento del Controllo</w:t>
      </w:r>
      <w:r>
        <w:t>: L'introduzione di parametri analitici (PTF agenzia, andamento tecnico) nella fase di valutazione (030) riduce il rischio di sottoscrizione non corretta.</w:t>
      </w:r>
    </w:p>
    <w:p>
      <w:pPr>
        <w:pStyle w:val="ListBullet"/>
      </w:pPr>
      <w:r>
        <w:rPr>
          <w:b/>
        </w:rPr>
        <w:t>Tracciabilità</w:t>
      </w:r>
      <w:r>
        <w:t>: L'integrazione delle note direttamente in polizza (testi liberi ampliati) favorisce la compliance e la trasparenza contrattuale, riducendo il rischio di perdita di informazioni allegate.</w:t>
      </w:r>
    </w:p>
    <w:p>
      <w:pPr>
        <w:pStyle w:val="ListBullet"/>
      </w:pPr>
      <w:r>
        <w:rPr>
          <w:b/>
        </w:rPr>
        <w:t>Audit Trail</w:t>
      </w:r>
      <w:r>
        <w:t>: È necessario verificare che lo scambio di codici tra 050 e 060 non impatti la reportistica storica o i log di audit precedentemente configurati.</w:t>
      </w:r>
    </w:p>
    <w:p>
      <w:pPr>
        <w:pStyle w:val="Heading2"/>
      </w:pPr>
      <w:r>
        <w:t>5. ⚠️ ANOMALIE E INCONGRUENZE</w:t>
      </w:r>
    </w:p>
    <w:p>
      <w:r>
        <w:t>Dall'analisi semantica emergono i seguenti punti di attenzione:</w:t>
      </w:r>
    </w:p>
    <w:p>
      <w:pPr>
        <w:pStyle w:val="ListNumber"/>
      </w:pPr>
      <w:r>
        <w:rPr>
          <w:b/>
        </w:rPr>
        <w:t>Inversione Totale (Attività 050 vs 060)</w:t>
      </w:r>
      <w:r>
        <w:t>:</w:t>
      </w:r>
    </w:p>
    <w:p>
      <w:pPr>
        <w:pStyle w:val="ListBullet"/>
      </w:pPr>
      <w:r>
        <w:rPr>
          <w:b/>
        </w:rPr>
        <w:t>Anomalia</w:t>
      </w:r>
      <w:r>
        <w:t>: I contenuti delle due attività sono stati letteralmente invertiti (Titolo, Descrizione, Esecutore, Sistema).</w:t>
      </w:r>
    </w:p>
    <w:p>
      <w:pPr>
        <w:pStyle w:val="ListBullet"/>
      </w:pPr>
      <w:r>
        <w:rPr>
          <w:b/>
        </w:rPr>
        <w:t>Sospetto</w:t>
      </w:r>
      <w:r>
        <w:t>: Potrebbe trattarsi di una correzione di un errore materiale presente nella versione As-Is, dove forse i codici attività non seguivano l'ordine logico corretto.</w:t>
      </w:r>
    </w:p>
    <w:p>
      <w:pPr>
        <w:pStyle w:val="ListBullet"/>
      </w:pPr>
      <w:r>
        <w:rPr>
          <w:b/>
        </w:rPr>
        <w:t>Raccomandazione</w:t>
      </w:r>
      <w:r>
        <w:t>: Verificare con il process owner se l'ordine sequenziale corretto nel To-Be debba effettivamente vedere la verifica sconti (050) prima della chiusura (060).</w:t>
      </w:r>
    </w:p>
    <w:p>
      <w:pPr>
        <w:pStyle w:val="ListNumber"/>
      </w:pPr>
      <w:r>
        <w:rPr>
          <w:b/>
        </w:rPr>
        <w:t>Esecutore "FOR AUTO"</w:t>
      </w:r>
      <w:r>
        <w:t>:</w:t>
      </w:r>
    </w:p>
    <w:p>
      <w:pPr>
        <w:pStyle w:val="ListBullet"/>
      </w:pPr>
      <w:r>
        <w:rPr>
          <w:b/>
        </w:rPr>
        <w:t>Anomalia</w:t>
      </w:r>
      <w:r>
        <w:t>: L'acronimo "FOR" non è standard (potrebbe indicare "Formazione", "Forensic" o un'unità specifica).</w:t>
      </w:r>
    </w:p>
    <w:p>
      <w:pPr>
        <w:pStyle w:val="ListBullet"/>
      </w:pPr>
      <w:r>
        <w:rPr>
          <w:b/>
        </w:rPr>
        <w:t>Raccomandazione</w:t>
      </w:r>
      <w:r>
        <w:t>: Accertarsi che "FOR AUTO / DANNI NON AUTO - Ufficio" corrisponda a un'unità censita nell'organigramma aziendale e non sia un placeholder.</w:t>
      </w:r>
    </w:p>
    <w:p>
      <w:pPr>
        <w:pStyle w:val="ListNumber"/>
      </w:pPr>
      <w:r>
        <w:rPr>
          <w:b/>
        </w:rPr>
        <w:t>Descrizione Attività 050</w:t>
      </w:r>
      <w:r>
        <w:t>:</w:t>
      </w:r>
    </w:p>
    <w:p>
      <w:pPr>
        <w:pStyle w:val="ListBullet"/>
      </w:pPr>
      <w:r>
        <w:rPr>
          <w:b/>
        </w:rPr>
        <w:t>Anomalia</w:t>
      </w:r>
      <w:r>
        <w:t>: La nuova descrizione termina con un trattino isolato ("-").</w:t>
      </w:r>
    </w:p>
    <w:p>
      <w:pPr>
        <w:pStyle w:val="ListBullet"/>
      </w:pPr>
      <w:r>
        <w:rPr>
          <w:b/>
        </w:rPr>
        <w:t>Sospetto</w:t>
      </w:r>
      <w:r>
        <w:t>: Possibile refuso o testo troncato durante l'inserimento.</w:t>
      </w:r>
    </w:p>
    <w:p>
      <w:pPr>
        <w:pStyle w:val="Heading2"/>
      </w:pPr>
      <w:r>
        <w:t>6. RECOMMENDATIONS</w:t>
      </w:r>
    </w:p>
    <w:p>
      <w:pPr>
        <w:pStyle w:val="ListBullet"/>
      </w:pPr>
      <w:r>
        <w:rPr>
          <w:b/>
        </w:rPr>
        <w:t>Monitoraggio SLA</w:t>
      </w:r>
      <w:r>
        <w:t>: Poiché la chiusura della richiesta (dove si misurano le SLA) è passata dal codice 050 al 060, è fondamentale aggiornare i sistemi di monitoraggio per evitare errori nella reportistica delle performance.</w:t>
      </w:r>
    </w:p>
    <w:p>
      <w:pPr>
        <w:pStyle w:val="ListBullet"/>
      </w:pPr>
      <w:r>
        <w:rPr>
          <w:b/>
        </w:rPr>
        <w:t>Formazione</w:t>
      </w:r>
      <w:r>
        <w:t>: Aggiornare gli addetti dell'ufficio "FOR AUTO" sulle nuove modalità di consultazione del CRM Dynamics e sui nuovi parametri di valutazione tecnica introdotti nell'attività 030.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