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+4</w:t>
            </w:r>
          </w:p>
        </w:tc>
        <w:tc>
          <w:tcPr>
            <w:tcW w:type="dxa" w:w="2880"/>
          </w:tcPr>
          <w:p>
            <w:r>
              <w:t>2 -&gt; 6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100.0% -&gt; 100.0%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0.53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Alto</w:t>
            </w:r>
          </w:p>
        </w:tc>
      </w:tr>
    </w:tbl>
    <w:p/>
    <w:p>
      <w:r>
        <w:t>Ecco il report di analisi del processo basato sulle modifiche rilevate.</w:t>
      </w:r>
    </w:p>
    <w:p>
      <w:pPr>
        <w:pStyle w:val="Heading2"/>
      </w:pPr>
      <w:r>
        <w:t>1. EXECUTIVE SUMMARY</w:t>
      </w:r>
    </w:p>
    <w:p>
      <w:r>
        <w:t>L'aggiornamento del processo "Auto Ricarica monte sconti" rappresenta un'evoluzione incrementale volta a migliorare la trasparenza e la tracciabilità post-operativa. L'introduzione di due nuove attività interamente automatizzate non altera la logica di business centrale, ma formalizza la chiusura del processo attraverso notifiche alle agenzie e reportistica direzionale. Il rischio operativo complessivo è ridotto grazie alla maggiore visibilità sulle operazioni effettuate.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</w:t>
            </w:r>
          </w:p>
        </w:tc>
        <w:tc>
          <w:tcPr>
            <w:tcW w:type="dxa" w:w="2880"/>
          </w:tcPr>
          <w:p>
            <w:r/>
            <w:r>
              <w:t>Incremento significativo dei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100.0%</w:t>
            </w:r>
          </w:p>
        </w:tc>
        <w:tc>
          <w:tcPr>
            <w:tcW w:type="dxa" w:w="2880"/>
          </w:tcPr>
          <w:p>
            <w:r/>
            <w:r>
              <w:t>Stabile (Processo full-digital)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0.525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</w:tr>
    </w:tbl>
    <w:p>
      <w:pPr>
        <w:pStyle w:val="Heading3"/>
      </w:pPr>
      <w:r>
        <w:t>2.1 REVISIONE SEMANTICA DELLE METRICHE</w:t>
      </w:r>
    </w:p>
    <w:p>
      <w:r>
        <w:t xml:space="preserve">Il </w:t>
      </w:r>
      <w:r>
        <w:rPr>
          <w:b/>
        </w:rPr>
        <w:t>Process Change Score (PCS)</w:t>
      </w:r>
      <w:r>
        <w:t xml:space="preserve"> è classificato come </w:t>
      </w:r>
      <w:r>
        <w:rPr>
          <w:b/>
        </w:rPr>
        <w:t>Alto</w:t>
      </w:r>
      <w:r>
        <w:t>, principalmente a causa dell'elevato *Handover Delta* (+4) in relazione al numero totale di attività. Tuttavia, l'analisi qualitativa suggerisce una valutazione più cauta:</w:t>
      </w:r>
    </w:p>
    <w:p>
      <w:pPr>
        <w:pStyle w:val="ListBullet"/>
      </w:pPr>
      <w:r>
        <w:t xml:space="preserve">  </w:t>
      </w:r>
      <w:r>
        <w:rPr>
          <w:b/>
        </w:rPr>
        <w:t>Fattori attenuanti:</w:t>
      </w:r>
      <w:r>
        <w:t xml:space="preserve"> Le nuove attività (055 e 075) sono puramente informative e di reporting. Non introducono nuovi nodi decisionali umani né modificano il calcolo del monte sconti. L'incremento dei "passaggi" (handover) è un artefatto tecnico dovuto all'interazione automatizzata tra sistemi (ISAAC/FLEXCOMM) e destinatari finali.</w:t>
      </w:r>
    </w:p>
    <w:p>
      <w:pPr>
        <w:pStyle w:val="ListBullet"/>
      </w:pPr>
      <w:r>
        <w:t xml:space="preserve">  </w:t>
      </w:r>
      <w:r>
        <w:rPr>
          <w:b/>
        </w:rPr>
        <w:t>Valutazione corretta:</w:t>
      </w:r>
      <w:r>
        <w:t xml:space="preserve"> Sebbene il sistema segnali un impatto "Alto", l'impatto reale sulla continuità operativa e sul rischio di conformità è </w:t>
      </w:r>
      <w:r>
        <w:rPr>
          <w:b/>
        </w:rPr>
        <w:t>Basso/Moderato</w:t>
      </w:r>
      <w:r>
        <w:t>. La necessità di un audit approfondito potrebbe essere limitata alla sola verifica della corretta configurazione dei trigger di invio e-mail.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3.1 Structural Changes (Activities Added/Removed)</w:t>
      </w:r>
    </w:p>
    <w:p>
      <w:r>
        <w:t>Sono state inserite due nuove attività nella fase finale del processo:</w:t>
      </w:r>
    </w:p>
    <w:p>
      <w:pPr>
        <w:pStyle w:val="ListBullet"/>
      </w:pPr>
      <w:r>
        <w:t xml:space="preserve">  </w:t>
      </w:r>
      <w:r>
        <w:rPr>
          <w:b/>
        </w:rPr>
        <w:t>Attività 055 (Notifica automatica esito richiesta):</w:t>
      </w:r>
      <w:r>
        <w:t xml:space="preserve"> Introduce un feedback immediato verso la rete agenziale. Questo riduce il carico di richieste di informazioni manuali verso la direzione.</w:t>
      </w:r>
    </w:p>
    <w:p>
      <w:pPr>
        <w:pStyle w:val="ListBullet"/>
      </w:pPr>
      <w:r>
        <w:t xml:space="preserve">  </w:t>
      </w:r>
      <w:r>
        <w:rPr>
          <w:b/>
        </w:rPr>
        <w:t>Attività 075 (Generazione report mensile montesconti):</w:t>
      </w:r>
      <w:r>
        <w:t xml:space="preserve"> Introduce un controllo di secondo livello differito, permettendo il monitoraggio dei volumi e delle tipologie di ricarica.</w:t>
      </w:r>
    </w:p>
    <w:p>
      <w:pPr>
        <w:pStyle w:val="Heading3"/>
      </w:pPr>
      <w:r>
        <w:t>3.2 Organizational Changes</w:t>
      </w:r>
    </w:p>
    <w:p>
      <w:pPr>
        <w:pStyle w:val="ListBullet"/>
      </w:pPr>
      <w:r>
        <w:t xml:space="preserve">  </w:t>
      </w:r>
      <w:r>
        <w:rPr>
          <w:b/>
        </w:rPr>
        <w:t>Nuovo Esecutore:</w:t>
      </w:r>
      <w:r>
        <w:t xml:space="preserve"> Viene formalizzato l'esecutore </w:t>
      </w:r>
      <w:r>
        <w:rPr>
          <w:b/>
        </w:rPr>
        <w:t>"AUTOMATICO"</w:t>
      </w:r>
      <w:r>
        <w:t>. Sebbene il processo fosse già digitalizzato, la specifica di questo esecutore per le nuove attività conferma la volontà di eliminare interventi manuali nella fase di notifica e reporting.</w:t>
      </w:r>
    </w:p>
    <w:p>
      <w:pPr>
        <w:pStyle w:val="Heading3"/>
      </w:pPr>
      <w:r>
        <w:t>3.3 Technological Changes</w:t>
      </w:r>
    </w:p>
    <w:p>
      <w:pPr>
        <w:pStyle w:val="ListBullet"/>
      </w:pPr>
      <w:r>
        <w:t xml:space="preserve">  </w:t>
      </w:r>
      <w:r>
        <w:rPr>
          <w:b/>
        </w:rPr>
        <w:t>Integrazione Sistemi:</w:t>
      </w:r>
      <w:r>
        <w:t xml:space="preserve"> Viene confermato l'uso di </w:t>
      </w:r>
      <w:r>
        <w:rPr>
          <w:b/>
        </w:rPr>
        <w:t>ISAAC</w:t>
      </w:r>
      <w:r>
        <w:t xml:space="preserve"> come sistema core e viene esplicitato l'utilizzo di </w:t>
      </w:r>
      <w:r>
        <w:rPr>
          <w:b/>
        </w:rPr>
        <w:t>FLEXCOMM</w:t>
      </w:r>
      <w:r>
        <w:t xml:space="preserve"> per la componente di archiviazione documentale e gestione reportistica (Attività 075). Il passaggio è coerente con un'architettura enterprise integrata.</w:t>
      </w:r>
    </w:p>
    <w:p>
      <w:pPr>
        <w:pStyle w:val="Heading3"/>
      </w:pPr>
      <w:r>
        <w:t>3.4 Content Changes (Descriptions/Titles)</w:t>
      </w:r>
    </w:p>
    <w:p>
      <w:r>
        <w:t>Le descrizioni fornite per le nuove attività sono dettagliate e definiscono chiaramente l'output (e-mail all'agenzia, report mensile, archiviazione documentale), non lasciando spazio ad ambiguità interpretative.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t xml:space="preserve">  </w:t>
      </w:r>
      <w:r>
        <w:rPr>
          <w:b/>
        </w:rPr>
        <w:t>Tracciabilità:</w:t>
      </w:r>
      <w:r>
        <w:t xml:space="preserve"> L'introduzione del report mensile (Attività 075) è un punto di controllo positivo ai fini della conformità interna e del monitoraggio dei rischi di frode o errori operativi.</w:t>
      </w:r>
    </w:p>
    <w:p>
      <w:pPr>
        <w:pStyle w:val="ListBullet"/>
      </w:pPr>
      <w:r>
        <w:t xml:space="preserve">  </w:t>
      </w:r>
      <w:r>
        <w:rPr>
          <w:b/>
        </w:rPr>
        <w:t>Data Protection:</w:t>
      </w:r>
      <w:r>
        <w:t xml:space="preserve"> Poiché il sistema invia notifiche via e-mail contenenti esiti di ricarica e importi, è necessario assicurarsi che i template delle e-mail non contengano dati eccedenti rispetto alle finalità del processo (GDPR compliance).</w:t>
      </w:r>
    </w:p>
    <w:p>
      <w:pPr>
        <w:pStyle w:val="Heading2"/>
      </w:pPr>
      <w:r>
        <w:t>5. ⚠️ ANOMALIE E INCONGRUENZE</w:t>
      </w:r>
    </w:p>
    <w:p>
      <w:r>
        <w:t>Dall'analisi semantica non emergono criticità gravi, tuttavia si segnala quanto segue:</w:t>
      </w:r>
    </w:p>
    <w:p>
      <w:pPr>
        <w:pStyle w:val="ListBullet"/>
      </w:pPr>
      <w:r>
        <w:t xml:space="preserve">  </w:t>
      </w:r>
      <w:r>
        <w:rPr>
          <w:b/>
        </w:rPr>
        <w:t>Esecutore "AUTOMATICO":</w:t>
      </w:r>
      <w:r>
        <w:t xml:space="preserve"> Sebbene accettabile, in alcuni framework di documentazione si preferisce indicare il nome del sistema specifico (es. "Sistema ISAAC") come esecutore anziché un generico "AUTOMATICO".</w:t>
      </w:r>
    </w:p>
    <w:p>
      <w:pPr>
        <w:pStyle w:val="ListBullet"/>
      </w:pPr>
      <w:r>
        <w:t xml:space="preserve">  </w:t>
      </w:r>
      <w:r>
        <w:rPr>
          <w:b/>
        </w:rPr>
        <w:t>Handover Delta:</w:t>
      </w:r>
      <w:r>
        <w:t xml:space="preserve"> Un incremento di +4 handovers per sole 2 attività aggiunte suggerisce che il sistema di calcolo stia conteggiando ogni interazione tra ISAAC, FLEXCOMM e i destinatari delle mail come un passaggio di responsabilità. Si consiglia di verificare se la mappatura dei flussi dati tra questi sistemi sia stata definita correttamente nel diagramma di processo.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 xml:space="preserve">  </w:t>
      </w:r>
      <w:r>
        <w:rPr>
          <w:b/>
        </w:rPr>
        <w:t>Verifica Destinatari:</w:t>
      </w:r>
      <w:r>
        <w:t xml:space="preserve"> Accertarsi che le liste di distribuzione per il report mensile (Attività 075) siano aggiornate periodicamente per evitare l'invio di dati sensibili a soggetti non più autorizzati.</w:t>
      </w:r>
    </w:p>
    <w:p>
      <w:pPr>
        <w:pStyle w:val="ListBullet"/>
      </w:pPr>
      <w:r>
        <w:t xml:space="preserve">  </w:t>
      </w:r>
      <w:r>
        <w:rPr>
          <w:b/>
        </w:rPr>
        <w:t>Test di Integrazione:</w:t>
      </w:r>
      <w:r>
        <w:t xml:space="preserve"> Verificare la corretta sincronizzazione tra ISAAC e FLEXCOMM per l'archiviazione del report mensile, onde evitare disallineamenti nella base documentale.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