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Report di Analisi Comparativa</w:t>
      </w:r>
    </w:p>
    <w:p>
      <w:pPr>
        <w:jc w:val="center"/>
      </w:pPr>
      <w:r>
        <w:rPr>
          <w:i/>
          <w:sz w:val="24"/>
        </w:rPr>
        <w:t>2.2.2.17 RE Infortuni Malattie individuali - Assunzione prodotti -&gt; 2.2.2.17 RE Infortuni Malattie individuali - Assunzione prodotti (REV. 2025)</w:t>
      </w:r>
    </w:p>
    <w:p>
      <w:pPr>
        <w:jc w:val="center"/>
      </w:pPr>
      <w:r>
        <w:rPr>
          <w:color w:val="666666"/>
          <w:sz w:val="20"/>
        </w:rPr>
        <w:t>Data: 30/01/2026</w:t>
      </w:r>
    </w:p>
    <w:p/>
    <w:p>
      <w:pPr>
        <w:pStyle w:val="Heading1"/>
      </w:pPr>
      <w:r>
        <w:t>Riepilogo Metriche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5A7C"/>
          </w:tcPr>
          <w:p>
            <w:r>
              <w:rPr>
                <w:b/>
                <w:color w:val="FFFFFF"/>
              </w:rPr>
              <w:t>Metrica</w:t>
            </w:r>
          </w:p>
        </w:tc>
        <w:tc>
          <w:tcPr>
            <w:tcW w:type="dxa" w:w="2880"/>
            <w:shd w:fill="2E5A7C"/>
          </w:tcPr>
          <w:p>
            <w:r>
              <w:rPr>
                <w:b/>
                <w:color w:val="FFFFFF"/>
              </w:rPr>
              <w:t>Valore</w:t>
            </w:r>
          </w:p>
        </w:tc>
        <w:tc>
          <w:tcPr>
            <w:tcW w:type="dxa" w:w="2880"/>
            <w:shd w:fill="2E5A7C"/>
          </w:tcPr>
          <w:p>
            <w:r>
              <w:rPr>
                <w:b/>
                <w:color w:val="FFFFFF"/>
              </w:rPr>
              <w:t>Valutazione</w:t>
            </w:r>
          </w:p>
        </w:tc>
      </w:tr>
      <w:tr>
        <w:tc>
          <w:tcPr>
            <w:tcW w:type="dxa" w:w="2880"/>
          </w:tcPr>
          <w:p>
            <w:r>
              <w:t>Volatility Index</w:t>
            </w:r>
          </w:p>
        </w:tc>
        <w:tc>
          <w:tcPr>
            <w:tcW w:type="dxa" w:w="2880"/>
          </w:tcPr>
          <w:p>
            <w:r>
              <w:t>0.0%</w:t>
            </w:r>
          </w:p>
        </w:tc>
        <w:tc>
          <w:tcPr>
            <w:tcW w:type="dxa" w:w="2880"/>
          </w:tcPr>
          <w:p>
            <w:r>
              <w:t>Bassa</w:t>
            </w:r>
          </w:p>
        </w:tc>
      </w:tr>
      <w:tr>
        <w:tc>
          <w:tcPr>
            <w:tcW w:type="dxa" w:w="2880"/>
          </w:tcPr>
          <w:p>
            <w:r>
              <w:t>Handover Delta</w:t>
            </w:r>
          </w:p>
        </w:tc>
        <w:tc>
          <w:tcPr>
            <w:tcW w:type="dxa" w:w="2880"/>
          </w:tcPr>
          <w:p>
            <w:r>
              <w:t>+0</w:t>
            </w:r>
          </w:p>
        </w:tc>
        <w:tc>
          <w:tcPr>
            <w:tcW w:type="dxa" w:w="2880"/>
          </w:tcPr>
          <w:p>
            <w:r>
              <w:t>38 -&gt; 38</w:t>
            </w:r>
          </w:p>
        </w:tc>
      </w:tr>
      <w:tr>
        <w:tc>
          <w:tcPr>
            <w:tcW w:type="dxa" w:w="2880"/>
          </w:tcPr>
          <w:p>
            <w:r>
              <w:t>Automation Rate</w:t>
            </w:r>
          </w:p>
        </w:tc>
        <w:tc>
          <w:tcPr>
            <w:tcW w:type="dxa" w:w="2880"/>
          </w:tcPr>
          <w:p>
            <w:r>
              <w:t>78.7% -&gt; 78.7%</w:t>
            </w:r>
          </w:p>
        </w:tc>
        <w:tc>
          <w:tcPr>
            <w:tcW w:type="dxa" w:w="2880"/>
          </w:tcPr>
          <w:p>
            <w:r/>
          </w:p>
        </w:tc>
      </w:tr>
      <w:tr>
        <w:tc>
          <w:tcPr>
            <w:tcW w:type="dxa" w:w="2880"/>
            <w:shd w:fill="FFF3CD"/>
          </w:tcPr>
          <w:p>
            <w:r>
              <w:rPr>
                <w:b/>
              </w:rPr>
              <w:t>Process Change Score</w:t>
            </w:r>
          </w:p>
        </w:tc>
        <w:tc>
          <w:tcPr>
            <w:tcW w:type="dxa" w:w="2880"/>
            <w:shd w:fill="FFF3CD"/>
          </w:tcPr>
          <w:p>
            <w:r>
              <w:rPr>
                <w:b/>
              </w:rPr>
              <w:t>0.00</w:t>
            </w:r>
          </w:p>
        </w:tc>
        <w:tc>
          <w:tcPr>
            <w:tcW w:type="dxa" w:w="2880"/>
            <w:shd w:fill="FFF3CD"/>
          </w:tcPr>
          <w:p>
            <w:r>
              <w:rPr>
                <w:b/>
              </w:rPr>
              <w:t>Basso</w:t>
            </w:r>
          </w:p>
        </w:tc>
      </w:tr>
    </w:tbl>
    <w:p/>
    <w:p>
      <w:r>
        <w:t>Ecco il report di analisi comparativa per il processo in oggetto.</w:t>
      </w:r>
    </w:p>
    <w:p>
      <w:pPr>
        <w:pStyle w:val="Heading2"/>
      </w:pPr>
      <w:r>
        <w:t>1. EXECUTIVE SUMMARY</w:t>
      </w:r>
    </w:p>
    <w:p>
      <w:r>
        <w:t>L'aggiornamento del processo "RE Infortuni Malattie individuali - Assunzione prodotti" alla versione "REV. 2025" si configura come una modifica puramente formale e amministrativa. Non sono state rilevate variazioni strutturali, operative o tecnologiche nelle attività documentate. Il cambiamento è limitato esclusivamente alla denominazione del processo, probabilmente per finalità di versionamento periodico, senza alcun impatto sui rischi o sull'efficienza operativa.</w:t>
      </w:r>
    </w:p>
    <w:p>
      <w:pPr>
        <w:pStyle w:val="Heading2"/>
      </w:pPr>
      <w:r>
        <w:t>2. QUANTITATIVE OVERVIEW</w:t>
      </w:r>
    </w:p>
    <w:tbl>
      <w:tblPr>
        <w:tblStyle w:val="TableGrid"/>
        <w:tblW w:type="auto" w:w="0"/>
        <w:tblLook w:firstColumn="1" w:firstRow="1" w:lastColumn="0" w:lastRow="0" w:noHBand="0" w:noVBand="1" w:val="04A0"/>
      </w:tblPr>
      <w:tblGrid>
        <w:gridCol w:w="2880"/>
        <w:gridCol w:w="2880"/>
        <w:gridCol w:w="2880"/>
      </w:tblGrid>
      <w:tr>
        <w:tc>
          <w:tcPr>
            <w:tcW w:type="dxa" w:w="2880"/>
            <w:shd w:fill="E0E0E0"/>
          </w:tcPr>
          <w:p>
            <w:r>
              <w:rPr>
                <w:b/>
              </w:rPr>
            </w:r>
            <w:r>
              <w:rPr>
                <w:b/>
              </w:rPr>
              <w:t>Metrica</w:t>
            </w:r>
          </w:p>
        </w:tc>
        <w:tc>
          <w:tcPr>
            <w:tcW w:type="dxa" w:w="2880"/>
            <w:shd w:fill="E0E0E0"/>
          </w:tcPr>
          <w:p>
            <w:r>
              <w:rPr>
                <w:b/>
              </w:rPr>
            </w:r>
            <w:r>
              <w:rPr>
                <w:b/>
              </w:rPr>
              <w:t>Valore</w:t>
            </w:r>
          </w:p>
        </w:tc>
        <w:tc>
          <w:tcPr>
            <w:tcW w:type="dxa" w:w="2880"/>
            <w:shd w:fill="E0E0E0"/>
          </w:tcPr>
          <w:p>
            <w:r>
              <w:rPr>
                <w:b/>
              </w:rPr>
            </w:r>
            <w:r>
              <w:rPr>
                <w:b/>
              </w:rPr>
              <w:t>Valutazione</w:t>
            </w:r>
          </w:p>
        </w:tc>
      </w:tr>
      <w:tr>
        <w:tc>
          <w:tcPr>
            <w:tcW w:type="dxa" w:w="2880"/>
          </w:tcPr>
          <w:p>
            <w:r/>
            <w:r>
              <w:t>Volatility Index</w:t>
            </w:r>
          </w:p>
        </w:tc>
        <w:tc>
          <w:tcPr>
            <w:tcW w:type="dxa" w:w="2880"/>
          </w:tcPr>
          <w:p>
            <w:r/>
            <w:r>
              <w:t>0.0%</w:t>
            </w:r>
          </w:p>
        </w:tc>
        <w:tc>
          <w:tcPr>
            <w:tcW w:type="dxa" w:w="2880"/>
          </w:tcPr>
          <w:p>
            <w:r/>
            <w:r>
              <w:t>Bassa</w:t>
            </w:r>
          </w:p>
        </w:tc>
      </w:tr>
      <w:tr>
        <w:tc>
          <w:tcPr>
            <w:tcW w:type="dxa" w:w="2880"/>
          </w:tcPr>
          <w:p>
            <w:r/>
            <w:r>
              <w:t>Handover Delta</w:t>
            </w:r>
          </w:p>
        </w:tc>
        <w:tc>
          <w:tcPr>
            <w:tcW w:type="dxa" w:w="2880"/>
          </w:tcPr>
          <w:p>
            <w:r/>
            <w:r>
              <w:t>0</w:t>
            </w:r>
          </w:p>
        </w:tc>
        <w:tc>
          <w:tcPr>
            <w:tcW w:type="dxa" w:w="2880"/>
          </w:tcPr>
          <w:p>
            <w:r/>
            <w:r>
              <w:t>Nessun impatto</w:t>
            </w:r>
          </w:p>
        </w:tc>
      </w:tr>
      <w:tr>
        <w:tc>
          <w:tcPr>
            <w:tcW w:type="dxa" w:w="2880"/>
          </w:tcPr>
          <w:p>
            <w:r/>
            <w:r>
              <w:t>Automation Rate</w:t>
            </w:r>
          </w:p>
        </w:tc>
        <w:tc>
          <w:tcPr>
            <w:tcW w:type="dxa" w:w="2880"/>
          </w:tcPr>
          <w:p>
            <w:r/>
            <w:r>
              <w:t>78.7% → 78.7%</w:t>
            </w:r>
          </w:p>
        </w:tc>
        <w:tc>
          <w:tcPr>
            <w:tcW w:type="dxa" w:w="2880"/>
          </w:tcPr>
          <w:p>
            <w:r/>
            <w:r>
              <w:t>Invariato</w:t>
            </w:r>
          </w:p>
        </w:tc>
      </w:tr>
      <w:tr>
        <w:tc>
          <w:tcPr>
            <w:tcW w:type="dxa" w:w="2880"/>
          </w:tcPr>
          <w:p>
            <w:r/>
            <w:r>
              <w:rPr>
                <w:b/>
              </w:rPr>
              <w:t>Process Change Score</w:t>
            </w:r>
          </w:p>
        </w:tc>
        <w:tc>
          <w:tcPr>
            <w:tcW w:type="dxa" w:w="2880"/>
          </w:tcPr>
          <w:p>
            <w:r/>
            <w:r>
              <w:t>0.00</w:t>
            </w:r>
          </w:p>
        </w:tc>
        <w:tc>
          <w:tcPr>
            <w:tcW w:type="dxa" w:w="2880"/>
          </w:tcPr>
          <w:p>
            <w:r/>
            <w:r>
              <w:t>Basso</w:t>
            </w:r>
          </w:p>
        </w:tc>
      </w:tr>
    </w:tbl>
    <w:p>
      <w:pPr>
        <w:pStyle w:val="Heading2"/>
      </w:pPr>
      <w:r>
        <w:t>2.1 REVISIONE SEMANTICA DELLE METRICHE</w:t>
      </w:r>
    </w:p>
    <w:p>
      <w:r>
        <w:t xml:space="preserve">Valutazione confermata: il livello </w:t>
      </w:r>
      <w:r>
        <w:rPr>
          <w:b/>
        </w:rPr>
        <w:t>Basso</w:t>
      </w:r>
      <w:r>
        <w:t xml:space="preserve"> è coerente con l'analisi qualitativa.</w:t>
      </w:r>
    </w:p>
    <w:p>
      <w:r>
        <w:t>L'assenza totale di modifiche alle attività, agli esecutori e ai sistemi informatici conferma che il punteggio PCS riflette fedelmente la natura nulla dell'impatto reale. Non si ravvisano fattori aggravanti né attenuanti, in quanto il workflow rimane identico alla versione precedente. Non è richiesto alcun intervento di audit o revisione dei controlli.</w:t>
      </w:r>
    </w:p>
    <w:p>
      <w:pPr>
        <w:pStyle w:val="Heading2"/>
      </w:pPr>
      <w:r>
        <w:t>3. DETAILED CHANGE ANALYSIS</w:t>
      </w:r>
    </w:p>
    <w:p>
      <w:pPr>
        <w:pStyle w:val="Heading3"/>
      </w:pPr>
      <w:r>
        <w:t>3.4 Content Changes (Descriptions/Titles)</w:t>
      </w:r>
    </w:p>
    <w:p>
      <w:r>
        <w:t>L'unica variazione rilevata riguarda il metadato del nome del processo:</w:t>
      </w:r>
    </w:p>
    <w:p>
      <w:pPr>
        <w:pStyle w:val="ListBullet"/>
      </w:pPr>
      <w:r>
        <w:t xml:space="preserve">  </w:t>
      </w:r>
      <w:r>
        <w:rPr>
          <w:b/>
        </w:rPr>
        <w:t>As-Is:</w:t>
      </w:r>
      <w:r>
        <w:t xml:space="preserve"> 2.2.2.17 RE Infortuni Malattie individuali - Assunzione prodotti</w:t>
      </w:r>
    </w:p>
    <w:p>
      <w:pPr>
        <w:pStyle w:val="ListBullet"/>
      </w:pPr>
      <w:r>
        <w:t xml:space="preserve">  </w:t>
      </w:r>
      <w:r>
        <w:rPr>
          <w:b/>
        </w:rPr>
        <w:t>To-Be:</w:t>
      </w:r>
      <w:r>
        <w:t xml:space="preserve"> 2.2.2.17 RE Infortuni Malattie individuali - Assunzione prodotti (REV. 2025)</w:t>
      </w:r>
    </w:p>
    <w:p>
      <w:r>
        <w:t>Questa modifica è di natura puramente editoriale e serve a identificare la validità del framework procedurale per l'anno 2025.</w:t>
      </w:r>
    </w:p>
    <w:p>
      <w:pPr>
        <w:pStyle w:val="Heading2"/>
      </w:pPr>
      <w:r>
        <w:t>4. RISK AND COMPLIANCE NOTES</w:t>
      </w:r>
    </w:p>
    <w:p>
      <w:r>
        <w:t>Non si segnalano impatti sulla compliance normativa (GDPR, D.Lgs 231, AML) né variazioni nel sistema dei controlli interni. Il profilo di rischio del processo rimane invariato.</w:t>
      </w:r>
    </w:p>
    <w:p>
      <w:pPr>
        <w:pStyle w:val="Heading2"/>
      </w:pPr>
      <w:r>
        <w:t>5. ⚠️ ANOMALIE E INCONGRUENZE</w:t>
      </w:r>
    </w:p>
    <w:p>
      <w:r>
        <w:t>Dall'analisi semantica dei dati non emergono anomalie. La coerenza tra il nome del processo e l'assenza di modifiche strutturali suggerisce una corretta gestione del versionamento documentale (roll-over annuale senza modifiche sostanziali).</w:t>
      </w:r>
    </w:p>
    <w:p>
      <w:r>
        <w:t>*Nota: Le sezioni relative a modifiche strutturali, organizzative e tecnologiche sono state omesse in quanto non sono state rilevate variazioni nei dati di input.*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