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2.3.3.23 RE Gestione Reticenze Malattia -&gt; 2.3.3.23 RE Gestione Reticenze Malattia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6 -&gt; 7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77.8% -&gt; 77.8%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0.07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r>
        <w:t>Ecco il report di analisi del processo basato sulla documentazione fornita.</w:t>
      </w:r>
    </w:p>
    <w:p>
      <w:pPr>
        <w:pStyle w:val="Heading2"/>
      </w:pPr>
      <w:r>
        <w:t>1. EXECUTIVE SUMMARY</w:t>
      </w:r>
    </w:p>
    <w:p>
      <w:r>
        <w:t xml:space="preserve">La revisione del processo "Gestione Reticenze Malattia" non presenta modifiche strutturali (attività aggiunte o rimosse), ma si configura come una </w:t>
      </w:r>
      <w:r>
        <w:rPr>
          <w:b/>
        </w:rPr>
        <w:t>riorganizzazione delle responsabilità operative</w:t>
      </w:r>
      <w:r>
        <w:t xml:space="preserve">. Il driver principale appare essere la </w:t>
      </w:r>
      <w:r>
        <w:rPr>
          <w:b/>
        </w:rPr>
        <w:t>specializzazione delle competenze</w:t>
      </w:r>
      <w:r>
        <w:t>: le attività precedentemente accentrate in capo alla "Consulenza Retail" sono state distribuite verso unità tecniche specialistiche (Antifrode, Medico, Back Office). Tale cambiamento riduce il rischio operativo grazie a una migliore segregazione delle funzioni, pur aumentando leggermente la frammentazione del processo.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</w:t>
            </w:r>
          </w:p>
        </w:tc>
        <w:tc>
          <w:tcPr>
            <w:tcW w:type="dxa" w:w="2880"/>
          </w:tcPr>
          <w:p>
            <w:r/>
            <w:r>
              <w:t>Incremento della frammentazione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77.8% → 77.8%</w:t>
            </w:r>
          </w:p>
        </w:tc>
        <w:tc>
          <w:tcPr>
            <w:tcW w:type="dxa" w:w="2880"/>
          </w:tcPr>
          <w:p>
            <w:r/>
            <w:r>
              <w:t>Invariato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  <w:tc>
          <w:tcPr>
            <w:tcW w:type="dxa" w:w="2880"/>
          </w:tcPr>
          <w:p>
            <w:r/>
            <w:r>
              <w:t>Basso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t xml:space="preserve">Il PCS (Process Change Score) calcolato è </w:t>
      </w:r>
      <w:r>
        <w:rPr>
          <w:b/>
        </w:rPr>
        <w:t>Basso (0.07)</w:t>
      </w:r>
      <w:r>
        <w:t xml:space="preserve"> poiché la struttura del processo (numero e sequenza delle attività) rimane identica. Tuttavia, l'analisi qualitativa suggerisce un impatto organizzativo più profondo:</w:t>
      </w:r>
    </w:p>
    <w:p>
      <w:pPr>
        <w:pStyle w:val="ListBullet"/>
      </w:pPr>
      <w:r>
        <w:t xml:space="preserve">  </w:t>
      </w:r>
      <w:r>
        <w:rPr>
          <w:b/>
        </w:rPr>
        <w:t>Fattori di attenzione:</w:t>
      </w:r>
      <w:r>
        <w:t xml:space="preserve"> Il passaggio da un'unica unità (Consulenza Retail) a tre diverse unità specialistiche comporta una ridefinizione dei flussi di comunicazione interni.</w:t>
      </w:r>
    </w:p>
    <w:p>
      <w:pPr>
        <w:pStyle w:val="ListBullet"/>
      </w:pPr>
      <w:r>
        <w:t xml:space="preserve">  </w:t>
      </w:r>
      <w:r>
        <w:rPr>
          <w:b/>
        </w:rPr>
        <w:t>Valutazione:</w:t>
      </w:r>
      <w:r>
        <w:t xml:space="preserve"> Sebbene il PCS sia basso, la modifica è </w:t>
      </w:r>
      <w:r>
        <w:rPr>
          <w:b/>
        </w:rPr>
        <w:t>positiva sotto il profilo del controllo interno</w:t>
      </w:r>
      <w:r>
        <w:t>. L'attribuzione di attività critiche a un "Team Antifrode" e a un "Nucleo Valutazione Medica" eleva la qualità del presidio tecnico su un processo sensibile come quello delle reticenze in ambito sanitario.</w:t>
      </w:r>
    </w:p>
    <w:p>
      <w:r>
        <w:rPr>
          <w:b/>
        </w:rPr>
        <w:t>Conclusione:</w:t>
      </w:r>
      <w:r>
        <w:t xml:space="preserve"> Valutazione confermata come "Bassa" per quanto riguarda il rischio di esecuzione, ma si segnala un miglioramento qualitativo del modello di controllo.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3.2 Organizational Changes</w:t>
      </w:r>
    </w:p>
    <w:p>
      <w:r>
        <w:t>Il cambiamento è interamente focalizzato sulla ridistribuzione delle responsabilità (ESECUTORE). Si osserva il superamento del ruolo della "CONSULENZA RETAIL" a favore di uffici specialistici:</w:t>
      </w:r>
    </w:p>
    <w:p>
      <w:pPr>
        <w:pStyle w:val="ListBullet"/>
      </w:pPr>
      <w:r>
        <w:t xml:space="preserve">  </w:t>
      </w:r>
      <w:r>
        <w:rPr>
          <w:b/>
        </w:rPr>
        <w:t>Attività 030:</w:t>
      </w:r>
      <w:r>
        <w:t xml:space="preserve"> Passa a </w:t>
      </w:r>
      <w:r>
        <w:rPr>
          <w:b/>
        </w:rPr>
        <w:t>TEAM ANTIFRODE SANITARIA - Ufficio</w:t>
      </w:r>
      <w:r>
        <w:t>. Questo indica un rafforzamento dei controlli preventivi su potenziali comportamenti fraudolenti.</w:t>
      </w:r>
    </w:p>
    <w:p>
      <w:pPr>
        <w:pStyle w:val="ListBullet"/>
      </w:pPr>
      <w:r>
        <w:t xml:space="preserve">  </w:t>
      </w:r>
      <w:r>
        <w:rPr>
          <w:b/>
        </w:rPr>
        <w:t>Attività 050:</w:t>
      </w:r>
      <w:r>
        <w:t xml:space="preserve"> Passa a </w:t>
      </w:r>
      <w:r>
        <w:rPr>
          <w:b/>
        </w:rPr>
        <w:t>NUCLEO VALUTAZIONE MEDICA - Ufficio</w:t>
      </w:r>
      <w:r>
        <w:t>. Garantisce che la valutazione tecnica delle reticenze sia effettuata da personale con competenze mediche specifiche.</w:t>
      </w:r>
    </w:p>
    <w:p>
      <w:pPr>
        <w:pStyle w:val="ListBullet"/>
      </w:pPr>
      <w:r>
        <w:t xml:space="preserve">  </w:t>
      </w:r>
      <w:r>
        <w:rPr>
          <w:b/>
        </w:rPr>
        <w:t>Attività 080:</w:t>
      </w:r>
      <w:r>
        <w:t xml:space="preserve"> Passa a </w:t>
      </w:r>
      <w:r>
        <w:rPr>
          <w:b/>
        </w:rPr>
        <w:t>BACK OFFICE CONTRATTI SALUTE - Ufficio</w:t>
      </w:r>
      <w:r>
        <w:t>. Segrega la fase amministrativa/contrattuale dalle fasi di valutazione tecnica.</w:t>
      </w:r>
    </w:p>
    <w:p>
      <w:r>
        <w:t>L'aumento dell'Handover Delta (+1) è la diretta conseguenza di questa specializzazione: il processo ora richiede il passaggio tra più unità organizzative per essere completato.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t xml:space="preserve">  </w:t>
      </w:r>
      <w:r>
        <w:rPr>
          <w:b/>
        </w:rPr>
        <w:t>Segregazione dei compiti (SoD):</w:t>
      </w:r>
      <w:r>
        <w:t xml:space="preserve"> Il cambiamento migliora nettamente la segregazione delle funzioni, separando la valutazione medica da quella antifrode e dalla gestione contrattuale.</w:t>
      </w:r>
    </w:p>
    <w:p>
      <w:pPr>
        <w:pStyle w:val="ListBullet"/>
      </w:pPr>
      <w:r>
        <w:t xml:space="preserve">  </w:t>
      </w:r>
      <w:r>
        <w:rPr>
          <w:b/>
        </w:rPr>
        <w:t>Compliance 231:</w:t>
      </w:r>
      <w:r>
        <w:t xml:space="preserve"> L'introduzione di un "Team Antifrode" specifico nel processo di gestione delle reticenze rafforza i presidi contro potenziali reati societari o truffe ai danni della compagnia.</w:t>
      </w:r>
    </w:p>
    <w:p>
      <w:pPr>
        <w:pStyle w:val="ListBullet"/>
      </w:pPr>
      <w:r>
        <w:t xml:space="preserve">  </w:t>
      </w:r>
      <w:r>
        <w:rPr>
          <w:b/>
        </w:rPr>
        <w:t>Audit:</w:t>
      </w:r>
      <w:r>
        <w:t xml:space="preserve"> Non si ravvisano criticità che richiedano un audit immediato, ma si consiglia di verificare che i nuovi esecutori abbiano accesso ai sistemi IT necessari per le attività loro riassegnate.</w:t>
      </w:r>
    </w:p>
    <w:p>
      <w:pPr>
        <w:pStyle w:val="Heading2"/>
      </w:pPr>
      <w:r>
        <w:t>5. ⚠️ ANOMALIE E INCONGRUENZE</w:t>
      </w:r>
    </w:p>
    <w:p>
      <w:r>
        <w:t>Dall'analisi semantica dei dati non emergono anomalie significative:</w:t>
      </w:r>
    </w:p>
    <w:p>
      <w:pPr>
        <w:pStyle w:val="ListBullet"/>
      </w:pPr>
      <w:r>
        <w:t xml:space="preserve">  </w:t>
      </w:r>
      <w:r>
        <w:rPr>
          <w:b/>
        </w:rPr>
        <w:t>Esecutori:</w:t>
      </w:r>
      <w:r>
        <w:t xml:space="preserve"> I nomi delle nuove unità organizzative ("NUCLEO VALUTAZIONE MEDICA", "TEAM ANTIFRODE SANITARIA", "BACK OFFICE CONTRATTI SALUTE") sono coerenti con il contesto assicurativo e seguono una nomenclatura professionale standard.</w:t>
      </w:r>
    </w:p>
    <w:p>
      <w:pPr>
        <w:pStyle w:val="ListBullet"/>
      </w:pPr>
      <w:r>
        <w:t xml:space="preserve">  </w:t>
      </w:r>
      <w:r>
        <w:rPr>
          <w:b/>
        </w:rPr>
        <w:t>Coerenza:</w:t>
      </w:r>
      <w:r>
        <w:t xml:space="preserve"> Il trasferimento delle attività è logico. È plausibile che un processo di "Gestione Reticenze Malattia" coinvolga medici e specialisti antifrode anziché una generica consulenza retail.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 xml:space="preserve">  </w:t>
      </w:r>
      <w:r>
        <w:rPr>
          <w:b/>
        </w:rPr>
        <w:t>Matrice delle Responsabilità:</w:t>
      </w:r>
      <w:r>
        <w:t xml:space="preserve"> Aggiornare la matrice RACI aziendale per riflettere i nuovi esecutori.</w:t>
      </w:r>
    </w:p>
    <w:p>
      <w:pPr>
        <w:pStyle w:val="ListBullet"/>
      </w:pPr>
      <w:r>
        <w:t xml:space="preserve">  </w:t>
      </w:r>
      <w:r>
        <w:rPr>
          <w:b/>
        </w:rPr>
        <w:t>SLA Interni:</w:t>
      </w:r>
      <w:r>
        <w:t xml:space="preserve"> Verificare se l'introduzione di nuovi passaggi tra uffici diversi (aumento handover) possa impattare sui tempi di risposta al cliente, definendo eventualmente nuovi Service Level Agreements tra le unità coinvolte.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