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2.4.01.BLUE Gestione moduli di adeguata verifica -&gt; 2.4.01.BLUE Gestione moduli di adeguata verifica</w:t>
      </w:r>
    </w:p>
    <w:p>
      <w:pPr>
        <w:jc w:val="center"/>
      </w:pPr>
      <w:r>
        <w:rPr>
          <w:color w:val="666666"/>
          <w:sz w:val="20"/>
        </w:rPr>
        <w:t>Data: 30/01/2026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+5</w:t>
            </w:r>
          </w:p>
        </w:tc>
        <w:tc>
          <w:tcPr>
            <w:tcW w:type="dxa" w:w="2880"/>
          </w:tcPr>
          <w:p>
            <w:r>
              <w:t>0 -&gt; 5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28.6% -&gt; 28.6%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0.40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Medio</w:t>
            </w:r>
          </w:p>
        </w:tc>
      </w:tr>
    </w:tbl>
    <w:p/>
    <w:p>
      <w:r>
        <w:t>Ecco il report di analisi comparativa tra i processi As-Is e To-Be relativo alla gestione dei moduli di adeguata verifica.</w:t>
      </w:r>
    </w:p>
    <w:p>
      <w:pPr>
        <w:pStyle w:val="Heading2"/>
      </w:pPr>
      <w:r>
        <w:t>1. EXECUTIVE SUMMARY</w:t>
      </w:r>
    </w:p>
    <w:p>
      <w:r>
        <w:t xml:space="preserve">Il processo "Gestione moduli di adeguata verifica" non subisce modifiche strutturali (le attività rimangono le medesime), ma è oggetto di una </w:t>
      </w:r>
      <w:r>
        <w:rPr>
          <w:b/>
        </w:rPr>
        <w:t>significativa riorganizzazione delle responsabilità</w:t>
      </w:r>
      <w:r>
        <w:t xml:space="preserve">. Il driver principale appare essere il </w:t>
      </w:r>
      <w:r>
        <w:rPr>
          <w:b/>
        </w:rPr>
        <w:t>rafforzamento del sistema dei controlli interni</w:t>
      </w:r>
      <w:r>
        <w:t xml:space="preserve"> e l'allineamento alla normativa Antiriciclaggio (AML), spostando l'esecuzione di fasi critiche da un'unità amministrativa generica a funzioni di controllo specializzate (Compliance, AML, Controllo Interno). Sebbene la struttura rimanga stabile, l'aumento dei passaggi di mano (handover) richiede attenzione sulla fluidità operativa.</w:t>
      </w:r>
    </w:p>
    <w:p>
      <w:pPr>
        <w:pStyle w:val="Heading2"/>
      </w:pPr>
      <w:r>
        <w:t>2. QUANTITATIVE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0.0%</w:t>
            </w:r>
          </w:p>
        </w:tc>
        <w:tc>
          <w:tcPr>
            <w:tcW w:type="dxa" w:w="2880"/>
          </w:tcPr>
          <w:p>
            <w:r/>
            <w:r>
              <w:t>Bassa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+5</w:t>
            </w:r>
          </w:p>
        </w:tc>
        <w:tc>
          <w:tcPr>
            <w:tcW w:type="dxa" w:w="2880"/>
          </w:tcPr>
          <w:p>
            <w:r/>
            <w:r>
              <w:t>Incremento significativo della frammentazione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28.6% → 28.6%</w:t>
            </w:r>
          </w:p>
        </w:tc>
        <w:tc>
          <w:tcPr>
            <w:tcW w:type="dxa" w:w="2880"/>
          </w:tcPr>
          <w:p>
            <w:r/>
            <w:r>
              <w:t>Invariata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Process Change Score</w:t>
            </w:r>
          </w:p>
        </w:tc>
        <w:tc>
          <w:tcPr>
            <w:tcW w:type="dxa" w:w="2880"/>
          </w:tcPr>
          <w:p>
            <w:r/>
            <w:r>
              <w:t>0.40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Medio</w:t>
            </w:r>
          </w:p>
        </w:tc>
      </w:tr>
    </w:tbl>
    <w:p>
      <w:pPr>
        <w:pStyle w:val="Heading2"/>
      </w:pPr>
      <w:r>
        <w:t>2.1 REVISIONE SEMANTICA DELLE METRICHE</w:t>
      </w:r>
    </w:p>
    <w:p>
      <w:r>
        <w:t xml:space="preserve">Valutazione confermata: il livello </w:t>
      </w:r>
      <w:r>
        <w:rPr>
          <w:b/>
        </w:rPr>
        <w:t>Medio</w:t>
      </w:r>
      <w:r>
        <w:t xml:space="preserve"> è coerente con l'analisi qualitativa.</w:t>
      </w:r>
    </w:p>
    <w:p>
      <w:r>
        <w:rPr>
          <w:b/>
        </w:rPr>
        <w:t>Fattori di attenzione:</w:t>
      </w:r>
    </w:p>
    <w:p>
      <w:pPr>
        <w:pStyle w:val="ListBullet"/>
      </w:pPr>
      <w:r>
        <w:t xml:space="preserve">  Nonostante la volatilità sia nulla (nessuna attività aggiunta o rimossa), il PCS riflette correttamente l'impatto del cambio di esecutori.</w:t>
      </w:r>
    </w:p>
    <w:p>
      <w:pPr>
        <w:pStyle w:val="ListBullet"/>
      </w:pPr>
      <w:r>
        <w:t xml:space="preserve">  Il passaggio di attività verso funzioni di controllo (Seconda e Terza linea di difesa) è un </w:t>
      </w:r>
      <w:r>
        <w:rPr>
          <w:b/>
        </w:rPr>
        <w:t>fattore aggravante</w:t>
      </w:r>
      <w:r>
        <w:t xml:space="preserve"> per quanto riguarda la complessità del processo, poiché queste unità solitamente applicano criteri di verifica più stringenti rispetto a un ufficio amministrativo, aumentando potenzialmente i tempi di attraversamento del processo.</w:t>
      </w:r>
    </w:p>
    <w:p>
      <w:pPr>
        <w:pStyle w:val="Heading2"/>
      </w:pPr>
      <w:r>
        <w:t>3. DETAILED CHANGE ANALYSIS</w:t>
      </w:r>
    </w:p>
    <w:p>
      <w:pPr>
        <w:pStyle w:val="Heading3"/>
      </w:pPr>
      <w:r>
        <w:t>3.2 Organizational Changes</w:t>
      </w:r>
    </w:p>
    <w:p>
      <w:r>
        <w:t>Il cambiamento è interamente focalizzato sulla ridistribuzione delle responsabilità. Le attività precedentemente accentrate nei "SERVIZI AMMINISTRATIVI TEAM 1" sono state frammentate e assegnate a uffici specialistici:</w:t>
      </w:r>
    </w:p>
    <w:p>
      <w:pPr>
        <w:pStyle w:val="ListBullet"/>
      </w:pPr>
      <w:r>
        <w:t xml:space="preserve">  </w:t>
      </w:r>
      <w:r>
        <w:rPr>
          <w:b/>
        </w:rPr>
        <w:t>Attività 030:</w:t>
      </w:r>
      <w:r>
        <w:t xml:space="preserve"> Assegnata all'ufficio </w:t>
      </w:r>
      <w:r>
        <w:rPr>
          <w:b/>
        </w:rPr>
        <w:t>ANTIRICICLAGGIO</w:t>
      </w:r>
      <w:r>
        <w:t>. Questo suggerisce una specializzazione del controllo sulla verifica della clientela.</w:t>
      </w:r>
    </w:p>
    <w:p>
      <w:pPr>
        <w:pStyle w:val="ListBullet"/>
      </w:pPr>
      <w:r>
        <w:t xml:space="preserve">  </w:t>
      </w:r>
      <w:r>
        <w:rPr>
          <w:b/>
        </w:rPr>
        <w:t>Attività 050:</w:t>
      </w:r>
      <w:r>
        <w:t xml:space="preserve"> Assegnata all'ufficio </w:t>
      </w:r>
      <w:r>
        <w:rPr>
          <w:b/>
        </w:rPr>
        <w:t>COMPLIANCE</w:t>
      </w:r>
      <w:r>
        <w:t>. Indica un presidio diretto sulla conformità normativa della documentazione.</w:t>
      </w:r>
    </w:p>
    <w:p>
      <w:pPr>
        <w:pStyle w:val="ListBullet"/>
      </w:pPr>
      <w:r>
        <w:t xml:space="preserve">  </w:t>
      </w:r>
      <w:r>
        <w:rPr>
          <w:b/>
        </w:rPr>
        <w:t>Attività 070:</w:t>
      </w:r>
      <w:r>
        <w:t xml:space="preserve"> Assegnata al </w:t>
      </w:r>
      <w:r>
        <w:rPr>
          <w:b/>
        </w:rPr>
        <w:t>CONTROLLO INTERNO</w:t>
      </w:r>
      <w:r>
        <w:t>. Rafforza la fase di monitoraggio o validazione finale del processo.</w:t>
      </w:r>
    </w:p>
    <w:p>
      <w:r>
        <w:t xml:space="preserve">L'incremento del </w:t>
      </w:r>
      <w:r>
        <w:rPr>
          <w:b/>
        </w:rPr>
        <w:t>Handover Delta (+5)</w:t>
      </w:r>
      <w:r>
        <w:t xml:space="preserve"> indica che il processo ora attraversa più silos organizzativi, aumentando il rischio di colli di bottiglia comunicativi.</w:t>
      </w:r>
    </w:p>
    <w:p>
      <w:pPr>
        <w:pStyle w:val="Heading3"/>
      </w:pPr>
      <w:r>
        <w:t>3.3 Technological Changes</w:t>
      </w:r>
    </w:p>
    <w:p>
      <w:r>
        <w:t>Non si rilevano cambiamenti nei sistemi IT. Il tasso di automazione rimane stabile al 28.6%, indicando che il processo mantiene una forte componente manuale, ora distribuita su più uffici.</w:t>
      </w:r>
    </w:p>
    <w:p>
      <w:pPr>
        <w:pStyle w:val="Heading3"/>
      </w:pPr>
      <w:r>
        <w:t>3.4 Content Changes (Descriptions/Titles)</w:t>
      </w:r>
    </w:p>
    <w:p>
      <w:r>
        <w:t>Non sono state apportate modifiche ai titoli o alle descrizioni delle attività. Il perimetro operativo di ogni fase rimane invariato rispetto alla versione precedente.</w:t>
      </w:r>
    </w:p>
    <w:p>
      <w:pPr>
        <w:pStyle w:val="Heading2"/>
      </w:pPr>
      <w:r>
        <w:t>4. RISK AND COMPLIANCE NOTES</w:t>
      </w:r>
    </w:p>
    <w:p>
      <w:pPr>
        <w:pStyle w:val="ListBullet"/>
      </w:pPr>
      <w:r>
        <w:t xml:space="preserve">  </w:t>
      </w:r>
      <w:r>
        <w:rPr>
          <w:b/>
        </w:rPr>
        <w:t>Compliance AML:</w:t>
      </w:r>
      <w:r>
        <w:t xml:space="preserve"> Il cambiamento è estremamente positivo dal punto di vista della compliance normativa. L'attribuzione diretta di fasi di "Adeguata Verifica" a uffici AML e Compliance riduce il rischio di errori interpretativi tipici di unità non specialistiche.</w:t>
      </w:r>
    </w:p>
    <w:p>
      <w:pPr>
        <w:pStyle w:val="ListBullet"/>
      </w:pPr>
      <w:r>
        <w:t xml:space="preserve">  </w:t>
      </w:r>
      <w:r>
        <w:rPr>
          <w:b/>
        </w:rPr>
        <w:t>Segregation of Duties (SoD):</w:t>
      </w:r>
      <w:r>
        <w:t xml:space="preserve"> La nuova struttura favorisce una migliore segregazione dei compiti, separando l'eventuale fase istruttoria (amministrativa) da quella di controllo e validazione (Compliance/Internal Audit).</w:t>
      </w:r>
    </w:p>
    <w:p>
      <w:pPr>
        <w:pStyle w:val="ListBullet"/>
      </w:pPr>
      <w:r>
        <w:t xml:space="preserve">  </w:t>
      </w:r>
      <w:r>
        <w:rPr>
          <w:b/>
        </w:rPr>
        <w:t>Rischio Operativo:</w:t>
      </w:r>
      <w:r>
        <w:t xml:space="preserve"> L'aumento dei passaggi di mano tra uffici diversi potrebbe generare ritardi se non supportato da workflow informatici efficienti o SLA (Service Level Agreements) definiti.</w:t>
      </w:r>
    </w:p>
    <w:p>
      <w:pPr>
        <w:pStyle w:val="Heading2"/>
      </w:pPr>
      <w:r>
        <w:t>5. ⚠️ ANOMALIE E INCONGRUENZE</w:t>
      </w:r>
    </w:p>
    <w:p>
      <w:r>
        <w:t>Dall'analisi semantica dei dati non emergono anomalie critiche.</w:t>
      </w:r>
    </w:p>
    <w:p>
      <w:pPr>
        <w:pStyle w:val="ListBullet"/>
      </w:pPr>
      <w:r>
        <w:t xml:space="preserve">  </w:t>
      </w:r>
      <w:r>
        <w:rPr>
          <w:b/>
        </w:rPr>
        <w:t>Esecutori:</w:t>
      </w:r>
      <w:r>
        <w:t xml:space="preserve"> I nomi delle unità organizzative ("ANTIRICICLAGGIO - Ufficio", "COMPLIANCE - Ufficio", "CONTROLLO INTERNO - Ufficio") sono realistici, coerenti con il contesto assicurativo/bancario e seguono una nomenclatura standard.</w:t>
      </w:r>
    </w:p>
    <w:p>
      <w:pPr>
        <w:pStyle w:val="ListBullet"/>
      </w:pPr>
      <w:r>
        <w:t xml:space="preserve">  </w:t>
      </w:r>
      <w:r>
        <w:rPr>
          <w:b/>
        </w:rPr>
        <w:t>Coerenza di Contesto:</w:t>
      </w:r>
      <w:r>
        <w:t xml:space="preserve"> È assolutamente logico che un processo di "Adeguata Verifica" (tipico ambito AML) veda il coinvolgimento diretto delle funzioni di controllo indicate.</w:t>
      </w:r>
    </w:p>
    <w:p>
      <w:pPr>
        <w:pStyle w:val="Heading2"/>
      </w:pPr>
      <w:r>
        <w:t>6. RECOMMENDATIONS</w:t>
      </w:r>
    </w:p>
    <w:p>
      <w:pPr>
        <w:pStyle w:val="ListBullet"/>
      </w:pPr>
      <w:r>
        <w:t xml:space="preserve">  </w:t>
      </w:r>
      <w:r>
        <w:rPr>
          <w:b/>
        </w:rPr>
        <w:t>Definizione SLA:</w:t>
      </w:r>
      <w:r>
        <w:t xml:space="preserve"> Data la frammentazione del processo su tre diversi uffici di controllo, si raccomanda di definire tempi massimi di risposta per le attività 030, 050 e 070 per evitare che il rafforzamento dei controlli paralizzi l'operatività.</w:t>
      </w:r>
    </w:p>
    <w:p>
      <w:pPr>
        <w:pStyle w:val="ListBullet"/>
      </w:pPr>
      <w:r>
        <w:t xml:space="preserve">  </w:t>
      </w:r>
      <w:r>
        <w:rPr>
          <w:b/>
        </w:rPr>
        <w:t>Verifica Accessi IT:</w:t>
      </w:r>
      <w:r>
        <w:t xml:space="preserve"> Assicurarsi che il personale degli uffici Compliance, Antiriciclaggio e Controllo Interno disponga delle autorizzazioni necessarie sui sistemi applicativi utilizzati nelle attività loro assegnate, precedentemente in uso ai Servizi Amministrativi.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