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di Analisi Comparativa</w:t>
      </w:r>
    </w:p>
    <w:p>
      <w:pPr>
        <w:jc w:val="center"/>
      </w:pPr>
      <w:r>
        <w:rPr>
          <w:i/>
          <w:sz w:val="24"/>
        </w:rPr>
        <w:t>2.4.02.BLUE Gestione moduli di identificazione -&gt; 2.4.02.BLUE Gestione moduli di identificazione</w:t>
      </w:r>
    </w:p>
    <w:p>
      <w:pPr>
        <w:jc w:val="center"/>
      </w:pPr>
      <w:r>
        <w:rPr>
          <w:color w:val="666666"/>
          <w:sz w:val="20"/>
        </w:rPr>
        <w:t>Data: 30/01/2026</w:t>
      </w:r>
    </w:p>
    <w:p/>
    <w:p>
      <w:pPr>
        <w:pStyle w:val="Heading1"/>
      </w:pPr>
      <w:r>
        <w:t>Riepilogo Metriche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A7C"/>
          </w:tcPr>
          <w:p>
            <w:r>
              <w:rPr>
                <w:b/>
                <w:color w:val="FFFFFF"/>
              </w:rPr>
              <w:t>Metrica</w:t>
            </w:r>
          </w:p>
        </w:tc>
        <w:tc>
          <w:tcPr>
            <w:tcW w:type="dxa" w:w="2880"/>
            <w:shd w:fill="2E5A7C"/>
          </w:tcPr>
          <w:p>
            <w:r>
              <w:rPr>
                <w:b/>
                <w:color w:val="FFFFFF"/>
              </w:rPr>
              <w:t>Valore</w:t>
            </w:r>
          </w:p>
        </w:tc>
        <w:tc>
          <w:tcPr>
            <w:tcW w:type="dxa" w:w="2880"/>
            <w:shd w:fill="2E5A7C"/>
          </w:tcPr>
          <w:p>
            <w:r>
              <w:rPr>
                <w:b/>
                <w:color w:val="FFFFFF"/>
              </w:rPr>
              <w:t>Valutazione</w:t>
            </w:r>
          </w:p>
        </w:tc>
      </w:tr>
      <w:tr>
        <w:tc>
          <w:tcPr>
            <w:tcW w:type="dxa" w:w="2880"/>
          </w:tcPr>
          <w:p>
            <w:r>
              <w:t>Volatility Index</w:t>
            </w:r>
          </w:p>
        </w:tc>
        <w:tc>
          <w:tcPr>
            <w:tcW w:type="dxa" w:w="2880"/>
          </w:tcPr>
          <w:p>
            <w:r>
              <w:t>0.0%</w:t>
            </w:r>
          </w:p>
        </w:tc>
        <w:tc>
          <w:tcPr>
            <w:tcW w:type="dxa" w:w="2880"/>
          </w:tcPr>
          <w:p>
            <w:r>
              <w:t>Bassa</w:t>
            </w:r>
          </w:p>
        </w:tc>
      </w:tr>
      <w:tr>
        <w:tc>
          <w:tcPr>
            <w:tcW w:type="dxa" w:w="2880"/>
          </w:tcPr>
          <w:p>
            <w:r>
              <w:t>Handover Delta</w:t>
            </w:r>
          </w:p>
        </w:tc>
        <w:tc>
          <w:tcPr>
            <w:tcW w:type="dxa" w:w="2880"/>
          </w:tcPr>
          <w:p>
            <w:r>
              <w:t>+0</w:t>
            </w:r>
          </w:p>
        </w:tc>
        <w:tc>
          <w:tcPr>
            <w:tcW w:type="dxa" w:w="2880"/>
          </w:tcPr>
          <w:p>
            <w:r>
              <w:t>3 -&gt; 3</w:t>
            </w:r>
          </w:p>
        </w:tc>
      </w:tr>
      <w:tr>
        <w:tc>
          <w:tcPr>
            <w:tcW w:type="dxa" w:w="2880"/>
          </w:tcPr>
          <w:p>
            <w:r>
              <w:t>Automation Rate</w:t>
            </w:r>
          </w:p>
        </w:tc>
        <w:tc>
          <w:tcPr>
            <w:tcW w:type="dxa" w:w="2880"/>
          </w:tcPr>
          <w:p>
            <w:r>
              <w:t>72.2% -&gt; 72.2%</w:t>
            </w:r>
          </w:p>
        </w:tc>
        <w:tc>
          <w:tcPr>
            <w:tcW w:type="dxa" w:w="2880"/>
          </w:tcPr>
          <w:p>
            <w:r/>
          </w:p>
        </w:tc>
      </w:tr>
      <w:tr>
        <w:tc>
          <w:tcPr>
            <w:tcW w:type="dxa" w:w="2880"/>
            <w:shd w:fill="FFF3CD"/>
          </w:tcPr>
          <w:p>
            <w:r>
              <w:rPr>
                <w:b/>
              </w:rPr>
              <w:t>Process Change Score</w:t>
            </w:r>
          </w:p>
        </w:tc>
        <w:tc>
          <w:tcPr>
            <w:tcW w:type="dxa" w:w="2880"/>
            <w:shd w:fill="FFF3CD"/>
          </w:tcPr>
          <w:p>
            <w:r>
              <w:rPr>
                <w:b/>
              </w:rPr>
              <w:t>0.00</w:t>
            </w:r>
          </w:p>
        </w:tc>
        <w:tc>
          <w:tcPr>
            <w:tcW w:type="dxa" w:w="2880"/>
            <w:shd w:fill="FFF3CD"/>
          </w:tcPr>
          <w:p>
            <w:r>
              <w:rPr>
                <w:b/>
              </w:rPr>
              <w:t>Basso</w:t>
            </w:r>
          </w:p>
        </w:tc>
      </w:tr>
    </w:tbl>
    <w:p/>
    <w:p>
      <w:r>
        <w:t xml:space="preserve">Ecco il report di analisi relativo alla revisione del processo </w:t>
      </w:r>
      <w:r>
        <w:rPr>
          <w:b/>
        </w:rPr>
        <w:t>2.4.02.BLUE Gestione moduli di identificazione</w:t>
      </w:r>
      <w:r>
        <w:t>.</w:t>
      </w:r>
    </w:p>
    <w:p>
      <w:pPr>
        <w:pStyle w:val="Heading2"/>
      </w:pPr>
      <w:r>
        <w:t>1. EXECUTIVE SUMMARY</w:t>
      </w:r>
    </w:p>
    <w:p>
      <w:r>
        <w:t xml:space="preserve">La revisione del processo non ne altera la struttura fondamentale (nessuna attività aggiunta o rimossa), ma introduce una significativa </w:t>
      </w:r>
      <w:r>
        <w:rPr>
          <w:b/>
        </w:rPr>
        <w:t>digitalizzazione e automazione delle fasi operative</w:t>
      </w:r>
      <w:r>
        <w:t>. Il driver principale è l'efficientamento e la riduzione del rischio operativo tramite l'introduzione di controlli automatici e checklist digitali. Il cambiamento riduce il rischio di errore umano nelle fasi di verifica e archiviazione.</w:t>
      </w:r>
    </w:p>
    <w:p>
      <w:pPr>
        <w:pStyle w:val="Heading2"/>
      </w:pPr>
      <w:r>
        <w:t>2. QUANTITATIVE OVERVIEW</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r>
            <w:r>
              <w:rPr>
                <w:b/>
              </w:rPr>
              <w:t>Metrica</w:t>
            </w:r>
          </w:p>
        </w:tc>
        <w:tc>
          <w:tcPr>
            <w:tcW w:type="dxa" w:w="2880"/>
            <w:shd w:fill="E0E0E0"/>
          </w:tcPr>
          <w:p>
            <w:r>
              <w:rPr>
                <w:b/>
              </w:rPr>
            </w:r>
            <w:r>
              <w:rPr>
                <w:b/>
              </w:rPr>
              <w:t>Valore</w:t>
            </w:r>
          </w:p>
        </w:tc>
        <w:tc>
          <w:tcPr>
            <w:tcW w:type="dxa" w:w="2880"/>
            <w:shd w:fill="E0E0E0"/>
          </w:tcPr>
          <w:p>
            <w:r>
              <w:rPr>
                <w:b/>
              </w:rPr>
            </w:r>
            <w:r>
              <w:rPr>
                <w:b/>
              </w:rPr>
              <w:t>Valutazione</w:t>
            </w:r>
          </w:p>
        </w:tc>
      </w:tr>
      <w:tr>
        <w:tc>
          <w:tcPr>
            <w:tcW w:type="dxa" w:w="2880"/>
          </w:tcPr>
          <w:p>
            <w:r/>
            <w:r>
              <w:t>Volatility Index</w:t>
            </w:r>
          </w:p>
        </w:tc>
        <w:tc>
          <w:tcPr>
            <w:tcW w:type="dxa" w:w="2880"/>
          </w:tcPr>
          <w:p>
            <w:r/>
            <w:r>
              <w:t>0.0%</w:t>
            </w:r>
          </w:p>
        </w:tc>
        <w:tc>
          <w:tcPr>
            <w:tcW w:type="dxa" w:w="2880"/>
          </w:tcPr>
          <w:p>
            <w:r/>
            <w:r>
              <w:t>Bassa</w:t>
            </w:r>
          </w:p>
        </w:tc>
      </w:tr>
      <w:tr>
        <w:tc>
          <w:tcPr>
            <w:tcW w:type="dxa" w:w="2880"/>
          </w:tcPr>
          <w:p>
            <w:r/>
            <w:r>
              <w:t>Handover Delta</w:t>
            </w:r>
          </w:p>
        </w:tc>
        <w:tc>
          <w:tcPr>
            <w:tcW w:type="dxa" w:w="2880"/>
          </w:tcPr>
          <w:p>
            <w:r/>
            <w:r>
              <w:t>0</w:t>
            </w:r>
          </w:p>
        </w:tc>
        <w:tc>
          <w:tcPr>
            <w:tcW w:type="dxa" w:w="2880"/>
          </w:tcPr>
          <w:p>
            <w:r/>
            <w:r>
              <w:t>Nessun impatto</w:t>
            </w:r>
          </w:p>
        </w:tc>
      </w:tr>
      <w:tr>
        <w:tc>
          <w:tcPr>
            <w:tcW w:type="dxa" w:w="2880"/>
          </w:tcPr>
          <w:p>
            <w:r/>
            <w:r>
              <w:t>Automation Rate</w:t>
            </w:r>
          </w:p>
        </w:tc>
        <w:tc>
          <w:tcPr>
            <w:tcW w:type="dxa" w:w="2880"/>
          </w:tcPr>
          <w:p>
            <w:r/>
            <w:r>
              <w:t>72.2% → 72.2%</w:t>
            </w:r>
          </w:p>
        </w:tc>
        <w:tc>
          <w:tcPr>
            <w:tcW w:type="dxa" w:w="2880"/>
          </w:tcPr>
          <w:p>
            <w:r/>
            <w:r>
              <w:t>Trend Stabile*</w:t>
            </w:r>
          </w:p>
        </w:tc>
      </w:tr>
      <w:tr>
        <w:tc>
          <w:tcPr>
            <w:tcW w:type="dxa" w:w="2880"/>
          </w:tcPr>
          <w:p>
            <w:r/>
            <w:r>
              <w:rPr>
                <w:b/>
              </w:rPr>
              <w:t>Process Change Score</w:t>
            </w:r>
          </w:p>
        </w:tc>
        <w:tc>
          <w:tcPr>
            <w:tcW w:type="dxa" w:w="2880"/>
          </w:tcPr>
          <w:p>
            <w:r/>
            <w:r>
              <w:t>0.00</w:t>
            </w:r>
          </w:p>
        </w:tc>
        <w:tc>
          <w:tcPr>
            <w:tcW w:type="dxa" w:w="2880"/>
          </w:tcPr>
          <w:p>
            <w:r/>
            <w:r>
              <w:t>Basso</w:t>
            </w:r>
          </w:p>
        </w:tc>
      </w:tr>
    </w:tbl>
    <w:p>
      <w:r>
        <w:t>*\*Nota: Sebbene la metrica quantitativa dell'Automation Rate risulti invariata (poiché le attività erano già classificate come supportate da sistemi), l'analisi qualitativa evidenzia un incremento reale del livello di automazione interna alle singole attività.*</w:t>
      </w:r>
    </w:p>
    <w:p>
      <w:pPr>
        <w:pStyle w:val="Heading2"/>
      </w:pPr>
      <w:r>
        <w:t>2.1 REVISIONE SEMANTICA DELLE METRICHE</w:t>
      </w:r>
    </w:p>
    <w:p>
      <w:r>
        <w:rPr>
          <w:b/>
        </w:rPr>
        <w:t>Valutazione confermata:</w:t>
      </w:r>
      <w:r>
        <w:t xml:space="preserve"> il livello </w:t>
      </w:r>
      <w:r>
        <w:rPr>
          <w:b/>
        </w:rPr>
        <w:t>Basso</w:t>
      </w:r>
      <w:r>
        <w:t xml:space="preserve"> è coerente con l'analisi qualitativa.</w:t>
      </w:r>
    </w:p>
    <w:p>
      <w:r>
        <w:t xml:space="preserve">Tuttavia, si osserva che il PCS 0.00 non riflette appieno l'impatto positivo del cambiamento. Sebbene non vi siano modifiche strutturali (task aggiunti/rimossi), la trasformazione delle attività da "manuali con supporto" a "digitalmente guidate" (es. checklist digitali e QR code) rappresenta un </w:t>
      </w:r>
      <w:r>
        <w:rPr>
          <w:b/>
        </w:rPr>
        <w:t>fattore attenuante del rischio operativo</w:t>
      </w:r>
      <w:r>
        <w:t>. La coerenza del processo ne esce rafforzata, riducendo la discrezionalità dell'operatore senza eliminare i punti di controllo necessari.</w:t>
      </w:r>
    </w:p>
    <w:p>
      <w:pPr>
        <w:pStyle w:val="Heading2"/>
      </w:pPr>
      <w:r>
        <w:t>3. DETAILED CHANGE ANALYSIS</w:t>
      </w:r>
    </w:p>
    <w:p>
      <w:pPr>
        <w:pStyle w:val="Heading3"/>
      </w:pPr>
      <w:r>
        <w:t>3.1 Structural Changes (Activities Added/Removed)</w:t>
      </w:r>
    </w:p>
    <w:p>
      <w:r>
        <w:t>Non si registrano variazioni strutturali. Il numero e la sequenza delle attività rimangono invariati, garantendo la continuità operativa del flusso.</w:t>
      </w:r>
    </w:p>
    <w:p>
      <w:pPr>
        <w:pStyle w:val="Heading3"/>
      </w:pPr>
      <w:r>
        <w:t>3.2 Organizational Changes</w:t>
      </w:r>
    </w:p>
    <w:p>
      <w:r>
        <w:t>Non sono state apportate modifiche alle unità organizzative responsabili (ESECUTORE). I passaggi di mano (handoffs) rimangono costanti.</w:t>
      </w:r>
    </w:p>
    <w:p>
      <w:pPr>
        <w:pStyle w:val="Heading3"/>
      </w:pPr>
      <w:r>
        <w:t>3.3 Technological Changes</w:t>
      </w:r>
    </w:p>
    <w:p>
      <w:r>
        <w:t>Si osserva un marcato potenziamento delle funzionalità IT a supporto del processo:</w:t>
      </w:r>
    </w:p>
    <w:p>
      <w:pPr>
        <w:pStyle w:val="ListBullet"/>
      </w:pPr>
      <w:r>
        <w:rPr>
          <w:b/>
        </w:rPr>
        <w:t>Attività 020 &amp; 050:</w:t>
      </w:r>
      <w:r>
        <w:t xml:space="preserve"> Introduzione di checklist digitali integrate e funzioni di comparazione automatica con alert visivi. Si passa da una verifica puramente manuale a una validazione assistita dal sistema.</w:t>
      </w:r>
    </w:p>
    <w:p>
      <w:pPr>
        <w:pStyle w:val="ListBullet"/>
      </w:pPr>
      <w:r>
        <w:rPr>
          <w:b/>
        </w:rPr>
        <w:t>Attività 090:</w:t>
      </w:r>
      <w:r>
        <w:t xml:space="preserve"> Evoluzione del sistema di etichettatura. La generazione dei metadati passa da inserimento manuale a generazione automatica tramite QR code, eliminando il rischio di data-entry errato.</w:t>
      </w:r>
    </w:p>
    <w:p>
      <w:pPr>
        <w:pStyle w:val="Heading3"/>
      </w:pPr>
      <w:r>
        <w:t>3.4 Content Changes (Descriptions/Titles)</w:t>
      </w:r>
    </w:p>
    <w:p>
      <w:r>
        <w:t>Le modifiche descrittive sono sostanziali e riflettono il passaggio a modalità operative più evolute:</w:t>
      </w:r>
    </w:p>
    <w:p>
      <w:pPr>
        <w:pStyle w:val="ListBullet"/>
      </w:pPr>
      <w:r>
        <w:rPr>
          <w:b/>
        </w:rPr>
        <w:t>Attività 020:</w:t>
      </w:r>
      <w:r>
        <w:t xml:space="preserve"> La descrizione ora specifica l'uso di una checklist digitale che abilita automaticamente le fasi successive, introducendo un vincolo di sistema che garantisce la completezza dei dati.</w:t>
      </w:r>
    </w:p>
    <w:p>
      <w:pPr>
        <w:pStyle w:val="ListBullet"/>
      </w:pPr>
      <w:r>
        <w:rPr>
          <w:b/>
        </w:rPr>
        <w:t>Attività 050:</w:t>
      </w:r>
      <w:r>
        <w:t xml:space="preserve"> Viene esplicitata la funzione di "comparazione automatica" e la gestione degli alert, migliorando la precisione del controllo incrociato.</w:t>
      </w:r>
    </w:p>
    <w:p>
      <w:pPr>
        <w:pStyle w:val="ListBullet"/>
      </w:pPr>
      <w:r>
        <w:rPr>
          <w:b/>
        </w:rPr>
        <w:t>Attività 090:</w:t>
      </w:r>
      <w:r>
        <w:t xml:space="preserve"> La revisione descrive un flusso di tracciabilità più moderno (QR code) e una riduzione del carico operativo per l'addetto.</w:t>
      </w:r>
    </w:p>
    <w:p>
      <w:pPr>
        <w:pStyle w:val="Heading2"/>
      </w:pPr>
      <w:r>
        <w:t>4. RISK AND COMPLIANCE NOTES</w:t>
      </w:r>
    </w:p>
    <w:p>
      <w:pPr>
        <w:pStyle w:val="ListBullet"/>
      </w:pPr>
      <w:r>
        <w:rPr>
          <w:b/>
        </w:rPr>
        <w:t>Riduzione del Rischio Operativo:</w:t>
      </w:r>
      <w:r>
        <w:t xml:space="preserve"> L'automazione della checklist e della generazione etichette riduce drasticamente la probabilità di errori di identificazione o smarrimento documentale.</w:t>
      </w:r>
    </w:p>
    <w:p>
      <w:pPr>
        <w:pStyle w:val="ListBullet"/>
      </w:pPr>
      <w:r>
        <w:rPr>
          <w:b/>
        </w:rPr>
        <w:t>Compliance Antiriciclaggio (AML):</w:t>
      </w:r>
      <w:r>
        <w:t xml:space="preserve"> Il rafforzamento dei controlli sui moduli di identificazione (attività 020 e 050) supporta una maggiore aderenza alle normative vigenti, garantendo che nessun modulo incompleto proceda nel flusso.</w:t>
      </w:r>
    </w:p>
    <w:p>
      <w:pPr>
        <w:pStyle w:val="ListBullet"/>
      </w:pPr>
      <w:r>
        <w:rPr>
          <w:b/>
        </w:rPr>
        <w:t>Tracciabilità:</w:t>
      </w:r>
      <w:r>
        <w:t xml:space="preserve"> L'adozione del QR code nell'attività 090 migliora l'audit trail per l'archiviazione della documentazione cartacea.</w:t>
      </w:r>
    </w:p>
    <w:p>
      <w:pPr>
        <w:pStyle w:val="Heading2"/>
      </w:pPr>
      <w:r>
        <w:t>5. ⚠️ ANOMALIE E INCONGRUENZE</w:t>
      </w:r>
    </w:p>
    <w:p>
      <w:r>
        <w:t xml:space="preserve">Dall'analisi semantica dei contenuti </w:t>
      </w:r>
      <w:r>
        <w:rPr>
          <w:b/>
        </w:rPr>
        <w:t>non emergono anomalie o incongruenze</w:t>
      </w:r>
      <w:r>
        <w:t>.</w:t>
      </w:r>
    </w:p>
    <w:p>
      <w:pPr>
        <w:pStyle w:val="ListBullet"/>
      </w:pPr>
      <w:r>
        <w:t>Gli esecutori e i sistemi citati (sebbene non modificati nei metadati) sono coerenti con il contesto assicurativo/vita ("Polizza vita", "Vita AIA", "GRMA SCAN").</w:t>
      </w:r>
    </w:p>
    <w:p>
      <w:pPr>
        <w:pStyle w:val="ListBullet"/>
      </w:pPr>
      <w:r>
        <w:t>Il linguaggio utilizzato nelle nuove descrizioni è professionale e pertinente al dominio di riferimento.</w:t>
      </w:r>
    </w:p>
    <w:p>
      <w:pPr>
        <w:pStyle w:val="ListBullet"/>
      </w:pPr>
      <w:r>
        <w:t>Non sono stati rilevati placeholder o testi di test.</w:t>
      </w:r>
    </w:p>
    <w:p>
      <w:pPr>
        <w:pStyle w:val="Heading2"/>
      </w:pPr>
      <w:r>
        <w:t>6. RECOMMENDATIONS</w:t>
      </w:r>
    </w:p>
    <w:p>
      <w:pPr>
        <w:pStyle w:val="ListBullet"/>
      </w:pPr>
      <w:r>
        <w:rPr>
          <w:b/>
        </w:rPr>
        <w:t>Aggiornamento Manuali Utente:</w:t>
      </w:r>
      <w:r>
        <w:t xml:space="preserve"> Si consiglia di aggiornare le guide operative per riflettere le nuove interfacce della checklist digitale e della funzione di comparazione automatica.</w:t>
      </w:r>
    </w:p>
    <w:p>
      <w:pPr>
        <w:pStyle w:val="ListBullet"/>
      </w:pPr>
      <w:r>
        <w:rPr>
          <w:b/>
        </w:rPr>
        <w:t>Monitoraggio Alert:</w:t>
      </w:r>
      <w:r>
        <w:t xml:space="preserve"> Verificare nel primo mese di esercizio la frequenza dei "falsi positivi" generati dagli alert visivi nell'attività 050 per tarare correttamente la sensibilità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