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 di Analisi Comparativa</w:t>
      </w:r>
    </w:p>
    <w:p>
      <w:pPr>
        <w:jc w:val="center"/>
      </w:pPr>
      <w:r>
        <w:rPr>
          <w:i/>
          <w:sz w:val="24"/>
        </w:rPr>
        <w:t>2.4.04.BLUE Gestione apertura sx auto e RE -&gt; 2.4.04.BLUE Gestione apertura sx auto e RE</w:t>
      </w:r>
    </w:p>
    <w:p>
      <w:pPr>
        <w:jc w:val="center"/>
      </w:pPr>
      <w:r>
        <w:rPr>
          <w:color w:val="666666"/>
          <w:sz w:val="20"/>
        </w:rPr>
        <w:t>Data: 30/01/2026</w:t>
      </w:r>
    </w:p>
    <w:p/>
    <w:p>
      <w:pPr>
        <w:pStyle w:val="Heading1"/>
      </w:pPr>
      <w:r>
        <w:t>Riepilogo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Valore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Valutazione</w:t>
            </w:r>
          </w:p>
        </w:tc>
      </w:tr>
      <w:tr>
        <w:tc>
          <w:tcPr>
            <w:tcW w:type="dxa" w:w="2880"/>
          </w:tcPr>
          <w:p>
            <w:r>
              <w:t>Volatility Index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>
              <w:t>Bassa</w:t>
            </w:r>
          </w:p>
        </w:tc>
      </w:tr>
      <w:tr>
        <w:tc>
          <w:tcPr>
            <w:tcW w:type="dxa" w:w="2880"/>
          </w:tcPr>
          <w:p>
            <w:r>
              <w:t>Handover Delta</w:t>
            </w:r>
          </w:p>
        </w:tc>
        <w:tc>
          <w:tcPr>
            <w:tcW w:type="dxa" w:w="2880"/>
          </w:tcPr>
          <w:p>
            <w:r>
              <w:t>+0</w:t>
            </w:r>
          </w:p>
        </w:tc>
        <w:tc>
          <w:tcPr>
            <w:tcW w:type="dxa" w:w="2880"/>
          </w:tcPr>
          <w:p>
            <w:r>
              <w:t>16 -&gt; 16</w:t>
            </w:r>
          </w:p>
        </w:tc>
      </w:tr>
      <w:tr>
        <w:tc>
          <w:tcPr>
            <w:tcW w:type="dxa" w:w="2880"/>
          </w:tcPr>
          <w:p>
            <w:r>
              <w:t>Automation Rate</w:t>
            </w:r>
          </w:p>
        </w:tc>
        <w:tc>
          <w:tcPr>
            <w:tcW w:type="dxa" w:w="2880"/>
          </w:tcPr>
          <w:p>
            <w:r>
              <w:t>73.5% -&gt; 73.5%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  <w:shd w:fill="FFF3CD"/>
          </w:tcPr>
          <w:p>
            <w:r>
              <w:rPr>
                <w:b/>
              </w:rPr>
              <w:t>Process Change Score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0.00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Basso</w:t>
            </w:r>
          </w:p>
        </w:tc>
      </w:tr>
    </w:tbl>
    <w:p/>
    <w:p>
      <w:r>
        <w:t>Ecco il report di analisi comparativa tra il processo As-Is e To-Be per la gestione dei sinistri.</w:t>
      </w:r>
    </w:p>
    <w:p>
      <w:pPr>
        <w:pStyle w:val="Heading2"/>
      </w:pPr>
      <w:r>
        <w:t>1. EXECUTIVE SUMMARY</w:t>
      </w:r>
    </w:p>
    <w:p>
      <w:r>
        <w:t xml:space="preserve">Le modifiche apportate al processo "2.4.04.BLUE Gestione apertura sx auto e RE" sono di natura puramente </w:t>
      </w:r>
      <w:r>
        <w:rPr>
          <w:b/>
        </w:rPr>
        <w:t>formale ed editoriale</w:t>
      </w:r>
      <w:r>
        <w:t>. L'intervento si limita all'aggiornamento dei titoli di tre attività esistenti per migliorarne la precisione terminologica, senza introdurre variazioni strutturali, organizzative o tecnologiche. Il profilo di rischio rimane invariato e l'impatto operativo è nullo.</w:t>
      </w:r>
    </w:p>
    <w:p>
      <w:pPr>
        <w:pStyle w:val="Heading2"/>
      </w:pPr>
      <w:r>
        <w:t>2. QUANTITATIVE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Metrica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Valore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Valutazione</w:t>
            </w:r>
          </w:p>
        </w:tc>
      </w:tr>
      <w:tr>
        <w:tc>
          <w:tcPr>
            <w:tcW w:type="dxa" w:w="2880"/>
          </w:tcPr>
          <w:p>
            <w:r/>
            <w:r>
              <w:t>Volatility Index</w:t>
            </w:r>
          </w:p>
        </w:tc>
        <w:tc>
          <w:tcPr>
            <w:tcW w:type="dxa" w:w="2880"/>
          </w:tcPr>
          <w:p>
            <w:r/>
            <w:r>
              <w:t>0%</w:t>
            </w:r>
          </w:p>
        </w:tc>
        <w:tc>
          <w:tcPr>
            <w:tcW w:type="dxa" w:w="2880"/>
          </w:tcPr>
          <w:p>
            <w:r/>
            <w:r>
              <w:t>Bassa</w:t>
            </w:r>
          </w:p>
        </w:tc>
      </w:tr>
      <w:tr>
        <w:tc>
          <w:tcPr>
            <w:tcW w:type="dxa" w:w="2880"/>
          </w:tcPr>
          <w:p>
            <w:r/>
            <w:r>
              <w:t>Handover Delta</w:t>
            </w:r>
          </w:p>
        </w:tc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t>Nessun impatto</w:t>
            </w:r>
          </w:p>
        </w:tc>
      </w:tr>
      <w:tr>
        <w:tc>
          <w:tcPr>
            <w:tcW w:type="dxa" w:w="2880"/>
          </w:tcPr>
          <w:p>
            <w:r/>
            <w:r>
              <w:t>Automation Rate</w:t>
            </w:r>
          </w:p>
        </w:tc>
        <w:tc>
          <w:tcPr>
            <w:tcW w:type="dxa" w:w="2880"/>
          </w:tcPr>
          <w:p>
            <w:r/>
            <w:r>
              <w:t>73.5% → 73.5%</w:t>
            </w:r>
          </w:p>
        </w:tc>
        <w:tc>
          <w:tcPr>
            <w:tcW w:type="dxa" w:w="2880"/>
          </w:tcPr>
          <w:p>
            <w:r/>
            <w:r>
              <w:t>Stabile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Process Change Score</w:t>
            </w:r>
          </w:p>
        </w:tc>
        <w:tc>
          <w:tcPr>
            <w:tcW w:type="dxa" w:w="2880"/>
          </w:tcPr>
          <w:p>
            <w:r/>
            <w:r>
              <w:t>0.00</w:t>
            </w:r>
          </w:p>
        </w:tc>
        <w:tc>
          <w:tcPr>
            <w:tcW w:type="dxa" w:w="2880"/>
          </w:tcPr>
          <w:p>
            <w:r/>
            <w:r>
              <w:t>Basso</w:t>
            </w:r>
          </w:p>
        </w:tc>
      </w:tr>
    </w:tbl>
    <w:p>
      <w:pPr>
        <w:pStyle w:val="Heading2"/>
      </w:pPr>
      <w:r>
        <w:t>2.1 REVISIONE SEMANTICA DELLE METRICHE</w:t>
      </w:r>
    </w:p>
    <w:p>
      <w:r>
        <w:rPr>
          <w:b/>
        </w:rPr>
        <w:t>Valutazione confermata</w:t>
      </w:r>
      <w:r>
        <w:t xml:space="preserve">: il livello </w:t>
      </w:r>
      <w:r>
        <w:rPr>
          <w:b/>
        </w:rPr>
        <w:t>Basso</w:t>
      </w:r>
      <w:r>
        <w:t xml:space="preserve"> è coerente con l'analisi qualitativa.</w:t>
      </w:r>
    </w:p>
    <w:p>
      <w:r>
        <w:t>Il PCS riflette accuratamente l'assenza di modifiche sostanziali. Le variazioni rilevate riguardano esclusivamente la semantica dei titoli (labeling), che non altera la sequenza delle attività, le responsabilità (esecutori) o le modalità di esecuzione (sistemi IT). Non si ravvisano fattori aggravanti che richiedano un innalzamento del livello di attenzione o audit specifici.</w:t>
      </w:r>
    </w:p>
    <w:p>
      <w:pPr>
        <w:pStyle w:val="Heading2"/>
      </w:pPr>
      <w:r>
        <w:t>3. DETAILED CHANGE ANALYSIS</w:t>
      </w:r>
    </w:p>
    <w:p>
      <w:pPr>
        <w:pStyle w:val="Heading3"/>
      </w:pPr>
      <w:r>
        <w:t>3.4 Content Changes (Descriptions/Titles)</w:t>
      </w:r>
    </w:p>
    <w:p>
      <w:r>
        <w:t>Sono state identificate tre modifiche ai titoli delle attività, volte a una maggiore specificazione del perimetro d'azione:</w:t>
      </w:r>
    </w:p>
    <w:p>
      <w:pPr>
        <w:pStyle w:val="ListBullet"/>
      </w:pPr>
      <w:r>
        <w:t xml:space="preserve">  </w:t>
      </w:r>
      <w:r>
        <w:rPr>
          <w:b/>
        </w:rPr>
        <w:t>Attività 170</w:t>
      </w:r>
      <w:r>
        <w:t xml:space="preserve">: Il titolo passa da "Ricerca sinistro" a </w:t>
      </w:r>
      <w:r>
        <w:rPr>
          <w:b/>
        </w:rPr>
        <w:t>"Ricerca sinistro su archivio storico"</w:t>
      </w:r>
      <w:r>
        <w:t>. La modifica chiarisce l'ambito di ricerca senza cambiare la natura dell'operazione.</w:t>
      </w:r>
    </w:p>
    <w:p>
      <w:pPr>
        <w:pStyle w:val="ListBullet"/>
      </w:pPr>
      <w:r>
        <w:t xml:space="preserve">  </w:t>
      </w:r>
      <w:r>
        <w:rPr>
          <w:b/>
        </w:rPr>
        <w:t>Attività 110</w:t>
      </w:r>
      <w:r>
        <w:t xml:space="preserve">: Il titolo passa da "Invio segnalazione perito e ente gestore" a </w:t>
      </w:r>
      <w:r>
        <w:rPr>
          <w:b/>
        </w:rPr>
        <w:t>"Invio segnalazione perito e assegnazione ente gestore competente"</w:t>
      </w:r>
      <w:r>
        <w:t>. Viene esplicitato il concetto di "competenza" dell'ente gestore, rafforzando la chiarezza sulla finalità dell'invio.</w:t>
      </w:r>
    </w:p>
    <w:p>
      <w:pPr>
        <w:pStyle w:val="ListBullet"/>
      </w:pPr>
      <w:r>
        <w:t xml:space="preserve">  </w:t>
      </w:r>
      <w:r>
        <w:rPr>
          <w:b/>
        </w:rPr>
        <w:t>Attività 070</w:t>
      </w:r>
      <w:r>
        <w:t xml:space="preserve">: Il titolo passa da "Verificare completezza documentazione" a </w:t>
      </w:r>
      <w:r>
        <w:rPr>
          <w:b/>
        </w:rPr>
        <w:t>"Verificare completezza documentazione denuncia sinistro"</w:t>
      </w:r>
      <w:r>
        <w:t>. Viene specificato l'oggetto della verifica (la denuncia), riducendo genericità.</w:t>
      </w:r>
    </w:p>
    <w:p>
      <w:r>
        <w:t>*Nota: Non si registrano cambiamenti nelle sezioni 3.1 (Strutturali), 3.2 (Organizzativi) e 3.3 (Tecnologici).*</w:t>
      </w:r>
    </w:p>
    <w:p>
      <w:pPr>
        <w:pStyle w:val="Heading2"/>
      </w:pPr>
      <w:r>
        <w:t>4. RISK AND COMPLIANCE NOTES</w:t>
      </w:r>
    </w:p>
    <w:p>
      <w:r>
        <w:t>Le modifiche non hanno impatto sulla conformità normativa (GDPR, D.Lgs 231, AML) né alterano i presidi di controllo esistenti. La maggiore precisione terminologica nei titoli delle attività contribuisce a ridurre marginalmente il rischio di ambiguità interpretativa durante l'esecuzione del processo.</w:t>
      </w:r>
    </w:p>
    <w:p>
      <w:pPr>
        <w:pStyle w:val="Heading2"/>
      </w:pPr>
      <w:r>
        <w:t>5. ⚠️ ANOMALIE E INCONGRUENZE</w:t>
      </w:r>
    </w:p>
    <w:p>
      <w:r>
        <w:t>Dall'analisi critica dei contenuti non emergono anomalie.</w:t>
      </w:r>
    </w:p>
    <w:p>
      <w:pPr>
        <w:pStyle w:val="ListBullet"/>
      </w:pPr>
      <w:r>
        <w:t xml:space="preserve">  </w:t>
      </w:r>
      <w:r>
        <w:rPr>
          <w:b/>
        </w:rPr>
        <w:t>Esecutori e Sistemi</w:t>
      </w:r>
      <w:r>
        <w:t>: Non avendo subito variazioni, rimangono coerenti con il contesto aziendale precedentemente censito.</w:t>
      </w:r>
    </w:p>
    <w:p>
      <w:pPr>
        <w:pStyle w:val="ListBullet"/>
      </w:pPr>
      <w:r>
        <w:t xml:space="preserve">  </w:t>
      </w:r>
      <w:r>
        <w:rPr>
          <w:b/>
        </w:rPr>
        <w:t>Coerenza Semantica</w:t>
      </w:r>
      <w:r>
        <w:t>: I nuovi titoli utilizzano una terminologia standard del settore assicurativo ("archivio storico", "ente gestore competente", "denuncia sinistro") e appaiono plausibili e professionali. Non sono stati rilevati placeholder o testi di test.</w:t>
      </w:r>
    </w:p>
    <w:p>
      <w:pPr>
        <w:pStyle w:val="Heading2"/>
      </w:pPr>
      <w:r>
        <w:t>6. RECOMMENDATIONS</w:t>
      </w:r>
    </w:p>
    <w:p>
      <w:r>
        <w:t>Non sono necessarie azioni correttive o interventi di formazione specifici, data l'entità minima delle modifiche. Si suggerisce unicamente di verificare che eventuali manuali operativi o istruzioni di dettaglio collegate siano allineati alla nuova terminologia dei titoli per garantire piena coerenza documentale.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