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2.2.3.BHC Gestione dell'accordo commerciale -&gt; 2.2.3.BHC Gestione dell'accordo commerciale</w:t>
      </w:r>
    </w:p>
    <w:p>
      <w:pPr>
        <w:jc w:val="center"/>
      </w:pPr>
      <w:r>
        <w:rPr>
          <w:color w:val="666666"/>
          <w:sz w:val="20"/>
        </w:rPr>
        <w:t>Data: 30/01/2026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12 -&gt; 13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0.0% -&gt; 6.2%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0.04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r>
        <w:t xml:space="preserve">Ecco il report di analisi comparativa per il processo </w:t>
      </w:r>
      <w:r>
        <w:rPr>
          <w:b/>
        </w:rPr>
        <w:t>2.2.3.BHC Gestione dell'accordo commerciale</w:t>
      </w:r>
      <w:r>
        <w:t>.</w:t>
      </w:r>
    </w:p>
    <w:p>
      <w:pPr>
        <w:pStyle w:val="Heading2"/>
      </w:pPr>
      <w:r>
        <w:t>1. EXECUTIVE SUMMARY</w:t>
      </w:r>
    </w:p>
    <w:p>
      <w:r>
        <w:t>L'analisi del processo evidenzia una situazione critica e altamente anomala. Sebbene le metriche quantitative indichino una variazione strutturale nulla (nessuna attività aggiunta o rimossa), il contenuto qualitativo delle modifiche suggerisce l'inserimento di dati di test, placeholder o contenuti non professionali nel sistema di produzione. Il processo risulta formalmente invariato nella struttura, ma sostanzialmente compromesso nella sua integrità documentale.</w:t>
      </w:r>
    </w:p>
    <w:p>
      <w:pPr>
        <w:pStyle w:val="Heading2"/>
      </w:pPr>
      <w:r>
        <w:t>2. QUANTITATIVE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Bassa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+1</w:t>
            </w:r>
          </w:p>
        </w:tc>
        <w:tc>
          <w:tcPr>
            <w:tcW w:type="dxa" w:w="2880"/>
          </w:tcPr>
          <w:p>
            <w:r/>
            <w:r>
              <w:t>Incremento minimo dei passaggi di mano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0.0% → 6.2%</w:t>
            </w:r>
          </w:p>
        </w:tc>
        <w:tc>
          <w:tcPr>
            <w:tcW w:type="dxa" w:w="2880"/>
          </w:tcPr>
          <w:p>
            <w:r/>
            <w:r>
              <w:t>Apparente trend positivo verso la digitalizzazione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Process Change Score</w:t>
            </w:r>
          </w:p>
        </w:tc>
        <w:tc>
          <w:tcPr>
            <w:tcW w:type="dxa" w:w="2880"/>
          </w:tcPr>
          <w:p>
            <w:r/>
            <w:r>
              <w:t>0.04</w:t>
            </w:r>
          </w:p>
        </w:tc>
        <w:tc>
          <w:tcPr>
            <w:tcW w:type="dxa" w:w="2880"/>
          </w:tcPr>
          <w:p>
            <w:r/>
            <w:r>
              <w:t>Basso (Livello calcolato)</w:t>
            </w:r>
          </w:p>
        </w:tc>
      </w:tr>
    </w:tbl>
    <w:p>
      <w:pPr>
        <w:pStyle w:val="Heading2"/>
      </w:pPr>
      <w:r>
        <w:t>2.1 REVISIONE SEMANTICA DELLE METRICHE</w:t>
      </w:r>
    </w:p>
    <w:p>
      <w:r>
        <w:rPr>
          <w:b/>
        </w:rPr>
        <w:t>Valutazione NON confermata.</w:t>
      </w:r>
      <w:r>
        <w:t xml:space="preserve"> Nonostante il PCS calcolato sia "Basso" (0.04), l'impatto reale è </w:t>
      </w:r>
      <w:r>
        <w:rPr>
          <w:b/>
        </w:rPr>
        <w:t>Alto</w:t>
      </w:r>
      <w:r>
        <w:t>.</w:t>
      </w:r>
    </w:p>
    <w:p>
      <w:r>
        <w:t>Le metriche quantitative non riflettono la gravità delle modifiche semantiche. L'inserimento di esecutori fittizi e descrizioni fuori contesto invalida la funzione di controllo e governance del documento. La rimozione di unità critiche come "GROUP PRIVACY" a favore di nomi di fantasia rappresenta un rischio di compliance immediato.</w:t>
      </w:r>
    </w:p>
    <w:p>
      <w:pPr>
        <w:pStyle w:val="Heading2"/>
      </w:pPr>
      <w:r>
        <w:t>3. DETAILED CHANGE ANALYSIS</w:t>
      </w:r>
    </w:p>
    <w:p>
      <w:pPr>
        <w:pStyle w:val="Heading3"/>
      </w:pPr>
      <w:r>
        <w:t>3.2 Organizational Changes</w:t>
      </w:r>
    </w:p>
    <w:p>
      <w:r>
        <w:t>Si rileva una sostituzione totale di unità organizzative reali con entità non censite e palesemente fittizie:</w:t>
      </w:r>
    </w:p>
    <w:p>
      <w:pPr>
        <w:pStyle w:val="ListBullet"/>
      </w:pPr>
      <w:r>
        <w:t xml:space="preserve">  </w:t>
      </w:r>
      <w:r>
        <w:rPr>
          <w:b/>
        </w:rPr>
        <w:t>Attività 120:</w:t>
      </w:r>
      <w:r>
        <w:t xml:space="preserve"> L'esecutore passa da *BUSINESS DEVELOPMENT - Ufficio* a *PIPPO E MINNIE - Team Animazione*.</w:t>
      </w:r>
    </w:p>
    <w:p>
      <w:pPr>
        <w:pStyle w:val="ListBullet"/>
      </w:pPr>
      <w:r>
        <w:t xml:space="preserve">  </w:t>
      </w:r>
      <w:r>
        <w:rPr>
          <w:b/>
        </w:rPr>
        <w:t>Attività 040:</w:t>
      </w:r>
      <w:r>
        <w:t xml:space="preserve"> L'esecutore passa da *GROUP PRIVACY - Office* a *PLUTO - Ufficio Fantasia*.</w:t>
      </w:r>
    </w:p>
    <w:p>
      <w:r>
        <w:t>Questo cambiamento elimina la responsabilità formale di funzioni chiave (Sviluppo Business e Privacy).</w:t>
      </w:r>
    </w:p>
    <w:p>
      <w:pPr>
        <w:pStyle w:val="Heading3"/>
      </w:pPr>
      <w:r>
        <w:t>3.3 Technological Changes</w:t>
      </w:r>
    </w:p>
    <w:p>
      <w:pPr>
        <w:pStyle w:val="ListBullet"/>
      </w:pPr>
      <w:r>
        <w:t xml:space="preserve">  </w:t>
      </w:r>
      <w:r>
        <w:rPr>
          <w:b/>
        </w:rPr>
        <w:t>Attività 090:</w:t>
      </w:r>
      <w:r>
        <w:t xml:space="preserve"> Viene introdotta l'automazione tramite i sistemi *PAPEROPOLI SYSTEM* e *TOPOLINIA CRM*. Sebbene la metrica di automazione salga al 6.2%, i sistemi indicati non risultano essere applicativi enterprise validi per il contesto assicurativo/societario.</w:t>
      </w:r>
    </w:p>
    <w:p>
      <w:pPr>
        <w:pStyle w:val="Heading3"/>
      </w:pPr>
      <w:r>
        <w:t>3.4 Content Changes (Descriptions/Titles)</w:t>
      </w:r>
    </w:p>
    <w:p>
      <w:pPr>
        <w:pStyle w:val="ListBullet"/>
      </w:pPr>
      <w:r>
        <w:t xml:space="preserve">  </w:t>
      </w:r>
      <w:r>
        <w:rPr>
          <w:b/>
        </w:rPr>
        <w:t>Attività 130 (Descrizione):</w:t>
      </w:r>
      <w:r>
        <w:t xml:space="preserve"> La modifica introduce riferimenti extra-aziendali ("ordinare una pizza margherita", "guarda la partita del Torino") che snaturano completamente la procedura operativa.</w:t>
      </w:r>
    </w:p>
    <w:p>
      <w:pPr>
        <w:pStyle w:val="ListBullet"/>
      </w:pPr>
      <w:r>
        <w:t xml:space="preserve">  </w:t>
      </w:r>
      <w:r>
        <w:rPr>
          <w:b/>
        </w:rPr>
        <w:t>Attività 160 (Titolo):</w:t>
      </w:r>
      <w:r>
        <w:t xml:space="preserve"> Il titolo è stato modificato includendo un'operazione incongruente ("lancio razzi spaziali") che non ha alcuna attinenza con l'archiviazione di contratti commerciali.</w:t>
      </w:r>
    </w:p>
    <w:p>
      <w:pPr>
        <w:pStyle w:val="Heading2"/>
      </w:pPr>
      <w:r>
        <w:t>4. RISK AND COMPLIANCE NOTES</w:t>
      </w:r>
    </w:p>
    <w:p>
      <w:pPr>
        <w:pStyle w:val="ListBullet"/>
      </w:pPr>
      <w:r>
        <w:t xml:space="preserve">  </w:t>
      </w:r>
      <w:r>
        <w:rPr>
          <w:b/>
        </w:rPr>
        <w:t>Rischio Compliance:</w:t>
      </w:r>
      <w:r>
        <w:t xml:space="preserve"> La rimozione dell'ufficio "GROUP PRIVACY" (Attività 040) da un processo di gestione accordi commerciali espone l'azienda a gravi rischi in termini di GDPR e normativa 231.</w:t>
      </w:r>
    </w:p>
    <w:p>
      <w:pPr>
        <w:pStyle w:val="ListBullet"/>
      </w:pPr>
      <w:r>
        <w:t xml:space="preserve">  </w:t>
      </w:r>
      <w:r>
        <w:rPr>
          <w:b/>
        </w:rPr>
        <w:t>Integrità del Dato:</w:t>
      </w:r>
      <w:r>
        <w:t xml:space="preserve"> La presenza di testi di test in un ambiente di documentazione ufficiale suggerisce una falla nei processi di approvazione e pubblicazione delle modifiche.</w:t>
      </w:r>
    </w:p>
    <w:p>
      <w:pPr>
        <w:pStyle w:val="ListBullet"/>
      </w:pPr>
      <w:r>
        <w:t xml:space="preserve">  </w:t>
      </w:r>
      <w:r>
        <w:rPr>
          <w:b/>
        </w:rPr>
        <w:t>Audit Trail:</w:t>
      </w:r>
      <w:r>
        <w:t xml:space="preserve"> Le modifiche apportate rendono il processo non auditabile e privo di valore legale/organizzativo.</w:t>
      </w:r>
    </w:p>
    <w:p>
      <w:pPr>
        <w:pStyle w:val="Heading2"/>
      </w:pPr>
      <w:r>
        <w:t>5. ⚠️ ANOMALIE E INCONGRUENZE</w:t>
      </w:r>
    </w:p>
    <w:p>
      <w:r>
        <w:t>L'analisi rileva anomalie critiche su tutti i campi modificati. I contenuti sono palesemente incoerenti con un contesto professionale.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Codice Attività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Campo Anomalo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Descrizione Anomalia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Raccomandazione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130</w:t>
            </w:r>
          </w:p>
        </w:tc>
        <w:tc>
          <w:tcPr>
            <w:tcW w:type="dxa" w:w="2160"/>
          </w:tcPr>
          <w:p>
            <w:r/>
            <w:r>
              <w:t>Descrizione</w:t>
            </w:r>
          </w:p>
        </w:tc>
        <w:tc>
          <w:tcPr>
            <w:tcW w:type="dxa" w:w="2160"/>
          </w:tcPr>
          <w:p>
            <w:r/>
            <w:r>
              <w:t>Inserimento di attività personali/ludiche (pizza, partita di calcio).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Bloccare e ripristinare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120</w:t>
            </w:r>
          </w:p>
        </w:tc>
        <w:tc>
          <w:tcPr>
            <w:tcW w:type="dxa" w:w="2160"/>
          </w:tcPr>
          <w:p>
            <w:r/>
            <w:r>
              <w:t>Esecutore</w:t>
            </w:r>
          </w:p>
        </w:tc>
        <w:tc>
          <w:tcPr>
            <w:tcW w:type="dxa" w:w="2160"/>
          </w:tcPr>
          <w:p>
            <w:r/>
            <w:r>
              <w:t>"PIPPO E MINNIE - Team Animazione" è un nome di fantasia.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Verifica identità autore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040</w:t>
            </w:r>
          </w:p>
        </w:tc>
        <w:tc>
          <w:tcPr>
            <w:tcW w:type="dxa" w:w="2160"/>
          </w:tcPr>
          <w:p>
            <w:r/>
            <w:r>
              <w:t>Esecutore</w:t>
            </w:r>
          </w:p>
        </w:tc>
        <w:tc>
          <w:tcPr>
            <w:tcW w:type="dxa" w:w="2160"/>
          </w:tcPr>
          <w:p>
            <w:r/>
            <w:r>
              <w:t>"PLUTO - Ufficio Fantasia" sostituisce una funzione di controllo (Privacy).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Ripristino immediato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160</w:t>
            </w:r>
          </w:p>
        </w:tc>
        <w:tc>
          <w:tcPr>
            <w:tcW w:type="dxa" w:w="2160"/>
          </w:tcPr>
          <w:p>
            <w:r/>
            <w:r>
              <w:t>Titolo</w:t>
            </w:r>
          </w:p>
        </w:tc>
        <w:tc>
          <w:tcPr>
            <w:tcW w:type="dxa" w:w="2160"/>
          </w:tcPr>
          <w:p>
            <w:r/>
            <w:r>
              <w:t>Riferimento a "lancio razzi spaziali" totalmente fuori contesto.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Correzione titolo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090</w:t>
            </w:r>
          </w:p>
        </w:tc>
        <w:tc>
          <w:tcPr>
            <w:tcW w:type="dxa" w:w="2160"/>
          </w:tcPr>
          <w:p>
            <w:r/>
            <w:r>
              <w:t>Sistema IT</w:t>
            </w:r>
          </w:p>
        </w:tc>
        <w:tc>
          <w:tcPr>
            <w:tcW w:type="dxa" w:w="2160"/>
          </w:tcPr>
          <w:p>
            <w:r/>
            <w:r>
              <w:t>"PAPEROPOLI SYSTEM" e "TOPOLINIA CRM" sono nomi fittizi.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Censimento sistemi reali</w:t>
            </w:r>
          </w:p>
        </w:tc>
      </w:tr>
    </w:tbl>
    <w:p>
      <w:pPr>
        <w:pStyle w:val="Heading2"/>
      </w:pPr>
      <w:r>
        <w:t>6. RECOMMENDATIONS</w:t>
      </w:r>
    </w:p>
    <w:p>
      <w:pPr>
        <w:pStyle w:val="ListNumber"/>
      </w:pPr>
      <w:r>
        <w:t xml:space="preserve"> </w:t>
      </w:r>
      <w:r>
        <w:rPr>
          <w:b/>
        </w:rPr>
        <w:t>Rollback Immediato:</w:t>
      </w:r>
      <w:r>
        <w:t xml:space="preserve"> Ripristinare la versione As-Is del processo per garantire la continuità operativa e la compliance.</w:t>
      </w:r>
    </w:p>
    <w:p>
      <w:pPr>
        <w:pStyle w:val="ListNumber"/>
      </w:pPr>
      <w:r>
        <w:t xml:space="preserve"> </w:t>
      </w:r>
      <w:r>
        <w:rPr>
          <w:b/>
        </w:rPr>
        <w:t>Investigazione:</w:t>
      </w:r>
      <w:r>
        <w:t xml:space="preserve"> Identificare l'utente o il sistema che ha inserito tali dati per determinare se si tratti di un errore umano (test in produzione) o di una violazione dell'integrità dei dati.</w:t>
      </w:r>
    </w:p>
    <w:p>
      <w:pPr>
        <w:pStyle w:val="ListNumber"/>
      </w:pPr>
      <w:r>
        <w:t xml:space="preserve"> </w:t>
      </w:r>
      <w:r>
        <w:rPr>
          <w:b/>
        </w:rPr>
        <w:t>Revisione Workflow Approvativo:</w:t>
      </w:r>
      <w:r>
        <w:t xml:space="preserve"> Verificare come tali modifiche abbiano potuto superare la fase di validazione senza essere intercettate.</w:t>
      </w:r>
    </w:p>
    <w:p>
      <w:pPr>
        <w:pStyle w:val="ListNumber"/>
      </w:pPr>
      <w:r>
        <w:t xml:space="preserve"> </w:t>
      </w:r>
      <w:r>
        <w:rPr>
          <w:b/>
        </w:rPr>
        <w:t>Formazione:</w:t>
      </w:r>
      <w:r>
        <w:t xml:space="preserve"> Sensibilizzare il personale sull'importanza della documentazione dei processi come strumento di controllo interno.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