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Analisi Comparativa</w:t>
      </w:r>
    </w:p>
    <w:p>
      <w:pPr>
        <w:jc w:val="center"/>
      </w:pPr>
      <w:r>
        <w:rPr>
          <w:i/>
          <w:sz w:val="24"/>
        </w:rPr>
        <w:t>1.4.2 Gestione e risoluzione delle data issue -&gt; 1.4.2 Gestione e risoluzione delle data issue</w:t>
      </w:r>
    </w:p>
    <w:p>
      <w:pPr>
        <w:jc w:val="center"/>
      </w:pPr>
      <w:r>
        <w:rPr>
          <w:color w:val="666666"/>
          <w:sz w:val="20"/>
        </w:rPr>
        <w:t>Data: 10/02/2026</w:t>
      </w:r>
    </w:p>
    <w:p/>
    <w:p>
      <w:pPr>
        <w:pStyle w:val="Heading2"/>
      </w:pPr>
      <w:r>
        <w:t>1. RIEPILOGO</w:t>
      </w:r>
    </w:p>
    <w:p>
      <w:r>
        <w:t>Il processo "1.4.2 Gestione e risoluzione delle data issue" ha subito modifiche strutturali e di contenuto, con un aumento del numero di attività. Sono state aggiunte due nuove attività, [040] Analisi dell'issue e individuazione della soluzione e [060] Chiusura incident e comunicazione agli interessati, portando il totale delle attività da 3 a 5. L'attività [030] Registrazione incident e assegnazione priorità ha visto una modifica della sua descrizione, specificando l'etichettatura come "issue" e l'assegnazione di priorità. Tutte le attività esistenti e quelle nuove sono ora gestite dall'unità organizzativa "GDO - DATA GOVERNANCE - Ufficio", che sostituisce la precedente "DO - DATA GOVERNANCE - Ufficio", senza impattare il numero di passaggi di responsabilità.</w:t>
      </w:r>
    </w:p>
    <w:p>
      <w:pPr>
        <w:pStyle w:val="Heading2"/>
      </w:pPr>
      <w:r>
        <w:t>2.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Valutazione</w:t>
            </w:r>
          </w:p>
        </w:tc>
      </w:tr>
      <w:tr>
        <w:tc>
          <w:tcPr>
            <w:tcW w:type="dxa" w:w="2880"/>
          </w:tcPr>
          <w:p>
            <w:r/>
            <w:r>
              <w:t>Volatility Index</w:t>
            </w:r>
          </w:p>
        </w:tc>
        <w:tc>
          <w:tcPr>
            <w:tcW w:type="dxa" w:w="2880"/>
          </w:tcPr>
          <w:p>
            <w:r/>
            <w:r>
              <w:t>66.67%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Handover Delta</w:t>
            </w:r>
          </w:p>
        </w:tc>
        <w:tc>
          <w:tcPr>
            <w:tcW w:type="dxa" w:w="2880"/>
          </w:tcPr>
          <w:p>
            <w:r/>
            <w:r>
              <w:t>0 (1 -&gt; 1)</w:t>
            </w:r>
          </w:p>
        </w:tc>
        <w:tc>
          <w:tcPr>
            <w:tcW w:type="dxa" w:w="2880"/>
          </w:tcPr>
          <w:p>
            <w:r/>
            <w:r>
              <w:t>Invariato</w:t>
            </w:r>
          </w:p>
        </w:tc>
      </w:tr>
      <w:tr>
        <w:tc>
          <w:tcPr>
            <w:tcW w:type="dxa" w:w="2880"/>
          </w:tcPr>
          <w:p>
            <w:r/>
            <w:r>
              <w:t>Automation Rate</w:t>
            </w:r>
          </w:p>
        </w:tc>
        <w:tc>
          <w:tcPr>
            <w:tcW w:type="dxa" w:w="2880"/>
          </w:tcPr>
          <w:p>
            <w:r/>
            <w:r>
              <w:t>33.3% → 60.0%</w:t>
            </w:r>
          </w:p>
        </w:tc>
        <w:tc>
          <w:tcPr>
            <w:tcW w:type="dxa" w:w="2880"/>
          </w:tcPr>
          <w:p>
            <w:r/>
            <w:r>
              <w:t>In aumento di 26.7 punti percentuali</w:t>
            </w:r>
          </w:p>
        </w:tc>
      </w:tr>
      <w:tr>
        <w:tc>
          <w:tcPr>
            <w:tcW w:type="dxa" w:w="2880"/>
            <w:shd w:fill="FFF3CD"/>
          </w:tcPr>
          <w:p>
            <w:r>
              <w:rPr>
                <w:b/>
              </w:rPr>
            </w:r>
            <w:r>
              <w:rPr>
                <w:b/>
              </w:rPr>
              <w:t>Process Change Score</w:t>
            </w:r>
          </w:p>
        </w:tc>
        <w:tc>
          <w:tcPr>
            <w:tcW w:type="dxa" w:w="2880"/>
            <w:shd w:fill="FFF3CD"/>
          </w:tcPr>
          <w:p>
            <w:r/>
            <w:r>
              <w:t>0.36</w:t>
            </w:r>
          </w:p>
        </w:tc>
        <w:tc>
          <w:tcPr>
            <w:tcW w:type="dxa" w:w="2880"/>
            <w:shd w:fill="FFF3CD"/>
          </w:tcPr>
          <w:p>
            <w:r/>
            <w:r>
              <w:t>Medio</w:t>
            </w:r>
          </w:p>
        </w:tc>
      </w:tr>
    </w:tbl>
    <w:p>
      <w:pPr>
        <w:pStyle w:val="Heading2"/>
      </w:pPr>
      <w:r>
        <w:t>3. DETTAGLIO MODIFICHE</w:t>
      </w:r>
    </w:p>
    <w:p>
      <w:pPr>
        <w:pStyle w:val="Heading3"/>
      </w:pPr>
      <w:r>
        <w:t>3.1 Modifiche Strutturali</w:t>
      </w:r>
    </w:p>
    <w:p>
      <w:pPr>
        <w:pStyle w:val="ListBullet"/>
      </w:pPr>
      <w:r>
        <w:t xml:space="preserve">  </w:t>
      </w:r>
      <w:r>
        <w:rPr>
          <w:b/>
        </w:rPr>
        <w:t>Attività aggiunte</w:t>
      </w:r>
      <w:r>
        <w:t>:</w:t>
      </w:r>
    </w:p>
    <w:p>
      <w:pPr>
        <w:pStyle w:val="ListBullet"/>
      </w:pPr>
      <w:r>
        <w:t xml:space="preserve">  [060] Chiusura incident e comunicazione agli interessati - Questa attività formalizza la chiusura dell'incident e la comunicazione dell'esito agli interessati tramite strumenti aziendali. È collegata all'evento finale del processo, "[fine] Evento finale (dopo Chiusura incident e comunicazione agli interessati)".</w:t>
      </w:r>
    </w:p>
    <w:p>
      <w:pPr>
        <w:pStyle w:val="ListBullet"/>
      </w:pPr>
      <w:r>
        <w:t xml:space="preserve">  [040] Analisi dell'issue e individuazione della soluzione - Questa attività prevede il coinvolgimento del CDO Network e di altre funzioni per identificare la soluzione migliore, con la possibilità di aprire segnalazioni correttive o evolutive e riclassificare l'issue.</w:t>
      </w:r>
    </w:p>
    <w:p>
      <w:pPr>
        <w:pStyle w:val="Heading3"/>
      </w:pPr>
      <w:r>
        <w:t>3.2 Modifiche di Contenuto</w:t>
      </w:r>
    </w:p>
    <w:p>
      <w:pPr>
        <w:pStyle w:val="ListBullet"/>
      </w:pPr>
      <w:r>
        <w:t xml:space="preserve">  [030] Registrazione incident e assegnazione priorità: descrizione modificata - La nuova descrizione specifica che l'addetto censisce la segnalazione su uno strumento di pianificazione di ufficio, etichettandola come "issue" e assegnando una priorità ("alta", "media" o "bassa"). Precedentemente, la descrizione indicava solo il censimento della segnalazione.</w:t>
      </w:r>
    </w:p>
    <w:p>
      <w:pPr>
        <w:pStyle w:val="Heading3"/>
      </w:pPr>
      <w:r>
        <w:t>3.3 Modifiche Organizzative</w:t>
      </w:r>
    </w:p>
    <w:p>
      <w:pPr>
        <w:pStyle w:val="ListBullet"/>
      </w:pPr>
      <w:r>
        <w:t xml:space="preserve">  </w:t>
      </w:r>
      <w:r>
        <w:rPr>
          <w:b/>
        </w:rPr>
        <w:t>Unità organizzative rimosse</w:t>
      </w:r>
      <w:r>
        <w:t>:</w:t>
      </w:r>
    </w:p>
    <w:p>
      <w:pPr>
        <w:pStyle w:val="ListBullet"/>
      </w:pPr>
      <w:r>
        <w:t xml:space="preserve">  DO - DATA GOVERNANCE - Ufficio: non più presente nel processo.</w:t>
      </w:r>
    </w:p>
    <w:p>
      <w:pPr>
        <w:pStyle w:val="ListBullet"/>
      </w:pPr>
      <w:r>
        <w:t xml:space="preserve">  DO - DATA GOVERNANCE - Ufficio: non più presente nel processo.</w:t>
      </w:r>
    </w:p>
    <w:p>
      <w:pPr>
        <w:pStyle w:val="ListBullet"/>
      </w:pPr>
      <w:r>
        <w:t xml:space="preserve">  </w:t>
      </w:r>
      <w:r>
        <w:rPr>
          <w:b/>
        </w:rPr>
        <w:t>Unità organizzative aggiunte</w:t>
      </w:r>
      <w:r>
        <w:t>:</w:t>
      </w:r>
    </w:p>
    <w:p>
      <w:pPr>
        <w:pStyle w:val="ListBullet"/>
      </w:pPr>
      <w:r>
        <w:t xml:space="preserve">  GDO - DATA GOVERNANCE - Ufficio: gestisce [030], [040], [060].</w:t>
      </w:r>
    </w:p>
    <w:p>
      <w:pPr>
        <w:pStyle w:val="ListBullet"/>
      </w:pPr>
      <w:r>
        <w:t xml:space="preserve">  GDO - DATA GOVERNANCE - Ufficio: gestisce [010], [020].</w:t>
      </w:r>
    </w:p>
    <w:p>
      <w:pPr>
        <w:pStyle w:val="ListBullet"/>
      </w:pPr>
      <w:r>
        <w:t xml:space="preserve">  </w:t>
      </w:r>
      <w:r>
        <w:rPr>
          <w:b/>
        </w:rPr>
        <w:t>Unità organizzative con modifiche di competenza</w:t>
      </w:r>
      <w:r>
        <w:t>:</w:t>
      </w:r>
    </w:p>
    <w:p>
      <w:pPr>
        <w:pStyle w:val="ListBullet"/>
      </w:pPr>
      <w:r>
        <w:t xml:space="preserve">  Tutte le attività precedentemente assegnate a "DO - DATA GOVERNANCE - Ufficio" ([010], [020], [030]) sono ora assegnate a "GDO - DATA GOVERNANCE - Ufficio". Le nuove attività [040] e [060] sono anch'esse assegnate a "GDO - DATA GOVERNANCE - Ufficio". Questo indica una ridenominazione o riorganizzazione interna dell'unità responsabile per l'intero processo.</w:t>
      </w:r>
    </w:p>
    <w:p>
      <w:pPr>
        <w:pStyle w:val="Heading3"/>
      </w:pPr>
      <w:r>
        <w:t>3.4 Modifiche Tecnologiche</w:t>
      </w:r>
    </w:p>
    <w:p>
      <w:pPr>
        <w:pStyle w:val="ListBullet"/>
      </w:pPr>
      <w:r>
        <w:t xml:space="preserve">  [030] Registrazione incident e assegnazione priorità: applicativo da "EASYVISTA" a "EASYVISTA Planner" - Il sistema utilizzato per il censimento e l'assegnazione delle priorità è stato aggiornato o specificato come "EASYVISTA Planner".</w:t>
      </w:r>
    </w:p>
    <w:p>
      <w:pPr>
        <w:pStyle w:val="ListBullet"/>
      </w:pPr>
      <w:r>
        <w:t xml:space="preserve">  [060] Chiusura incident e comunicazione agli interessati: applicativo aggiunto "Planner EASYVISTA" - Questo nuovo applicativo è utilizzato per la gestione della chiusura dell'incident e la comunicazione agli interessati.</w:t>
      </w:r>
    </w:p>
    <w:p>
      <w:pPr>
        <w:pStyle w:val="ListBullet"/>
      </w:pPr>
      <w:r>
        <w:t xml:space="preserve">  [040] Analisi dell'issue e individuazione della soluzione: applicativo aggiunto "Planner" - Questo sistema è utilizzato per la pianificazione e la gestione delle attività legate all'analisi dell'issue e all'individuazione della soluzione.</w:t>
      </w:r>
    </w:p>
    <w:p/>
    <w:p>
      <w:pPr>
        <w:pStyle w:val="Heading2"/>
      </w:pPr>
      <w:r>
        <w:t>LEGENDA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Descrizione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Soglie</w:t>
            </w:r>
          </w:p>
        </w:tc>
      </w:tr>
      <w:tr>
        <w:tc>
          <w:tcPr>
            <w:tcW w:type="dxa" w:w="2880"/>
          </w:tcPr>
          <w:p>
            <w:r>
              <w:t>Volatility Index</w:t>
            </w:r>
          </w:p>
        </w:tc>
        <w:tc>
          <w:tcPr>
            <w:tcW w:type="dxa" w:w="2880"/>
          </w:tcPr>
          <w:p>
            <w:r>
              <w:t>Percentuale di attività aggiunte o rimosse rispetto al totale originale</w:t>
            </w:r>
          </w:p>
        </w:tc>
        <w:tc>
          <w:tcPr>
            <w:tcW w:type="dxa" w:w="2880"/>
          </w:tcPr>
          <w:p>
            <w:r>
              <w:t>0-10% Bassa | 11-30% Media | &gt;30% Alta</w:t>
            </w:r>
          </w:p>
        </w:tc>
      </w:tr>
      <w:tr>
        <w:tc>
          <w:tcPr>
            <w:tcW w:type="dxa" w:w="2880"/>
          </w:tcPr>
          <w:p>
            <w:r>
              <w:t>Handover Delta</w:t>
            </w:r>
          </w:p>
        </w:tc>
        <w:tc>
          <w:tcPr>
            <w:tcW w:type="dxa" w:w="2880"/>
          </w:tcPr>
          <w:p>
            <w:r>
              <w:t>Variazione nei passaggi tra unità organizzative diverse</w:t>
            </w:r>
          </w:p>
        </w:tc>
        <w:tc>
          <w:tcPr>
            <w:tcW w:type="dxa" w:w="2880"/>
          </w:tcPr>
          <w:p>
            <w:r>
              <w:t>Positivo = più frammentazione</w:t>
            </w:r>
          </w:p>
        </w:tc>
      </w:tr>
      <w:tr>
        <w:tc>
          <w:tcPr>
            <w:tcW w:type="dxa" w:w="2880"/>
          </w:tcPr>
          <w:p>
            <w:r>
              <w:t>Automation Rate</w:t>
            </w:r>
          </w:p>
        </w:tc>
        <w:tc>
          <w:tcPr>
            <w:tcW w:type="dxa" w:w="2880"/>
          </w:tcPr>
          <w:p>
            <w:r>
              <w:t>Percentuale di attività supportate da sistemi IT</w:t>
            </w:r>
          </w:p>
        </w:tc>
        <w:tc>
          <w:tcPr>
            <w:tcW w:type="dxa" w:w="2880"/>
          </w:tcPr>
          <w:p>
            <w:r>
              <w:t>Variazione indica digitalizzazione</w:t>
            </w:r>
          </w:p>
        </w:tc>
      </w:tr>
      <w:tr>
        <w:tc>
          <w:tcPr>
            <w:tcW w:type="dxa" w:w="2880"/>
          </w:tcPr>
          <w:p>
            <w:r>
              <w:t>Process Change Score</w:t>
            </w:r>
          </w:p>
        </w:tc>
        <w:tc>
          <w:tcPr>
            <w:tcW w:type="dxa" w:w="2880"/>
          </w:tcPr>
          <w:p>
            <w:r>
              <w:t>Indice composito di impatto del cambiamento</w:t>
            </w:r>
          </w:p>
        </w:tc>
        <w:tc>
          <w:tcPr>
            <w:tcW w:type="dxa" w:w="2880"/>
          </w:tcPr>
          <w:p>
            <w:r>
              <w:t>&lt;0.2 Basso | 0.2-0.5 Medio | &gt;0.5 Alto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