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Report di Analisi Comparativa</w:t>
      </w:r>
    </w:p>
    <w:p>
      <w:pPr>
        <w:jc w:val="center"/>
      </w:pPr>
      <w:r>
        <w:rPr>
          <w:i/>
          <w:sz w:val="24"/>
        </w:rPr>
        <w:t>ITA - Auto Ricarica monte sconti -&gt; ITA - Auto Ricarica monte sconti</w:t>
      </w:r>
    </w:p>
    <w:p>
      <w:pPr>
        <w:jc w:val="center"/>
      </w:pPr>
      <w:r>
        <w:rPr>
          <w:color w:val="666666"/>
          <w:sz w:val="20"/>
        </w:rPr>
        <w:t>Data: 06/02/2026</w:t>
      </w:r>
    </w:p>
    <w:p/>
    <w:p>
      <w:pPr>
        <w:pStyle w:val="Heading2"/>
      </w:pPr>
      <w:r>
        <w:t>1. RIEPILOGO</w:t>
      </w:r>
    </w:p>
    <w:p>
      <w:r>
        <w:t>Il processo `ITA - Auto Ricarica monte sconti` ha subito una completa revisione, con la rimozione di tutte le 8 attività presenti nella versione As-Is. Tra le attività rimosse figurano passaggi chiave come `[010] Richiesta ricarica montesconti`, `[030] Analisi richiesta` e `[050] 1B - Richieste di competenza - Valutazione richiesta`. Questa eliminazione totale delle attività ha portato a un Handover Delta di -2 (da 2 a 0) e a una diminuzione dell'Automation Rate dal 100% allo 0%. Data l'entità delle modifiche strutturali, il processo richiede revisione in audit.</w:t>
      </w:r>
    </w:p>
    <w:p>
      <w:pPr>
        <w:pStyle w:val="Heading2"/>
      </w:pPr>
      <w:r>
        <w:t>2. METRICHE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5A7C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Metrica</w:t>
            </w:r>
          </w:p>
        </w:tc>
        <w:tc>
          <w:tcPr>
            <w:tcW w:type="dxa" w:w="2880"/>
            <w:shd w:fill="2E5A7C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Valore</w:t>
            </w:r>
          </w:p>
        </w:tc>
        <w:tc>
          <w:tcPr>
            <w:tcW w:type="dxa" w:w="2880"/>
            <w:shd w:fill="2E5A7C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Valutazione</w:t>
            </w:r>
          </w:p>
        </w:tc>
      </w:tr>
      <w:tr>
        <w:tc>
          <w:tcPr>
            <w:tcW w:type="dxa" w:w="2880"/>
          </w:tcPr>
          <w:p>
            <w:r/>
            <w:r>
              <w:t>Volatility Index</w:t>
            </w:r>
          </w:p>
        </w:tc>
        <w:tc>
          <w:tcPr>
            <w:tcW w:type="dxa" w:w="2880"/>
          </w:tcPr>
          <w:p>
            <w:r/>
            <w:r>
              <w:t>100.0%</w:t>
            </w:r>
          </w:p>
        </w:tc>
        <w:tc>
          <w:tcPr>
            <w:tcW w:type="dxa" w:w="2880"/>
          </w:tcPr>
          <w:p>
            <w:r/>
            <w:r>
              <w:t>Alta</w:t>
            </w:r>
          </w:p>
        </w:tc>
      </w:tr>
      <w:tr>
        <w:tc>
          <w:tcPr>
            <w:tcW w:type="dxa" w:w="2880"/>
          </w:tcPr>
          <w:p>
            <w:r/>
            <w:r>
              <w:t>Handover Delta</w:t>
            </w:r>
          </w:p>
        </w:tc>
        <w:tc>
          <w:tcPr>
            <w:tcW w:type="dxa" w:w="2880"/>
          </w:tcPr>
          <w:p>
            <w:r/>
            <w:r>
              <w:t>-2 (2 -&gt; 0)</w:t>
            </w:r>
          </w:p>
        </w:tc>
        <w:tc>
          <w:tcPr>
            <w:tcW w:type="dxa" w:w="2880"/>
          </w:tcPr>
          <w:p>
            <w:r/>
            <w:r>
              <w:t>In diminuzione di 2 passaggi</w:t>
            </w:r>
          </w:p>
        </w:tc>
      </w:tr>
      <w:tr>
        <w:tc>
          <w:tcPr>
            <w:tcW w:type="dxa" w:w="2880"/>
          </w:tcPr>
          <w:p>
            <w:r/>
            <w:r>
              <w:t>Automation Rate</w:t>
            </w:r>
          </w:p>
        </w:tc>
        <w:tc>
          <w:tcPr>
            <w:tcW w:type="dxa" w:w="2880"/>
          </w:tcPr>
          <w:p>
            <w:r/>
            <w:r>
              <w:t>100.0% → 0.0%</w:t>
            </w:r>
          </w:p>
        </w:tc>
        <w:tc>
          <w:tcPr>
            <w:tcW w:type="dxa" w:w="2880"/>
          </w:tcPr>
          <w:p>
            <w:r/>
            <w:r>
              <w:t>In diminuzione di 100 punti percentuali</w:t>
            </w:r>
          </w:p>
        </w:tc>
      </w:tr>
      <w:tr>
        <w:tc>
          <w:tcPr>
            <w:tcW w:type="dxa" w:w="2880"/>
            <w:shd w:fill="FFF3CD"/>
          </w:tcPr>
          <w:p>
            <w:r>
              <w:rPr>
                <w:b/>
              </w:rPr>
            </w:r>
            <w:r>
              <w:rPr>
                <w:b/>
              </w:rPr>
              <w:t>Process Change Score</w:t>
            </w:r>
          </w:p>
        </w:tc>
        <w:tc>
          <w:tcPr>
            <w:tcW w:type="dxa" w:w="2880"/>
            <w:shd w:fill="FFF3CD"/>
          </w:tcPr>
          <w:p>
            <w:r/>
            <w:r>
              <w:t>1.0</w:t>
            </w:r>
          </w:p>
        </w:tc>
        <w:tc>
          <w:tcPr>
            <w:tcW w:type="dxa" w:w="2880"/>
            <w:shd w:fill="FFF3CD"/>
          </w:tcPr>
          <w:p>
            <w:r/>
            <w:r>
              <w:t>Alto</w:t>
            </w:r>
          </w:p>
        </w:tc>
      </w:tr>
    </w:tbl>
    <w:p>
      <w:pPr>
        <w:pStyle w:val="Heading2"/>
      </w:pPr>
      <w:r>
        <w:t>3. DETTAGLIO MODIFICHE</w:t>
      </w:r>
    </w:p>
    <w:p>
      <w:pPr>
        <w:pStyle w:val="Heading3"/>
      </w:pPr>
      <w:r>
        <w:t>3.1 Modifiche Strutturali</w:t>
      </w:r>
    </w:p>
    <w:p>
      <w:r>
        <w:rPr>
          <w:b/>
        </w:rPr>
        <w:t>Attività rimosse</w:t>
      </w:r>
      <w:r>
        <w:t>:</w:t>
      </w:r>
    </w:p>
    <w:p>
      <w:pPr>
        <w:pStyle w:val="ListBullet"/>
      </w:pPr>
      <w:r>
        <w:t xml:space="preserve">  `[010] Richiesta ricarica montesconti`: L'attività iniziale, in cui l'agente predisponeva la richiesta di ricarica del montesconti aprendo manualmente un ticket sull'applicativo ISAAC, è stata rimossa.</w:t>
      </w:r>
    </w:p>
    <w:p>
      <w:pPr>
        <w:pStyle w:val="ListBullet"/>
      </w:pPr>
      <w:r>
        <w:t xml:space="preserve">  `[080] Chiusura richiesta`: L'attività automatica di chiusura del ticket, che informava l'intermediario sull'esito della richiesta di ricarica, è stata rimossa.</w:t>
      </w:r>
    </w:p>
    <w:p>
      <w:pPr>
        <w:pStyle w:val="ListBullet"/>
      </w:pPr>
      <w:r>
        <w:t xml:space="preserve">  `[040] 1A - Richieste riservate Direzione - Inoltro richiesta`: L'attività di inoltro manuale del ticket alla Direzione tramite l'applicativo di gestione richieste è stata rimossa.</w:t>
      </w:r>
    </w:p>
    <w:p>
      <w:pPr>
        <w:pStyle w:val="ListBullet"/>
      </w:pPr>
      <w:r>
        <w:t xml:space="preserve">  `[050] 1B - Richieste di competenza - Valutazione richiesta`: L'attività di valutazione e approvazione/diniego della ricarica montesconti, che includeva l'accredito tramite applicativo e la registrazione su file Excel, è stata rimossa.</w:t>
      </w:r>
    </w:p>
    <w:p>
      <w:pPr>
        <w:pStyle w:val="ListBullet"/>
      </w:pPr>
      <w:r>
        <w:t xml:space="preserve">  `[060] Verificare file di scarico Montesconti`: L'attività di verifica della coerenza degli importi erogati e la consultazione dello scarico Excel prodotto dall'applicativo sono state rimosse.</w:t>
      </w:r>
    </w:p>
    <w:p>
      <w:pPr>
        <w:pStyle w:val="ListBullet"/>
      </w:pPr>
      <w:r>
        <w:t xml:space="preserve">  `[030] Analisi richiesta`: L'attività di analisi delle richieste di ricarica montesconti, che prevedeva la gestione di diverse tipologie e l'eventuale inoltro alla Direzione in base a specifici criteri, è stata rimossa.</w:t>
      </w:r>
    </w:p>
    <w:p>
      <w:pPr>
        <w:pStyle w:val="ListBullet"/>
      </w:pPr>
      <w:r>
        <w:t xml:space="preserve">  `[070] Verificare Importi di sconto utilizzati`: L'attività quindicinale di verifica degli importi di sconto utilizzati tramite analisi del file Excel e controllo della coerenza con le linee assuntive di business è stata rimossa.</w:t>
      </w:r>
    </w:p>
    <w:p>
      <w:pPr>
        <w:pStyle w:val="ListBullet"/>
      </w:pPr>
      <w:r>
        <w:t xml:space="preserve">  `[020] Richiesta ricarica montesconti`: L'attività di predisposizione della richiesta di ricarica del montesconti da parte degli Specialisti Vendite e Regional Account Manager, tramite e-mail o apertura di ticket, è stata rimossa.</w:t>
      </w:r>
    </w:p>
    <w:p/>
    <w:p>
      <w:pPr>
        <w:pStyle w:val="Heading2"/>
      </w:pPr>
      <w:r>
        <w:t>LEGENDA METRICHE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5A7C"/>
          </w:tcPr>
          <w:p>
            <w:r>
              <w:rPr>
                <w:b/>
                <w:color w:val="FFFFFF"/>
              </w:rPr>
              <w:t>Metrica</w:t>
            </w:r>
          </w:p>
        </w:tc>
        <w:tc>
          <w:tcPr>
            <w:tcW w:type="dxa" w:w="2880"/>
            <w:shd w:fill="2E5A7C"/>
          </w:tcPr>
          <w:p>
            <w:r>
              <w:rPr>
                <w:b/>
                <w:color w:val="FFFFFF"/>
              </w:rPr>
              <w:t>Descrizione</w:t>
            </w:r>
          </w:p>
        </w:tc>
        <w:tc>
          <w:tcPr>
            <w:tcW w:type="dxa" w:w="2880"/>
            <w:shd w:fill="2E5A7C"/>
          </w:tcPr>
          <w:p>
            <w:r>
              <w:rPr>
                <w:b/>
                <w:color w:val="FFFFFF"/>
              </w:rPr>
              <w:t>Soglie</w:t>
            </w:r>
          </w:p>
        </w:tc>
      </w:tr>
      <w:tr>
        <w:tc>
          <w:tcPr>
            <w:tcW w:type="dxa" w:w="2880"/>
          </w:tcPr>
          <w:p>
            <w:r>
              <w:t>Volatility Index</w:t>
            </w:r>
          </w:p>
        </w:tc>
        <w:tc>
          <w:tcPr>
            <w:tcW w:type="dxa" w:w="2880"/>
          </w:tcPr>
          <w:p>
            <w:r>
              <w:t>Percentuale di attività aggiunte o rimosse rispetto al totale originale</w:t>
            </w:r>
          </w:p>
        </w:tc>
        <w:tc>
          <w:tcPr>
            <w:tcW w:type="dxa" w:w="2880"/>
          </w:tcPr>
          <w:p>
            <w:r>
              <w:t>0-10% Bassa | 11-30% Media | &gt;30% Alta</w:t>
            </w:r>
          </w:p>
        </w:tc>
      </w:tr>
      <w:tr>
        <w:tc>
          <w:tcPr>
            <w:tcW w:type="dxa" w:w="2880"/>
          </w:tcPr>
          <w:p>
            <w:r>
              <w:t>Handover Delta</w:t>
            </w:r>
          </w:p>
        </w:tc>
        <w:tc>
          <w:tcPr>
            <w:tcW w:type="dxa" w:w="2880"/>
          </w:tcPr>
          <w:p>
            <w:r>
              <w:t>Variazione nei passaggi tra unità organizzative diverse</w:t>
            </w:r>
          </w:p>
        </w:tc>
        <w:tc>
          <w:tcPr>
            <w:tcW w:type="dxa" w:w="2880"/>
          </w:tcPr>
          <w:p>
            <w:r>
              <w:t>Positivo = più frammentazione</w:t>
            </w:r>
          </w:p>
        </w:tc>
      </w:tr>
      <w:tr>
        <w:tc>
          <w:tcPr>
            <w:tcW w:type="dxa" w:w="2880"/>
          </w:tcPr>
          <w:p>
            <w:r>
              <w:t>Automation Rate</w:t>
            </w:r>
          </w:p>
        </w:tc>
        <w:tc>
          <w:tcPr>
            <w:tcW w:type="dxa" w:w="2880"/>
          </w:tcPr>
          <w:p>
            <w:r>
              <w:t>Percentuale di attività supportate da sistemi IT</w:t>
            </w:r>
          </w:p>
        </w:tc>
        <w:tc>
          <w:tcPr>
            <w:tcW w:type="dxa" w:w="2880"/>
          </w:tcPr>
          <w:p>
            <w:r>
              <w:t>Variazione indica digitalizzazione</w:t>
            </w:r>
          </w:p>
        </w:tc>
      </w:tr>
      <w:tr>
        <w:tc>
          <w:tcPr>
            <w:tcW w:type="dxa" w:w="2880"/>
          </w:tcPr>
          <w:p>
            <w:r>
              <w:t>Process Change Score</w:t>
            </w:r>
          </w:p>
        </w:tc>
        <w:tc>
          <w:tcPr>
            <w:tcW w:type="dxa" w:w="2880"/>
          </w:tcPr>
          <w:p>
            <w:r>
              <w:t>Indice composito di impatto del cambiamento</w:t>
            </w:r>
          </w:p>
        </w:tc>
        <w:tc>
          <w:tcPr>
            <w:tcW w:type="dxa" w:w="2880"/>
          </w:tcPr>
          <w:p>
            <w:r>
              <w:t>&lt;0.2 Basso | 0.2-0.5 Medio | &gt;0.5 Alto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