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 di Analisi Comparativa</w:t>
      </w:r>
    </w:p>
    <w:p>
      <w:pPr>
        <w:jc w:val="center"/>
      </w:pPr>
      <w:r>
        <w:rPr>
          <w:i/>
          <w:sz w:val="24"/>
        </w:rPr>
        <w:t>ITA - Auto Ricarica monte sconti -&gt; ITA - Auto Ricarica monte sconti</w:t>
      </w:r>
    </w:p>
    <w:p>
      <w:pPr>
        <w:jc w:val="center"/>
      </w:pPr>
      <w:r>
        <w:rPr>
          <w:color w:val="666666"/>
          <w:sz w:val="20"/>
        </w:rPr>
        <w:t>Data: 06/02/2026</w:t>
      </w:r>
    </w:p>
    <w:p/>
    <w:p>
      <w:pPr>
        <w:pStyle w:val="Heading2"/>
      </w:pPr>
      <w:r>
        <w:t>1. RIEPILOGO</w:t>
      </w:r>
    </w:p>
    <w:p>
      <w:r>
        <w:t>Il processo "ITA - Auto Ricarica monte sconti" non presenta alcuna variazione tra la versione As-Is e To-Be. Non sono state rilevate attività aggiunte, rimosse, modificate o riordinate. Analogamente, non si registrano cambiamenti negli esecutori delle attività o nei sistemi IT utilizzati. Le metriche di processo riflettono questa stabilità, indicando un'assenza totale di modifiche strutturali o di contenuto.</w:t>
      </w:r>
    </w:p>
    <w:p>
      <w:pPr>
        <w:pStyle w:val="Heading2"/>
      </w:pPr>
      <w:r>
        <w:t>2. METRICHE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Metrica</w:t>
            </w:r>
          </w:p>
        </w:tc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Valore</w:t>
            </w:r>
          </w:p>
        </w:tc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Valutazione</w:t>
            </w:r>
          </w:p>
        </w:tc>
      </w:tr>
      <w:tr>
        <w:tc>
          <w:tcPr>
            <w:tcW w:type="dxa" w:w="2880"/>
          </w:tcPr>
          <w:p>
            <w:r/>
            <w:r>
              <w:t>Volatility Index</w:t>
            </w:r>
          </w:p>
        </w:tc>
        <w:tc>
          <w:tcPr>
            <w:tcW w:type="dxa" w:w="2880"/>
          </w:tcPr>
          <w:p>
            <w:r/>
            <w:r>
              <w:t>0.0%</w:t>
            </w:r>
          </w:p>
        </w:tc>
        <w:tc>
          <w:tcPr>
            <w:tcW w:type="dxa" w:w="2880"/>
          </w:tcPr>
          <w:p>
            <w:r/>
            <w:r>
              <w:t>Bassa</w:t>
            </w:r>
          </w:p>
        </w:tc>
      </w:tr>
      <w:tr>
        <w:tc>
          <w:tcPr>
            <w:tcW w:type="dxa" w:w="2880"/>
          </w:tcPr>
          <w:p>
            <w:r/>
            <w:r>
              <w:t>Handover Delta</w:t>
            </w:r>
          </w:p>
        </w:tc>
        <w:tc>
          <w:tcPr>
            <w:tcW w:type="dxa" w:w="2880"/>
          </w:tcPr>
          <w:p>
            <w:r/>
            <w:r>
              <w:t>0 (0 -&gt; 0)</w:t>
            </w:r>
          </w:p>
        </w:tc>
        <w:tc>
          <w:tcPr>
            <w:tcW w:type="dxa" w:w="2880"/>
          </w:tcPr>
          <w:p>
            <w:r/>
            <w:r>
              <w:t>Invariato</w:t>
            </w:r>
          </w:p>
        </w:tc>
      </w:tr>
      <w:tr>
        <w:tc>
          <w:tcPr>
            <w:tcW w:type="dxa" w:w="2880"/>
          </w:tcPr>
          <w:p>
            <w:r/>
            <w:r>
              <w:t>Automation Rate</w:t>
            </w:r>
          </w:p>
        </w:tc>
        <w:tc>
          <w:tcPr>
            <w:tcW w:type="dxa" w:w="2880"/>
          </w:tcPr>
          <w:p>
            <w:r/>
            <w:r>
              <w:t>0.0% → 0.0%</w:t>
            </w:r>
          </w:p>
        </w:tc>
        <w:tc>
          <w:tcPr>
            <w:tcW w:type="dxa" w:w="2880"/>
          </w:tcPr>
          <w:p>
            <w:r/>
            <w:r>
              <w:t>Stabile</w:t>
            </w:r>
          </w:p>
        </w:tc>
      </w:tr>
      <w:tr>
        <w:tc>
          <w:tcPr>
            <w:tcW w:type="dxa" w:w="2880"/>
            <w:shd w:fill="FFF3CD"/>
          </w:tcPr>
          <w:p>
            <w:r>
              <w:rPr>
                <w:b/>
              </w:rPr>
            </w:r>
            <w:r>
              <w:rPr>
                <w:b/>
              </w:rPr>
              <w:t>Process Change Score</w:t>
            </w:r>
          </w:p>
        </w:tc>
        <w:tc>
          <w:tcPr>
            <w:tcW w:type="dxa" w:w="2880"/>
            <w:shd w:fill="FFF3CD"/>
          </w:tcPr>
          <w:p>
            <w:r/>
            <w:r>
              <w:t>0.00</w:t>
            </w:r>
          </w:p>
        </w:tc>
        <w:tc>
          <w:tcPr>
            <w:tcW w:type="dxa" w:w="2880"/>
            <w:shd w:fill="FFF3CD"/>
          </w:tcPr>
          <w:p>
            <w:r/>
            <w:r>
              <w:t>Basso</w:t>
            </w:r>
          </w:p>
        </w:tc>
      </w:tr>
    </w:tbl>
    <w:p/>
    <w:p>
      <w:pPr>
        <w:pStyle w:val="Heading2"/>
      </w:pPr>
      <w:r>
        <w:t>LEGENDA METRICHE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  <w:t>Metrica</w:t>
            </w:r>
          </w:p>
        </w:tc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  <w:t>Descrizione</w:t>
            </w:r>
          </w:p>
        </w:tc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  <w:t>Soglie</w:t>
            </w:r>
          </w:p>
        </w:tc>
      </w:tr>
      <w:tr>
        <w:tc>
          <w:tcPr>
            <w:tcW w:type="dxa" w:w="2880"/>
          </w:tcPr>
          <w:p>
            <w:r>
              <w:t>Volatility Index</w:t>
            </w:r>
          </w:p>
        </w:tc>
        <w:tc>
          <w:tcPr>
            <w:tcW w:type="dxa" w:w="2880"/>
          </w:tcPr>
          <w:p>
            <w:r>
              <w:t>Percentuale di attività aggiunte o rimosse rispetto al totale originale</w:t>
            </w:r>
          </w:p>
        </w:tc>
        <w:tc>
          <w:tcPr>
            <w:tcW w:type="dxa" w:w="2880"/>
          </w:tcPr>
          <w:p>
            <w:r>
              <w:t>0-10% Bassa | 11-30% Media | &gt;30% Alta</w:t>
            </w:r>
          </w:p>
        </w:tc>
      </w:tr>
      <w:tr>
        <w:tc>
          <w:tcPr>
            <w:tcW w:type="dxa" w:w="2880"/>
          </w:tcPr>
          <w:p>
            <w:r>
              <w:t>Handover Delta</w:t>
            </w:r>
          </w:p>
        </w:tc>
        <w:tc>
          <w:tcPr>
            <w:tcW w:type="dxa" w:w="2880"/>
          </w:tcPr>
          <w:p>
            <w:r>
              <w:t>Variazione nei passaggi tra unità organizzative diverse</w:t>
            </w:r>
          </w:p>
        </w:tc>
        <w:tc>
          <w:tcPr>
            <w:tcW w:type="dxa" w:w="2880"/>
          </w:tcPr>
          <w:p>
            <w:r>
              <w:t>Positivo = più frammentazione</w:t>
            </w:r>
          </w:p>
        </w:tc>
      </w:tr>
      <w:tr>
        <w:tc>
          <w:tcPr>
            <w:tcW w:type="dxa" w:w="2880"/>
          </w:tcPr>
          <w:p>
            <w:r>
              <w:t>Automation Rate</w:t>
            </w:r>
          </w:p>
        </w:tc>
        <w:tc>
          <w:tcPr>
            <w:tcW w:type="dxa" w:w="2880"/>
          </w:tcPr>
          <w:p>
            <w:r>
              <w:t>Percentuale di attività supportate da sistemi IT</w:t>
            </w:r>
          </w:p>
        </w:tc>
        <w:tc>
          <w:tcPr>
            <w:tcW w:type="dxa" w:w="2880"/>
          </w:tcPr>
          <w:p>
            <w:r>
              <w:t>Variazione indica digitalizzazione</w:t>
            </w:r>
          </w:p>
        </w:tc>
      </w:tr>
      <w:tr>
        <w:tc>
          <w:tcPr>
            <w:tcW w:type="dxa" w:w="2880"/>
          </w:tcPr>
          <w:p>
            <w:r>
              <w:t>Process Change Score</w:t>
            </w:r>
          </w:p>
        </w:tc>
        <w:tc>
          <w:tcPr>
            <w:tcW w:type="dxa" w:w="2880"/>
          </w:tcPr>
          <w:p>
            <w:r>
              <w:t>Indice composito di impatto del cambiamento</w:t>
            </w:r>
          </w:p>
        </w:tc>
        <w:tc>
          <w:tcPr>
            <w:tcW w:type="dxa" w:w="2880"/>
          </w:tcPr>
          <w:p>
            <w:r>
              <w:t>&lt;0.2 Basso | 0.2-0.5 Medio | &gt;0.5 Alto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