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 di Analisi Comparativa</w:t>
      </w:r>
    </w:p>
    <w:p>
      <w:pPr>
        <w:jc w:val="center"/>
      </w:pPr>
      <w:r>
        <w:rPr>
          <w:i/>
          <w:sz w:val="24"/>
        </w:rPr>
        <w:t>2.7.1.02 Incentivazione commerciale -&gt; 2.7.1.02 Incentivazione commerciale</w:t>
      </w:r>
    </w:p>
    <w:p>
      <w:pPr>
        <w:jc w:val="center"/>
      </w:pPr>
      <w:r>
        <w:rPr>
          <w:color w:val="666666"/>
          <w:sz w:val="20"/>
        </w:rPr>
        <w:t>Data: 09/02/2026</w:t>
      </w:r>
    </w:p>
    <w:p/>
    <w:p>
      <w:r>
        <w:t>## Report di Confronto Processo</w:t>
      </w:r>
    </w:p>
    <w:p>
      <w:pPr>
        <w:pStyle w:val="Heading2"/>
      </w:pPr>
      <w:r>
        <w:t>1. RIEPILOGO</w:t>
      </w:r>
    </w:p>
    <w:p>
      <w:r>
        <w:t>Il processo "2.7.1.02 Incentivazione commerciale" ha subito modifiche strutturali significative con l'introduzione di 11 nuove attività e la modifica di un'attività esistente. Queste aggiunte riguardano principalmente la gestione dei premi, la definizione del regolamento, gli adempimenti fiscali e la relazione con i partecipanti e i fornitori. L'incremento delle attività e l'introduzione di nuove unità organizzative, come "Trade Marketing ed Eventi" e "Fornitore esterno", hanno portato a un aumento dell'Handover Delta di 10 unità, indicando una maggiore frammentazione dei passaggi tra diverse unità. La percentuale di automazione del processo registra una leggera diminuzione, passando dal 14.3% all'11.1%.</w:t>
      </w:r>
    </w:p>
    <w:p>
      <w:pPr>
        <w:pStyle w:val="Heading2"/>
      </w:pPr>
      <w:r>
        <w:t>2.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Valore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Valutazione</w:t>
            </w:r>
          </w:p>
        </w:tc>
      </w:tr>
      <w:tr>
        <w:tc>
          <w:tcPr>
            <w:tcW w:type="dxa" w:w="2880"/>
          </w:tcPr>
          <w:p>
            <w:r/>
            <w:r>
              <w:t>Volatility Index</w:t>
            </w:r>
          </w:p>
        </w:tc>
        <w:tc>
          <w:tcPr>
            <w:tcW w:type="dxa" w:w="2880"/>
          </w:tcPr>
          <w:p>
            <w:r/>
            <w:r>
              <w:t>157.14%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Handover Delta</w:t>
            </w:r>
          </w:p>
        </w:tc>
        <w:tc>
          <w:tcPr>
            <w:tcW w:type="dxa" w:w="2880"/>
          </w:tcPr>
          <w:p>
            <w:r/>
            <w:r>
              <w:t>+10 (0 -&gt; 10)</w:t>
            </w:r>
          </w:p>
        </w:tc>
        <w:tc>
          <w:tcPr>
            <w:tcW w:type="dxa" w:w="2880"/>
          </w:tcPr>
          <w:p>
            <w:r/>
            <w:r>
              <w:t>Aumento significativo dei passaggi tra unità organizzative</w:t>
            </w:r>
          </w:p>
        </w:tc>
      </w:tr>
      <w:tr>
        <w:tc>
          <w:tcPr>
            <w:tcW w:type="dxa" w:w="2880"/>
          </w:tcPr>
          <w:p>
            <w:r/>
            <w:r>
              <w:t>Automation Rate</w:t>
            </w:r>
          </w:p>
        </w:tc>
        <w:tc>
          <w:tcPr>
            <w:tcW w:type="dxa" w:w="2880"/>
          </w:tcPr>
          <w:p>
            <w:r/>
            <w:r>
              <w:t>14.3% → 11.1%</w:t>
            </w:r>
          </w:p>
        </w:tc>
        <w:tc>
          <w:tcPr>
            <w:tcW w:type="dxa" w:w="2880"/>
          </w:tcPr>
          <w:p>
            <w:r/>
            <w:r>
              <w:t>In diminuzione di 3.2 punti percentuali</w:t>
            </w:r>
          </w:p>
        </w:tc>
      </w:tr>
      <w:tr>
        <w:tc>
          <w:tcPr>
            <w:tcW w:type="dxa" w:w="2880"/>
            <w:shd w:fill="FFF3CD"/>
          </w:tcPr>
          <w:p>
            <w:r>
              <w:rPr>
                <w:b/>
              </w:rPr>
            </w:r>
            <w:r>
              <w:rPr>
                <w:b/>
              </w:rPr>
              <w:t>Process Change Score</w:t>
            </w:r>
          </w:p>
        </w:tc>
        <w:tc>
          <w:tcPr>
            <w:tcW w:type="dxa" w:w="2880"/>
            <w:shd w:fill="FFF3CD"/>
          </w:tcPr>
          <w:p>
            <w:r/>
            <w:r>
              <w:t>0.90</w:t>
            </w:r>
          </w:p>
        </w:tc>
        <w:tc>
          <w:tcPr>
            <w:tcW w:type="dxa" w:w="2880"/>
            <w:shd w:fill="FFF3CD"/>
          </w:tcPr>
          <w:p>
            <w:r/>
            <w:r>
              <w:t>Alto</w:t>
            </w:r>
          </w:p>
        </w:tc>
      </w:tr>
    </w:tbl>
    <w:p>
      <w:pPr>
        <w:pStyle w:val="Heading2"/>
      </w:pPr>
      <w:r>
        <w:t>3. DETTAGLIO MODIFICHE</w:t>
      </w:r>
    </w:p>
    <w:p>
      <w:pPr>
        <w:pStyle w:val="Heading3"/>
      </w:pPr>
      <w:r>
        <w:t>3.1 Modifiche Strutturali</w:t>
      </w:r>
    </w:p>
    <w:p>
      <w:r>
        <w:t>Il processo è stato arricchito con l'introduzione di numerose nuove attività, focalizzate sull'espansione della gestione dei contest e dei premi:</w:t>
      </w:r>
    </w:p>
    <w:p>
      <w:pPr>
        <w:pStyle w:val="ListBullet"/>
      </w:pPr>
      <w:r>
        <w:t xml:space="preserve">  </w:t>
      </w:r>
      <w:r>
        <w:rPr>
          <w:b/>
        </w:rPr>
        <w:t>Attività aggiunte</w:t>
      </w:r>
      <w:r>
        <w:t>:</w:t>
      </w:r>
    </w:p>
    <w:p>
      <w:pPr>
        <w:pStyle w:val="ListBullet"/>
      </w:pPr>
      <w:r>
        <w:t xml:space="preserve">  [070] Richiesta fidejussione - L'operatore richiede una fidejussione come garanzia per la consegna dei premi.</w:t>
      </w:r>
    </w:p>
    <w:p>
      <w:pPr>
        <w:pStyle w:val="ListBullet"/>
      </w:pPr>
      <w:r>
        <w:t xml:space="preserve">  [340] Gestione rapporti con fornitore catalogo premi - L'incaricato gestisce i rapporti con il fornitore per reclami o richieste sui premi.</w:t>
      </w:r>
    </w:p>
    <w:p>
      <w:pPr>
        <w:pStyle w:val="ListBullet"/>
      </w:pPr>
      <w:r>
        <w:t xml:space="preserve">  [080] Deposito Regolamento al Ministero - Il consulente esterno deposita la versione definitiva del regolamento al Ministero, attivata dalla finalizzazione del regolamento.</w:t>
      </w:r>
    </w:p>
    <w:p>
      <w:pPr>
        <w:pStyle w:val="ListBullet"/>
      </w:pPr>
      <w:r>
        <w:t xml:space="preserve">  [020] Definizione ammontare valore premi - L'operatore definisce il valore e la tipologia dei premi, supportato da una società esterna.</w:t>
      </w:r>
    </w:p>
    <w:p>
      <w:pPr>
        <w:pStyle w:val="ListBullet"/>
      </w:pPr>
      <w:r>
        <w:t xml:space="preserve">  [200] Pubblicazione classifiche finali provvisorie - L'incaricato carica le classifiche sul sito, attivata dall'evento 'Dati ricevuti dal fornitore' o 'Comunicazione dati disponibili'.</w:t>
      </w:r>
    </w:p>
    <w:p>
      <w:pPr>
        <w:pStyle w:val="ListBullet"/>
      </w:pPr>
      <w:r>
        <w:t xml:space="preserve">  [370] Scelta modalità di donazione monte premi non erogato - L'incaricato decide l'ente e le modalità di donazione per i premi non assegnati.</w:t>
      </w:r>
    </w:p>
    <w:p>
      <w:pPr>
        <w:pStyle w:val="ListBullet"/>
      </w:pPr>
      <w:r>
        <w:t xml:space="preserve">  [390] Versamento imposte (IVA /Imposta sostitutiva) - L'ufficio Trade Marketing ed Eventi invia un modulo per il pagamento delle tasse sui premi erogati.</w:t>
      </w:r>
    </w:p>
    <w:p>
      <w:pPr>
        <w:pStyle w:val="ListBullet"/>
      </w:pPr>
      <w:r>
        <w:t xml:space="preserve">  [410] Certificazione dati contabili - Viene redatto un documento per certificare la congruità della spesa dei premi erogati.</w:t>
      </w:r>
    </w:p>
    <w:p>
      <w:pPr>
        <w:pStyle w:val="ListBullet"/>
      </w:pPr>
      <w:r>
        <w:t xml:space="preserve">  [270] Versamento imposte (IRPEF) - L'ufficio Trade Marketing ed Eventi predispone documenti per il pagamento dell'acconto IRPEF sui premi.</w:t>
      </w:r>
    </w:p>
    <w:p>
      <w:pPr>
        <w:pStyle w:val="ListBullet"/>
      </w:pPr>
      <w:r>
        <w:t xml:space="preserve">  [360] Predisposizione ed invio rendicontazione sui premi erogati - L'outsourcer predispone e invia un documento di rendicontazione dei premi erogati.</w:t>
      </w:r>
    </w:p>
    <w:p>
      <w:pPr>
        <w:pStyle w:val="ListBullet"/>
      </w:pPr>
      <w:r>
        <w:t xml:space="preserve">  [350] Gestione relazione con i partecipanti - L'operatore gestisce richieste e segnalazioni dei partecipanti, attivata dall'evento 'Comunicazione'.</w:t>
      </w:r>
    </w:p>
    <w:p>
      <w:pPr>
        <w:pStyle w:val="Heading3"/>
      </w:pPr>
      <w:r>
        <w:t>3.2 Modifiche di Contenuto</w:t>
      </w:r>
    </w:p>
    <w:p>
      <w:r>
        <w:t>È stata rilevata una modifica significativa nel contenuto di un'attività esistente:</w:t>
      </w:r>
    </w:p>
    <w:p>
      <w:pPr>
        <w:pStyle w:val="ListBullet"/>
      </w:pPr>
      <w:r>
        <w:t xml:space="preserve">  [060] Stesura definitiva regolamento contest:</w:t>
      </w:r>
    </w:p>
    <w:p>
      <w:pPr>
        <w:pStyle w:val="ListBullet"/>
      </w:pPr>
      <w:r>
        <w:t xml:space="preserve">  Titolo modificato da "Verificare contenuti del sito esterno" a "Stesura definitiva regolamento contest".</w:t>
      </w:r>
    </w:p>
    <w:p>
      <w:pPr>
        <w:pStyle w:val="ListBullet"/>
      </w:pPr>
      <w:r>
        <w:t xml:space="preserve">  Descrizione modificata - La precedente attività di verifica dei contenuti del sito esterno è stata sostituita dalla stesura della versione definitiva del regolamento, che include l'integrazione delle correzioni dal GDL Contest e la successiva validazione della Direzione Commerciale. Questa attività può essere seguita dall'evento 'Materiale pronto per verifica'.</w:t>
      </w:r>
    </w:p>
    <w:p>
      <w:pPr>
        <w:pStyle w:val="Heading3"/>
      </w:pPr>
      <w:r>
        <w:t>3.3 Modifiche Organizzative</w:t>
      </w:r>
    </w:p>
    <w:p>
      <w:r>
        <w:t>Sono state introdotte nuove unità organizzative e sono state modificate le competenze di unità esistenti per gestire le nuove attività:</w:t>
      </w:r>
    </w:p>
    <w:p>
      <w:pPr>
        <w:pStyle w:val="ListBullet"/>
      </w:pPr>
      <w:r>
        <w:t xml:space="preserve">  </w:t>
      </w:r>
      <w:r>
        <w:rPr>
          <w:b/>
        </w:rPr>
        <w:t>Unità organizzative aggiunte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Trade Marketing ed Eventi</w:t>
      </w:r>
      <w:r>
        <w:t>: gestisce [390] Versamento imposte (IVA /Imposta sostitutiva), [410] Certificazione dati contabili, [270] Versamento imposte (IRPEF).</w:t>
      </w:r>
    </w:p>
    <w:p>
      <w:pPr>
        <w:pStyle w:val="ListBullet"/>
      </w:pPr>
      <w:r>
        <w:t xml:space="preserve">  </w:t>
      </w:r>
      <w:r>
        <w:rPr>
          <w:b/>
        </w:rPr>
        <w:t>SVILUPPO WELFARE E CONTEST – Ufficio fornitore esterno - Agenzia di Comunicazine</w:t>
      </w:r>
      <w:r>
        <w:t>: gestisce [350] Gestione relazione con i partecipanti.</w:t>
      </w:r>
    </w:p>
    <w:p>
      <w:pPr>
        <w:pStyle w:val="ListBullet"/>
      </w:pPr>
      <w:r>
        <w:t xml:space="preserve">  </w:t>
      </w:r>
      <w:r>
        <w:rPr>
          <w:b/>
        </w:rPr>
        <w:t>AGENZIA DI COMUNICAZIONE</w:t>
      </w:r>
      <w:r>
        <w:t>: gestisce [360] Predisposizione ed invio rendicontazione sui premi erogati.</w:t>
      </w:r>
    </w:p>
    <w:p>
      <w:pPr>
        <w:pStyle w:val="ListBullet"/>
      </w:pPr>
      <w:r>
        <w:t xml:space="preserve">  </w:t>
      </w:r>
      <w:r>
        <w:rPr>
          <w:b/>
        </w:rPr>
        <w:t>Fornitore esterno</w:t>
      </w:r>
      <w:r>
        <w:t>: gestisce [080] Deposito Regolamento al Ministero, [200] Pubblicazione classifiche finali provvisorie.</w:t>
      </w:r>
    </w:p>
    <w:p>
      <w:pPr>
        <w:pStyle w:val="ListBullet"/>
      </w:pPr>
      <w:r>
        <w:t xml:space="preserve">  </w:t>
      </w:r>
      <w:r>
        <w:rPr>
          <w:b/>
        </w:rPr>
        <w:t>Unità organizzative con modifiche di competenza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SVILUPPO WELFARE E CONTEST - Ufficio</w:t>
      </w:r>
      <w:r>
        <w:t>: acquisisce le attività [070] Richiesta fidejussione, [340] Gestione rapporti con fornitore catalogo premi, [020] Definizione ammontare valore premi, [370] Scelta modalità di donazione monte premi non erogato.</w:t>
      </w:r>
    </w:p>
    <w:p>
      <w:pPr>
        <w:pStyle w:val="Heading3"/>
      </w:pPr>
      <w:r>
        <w:t>3.4 Modifiche Tecnologiche</w:t>
      </w:r>
    </w:p>
    <w:p>
      <w:r>
        <w:t>È stata rilevata l'introduzione di un nuovo applicativo informatico per una delle attività aggiunte:</w:t>
      </w:r>
    </w:p>
    <w:p>
      <w:pPr>
        <w:pStyle w:val="ListBullet"/>
      </w:pPr>
      <w:r>
        <w:t xml:space="preserve">  [200] Pubblicazione classifiche finali provvisorie: applicativo aggiunto </w:t>
      </w:r>
      <w:r>
        <w:rPr>
          <w:b/>
        </w:rPr>
        <w:t>Sito contest</w:t>
      </w:r>
      <w:r>
        <w:t xml:space="preserve"> - utilizzato per il caricamento e la pubblicazione delle classifiche finali provvisorie dei contest.</w:t>
      </w:r>
    </w:p>
    <w:p/>
    <w:p>
      <w:pPr>
        <w:pStyle w:val="Heading2"/>
      </w:pPr>
      <w:r>
        <w:t>LEGENDA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Descrizione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Soglie</w:t>
            </w:r>
          </w:p>
        </w:tc>
      </w:tr>
      <w:tr>
        <w:tc>
          <w:tcPr>
            <w:tcW w:type="dxa" w:w="2880"/>
          </w:tcPr>
          <w:p>
            <w:r>
              <w:t>Volatility Index</w:t>
            </w:r>
          </w:p>
        </w:tc>
        <w:tc>
          <w:tcPr>
            <w:tcW w:type="dxa" w:w="2880"/>
          </w:tcPr>
          <w:p>
            <w:r>
              <w:t>Percentuale di attività aggiunte o rimosse rispetto al totale originale</w:t>
            </w:r>
          </w:p>
        </w:tc>
        <w:tc>
          <w:tcPr>
            <w:tcW w:type="dxa" w:w="2880"/>
          </w:tcPr>
          <w:p>
            <w:r>
              <w:t>0-10% Bassa | 11-30% Media | &gt;30% Alta</w:t>
            </w:r>
          </w:p>
        </w:tc>
      </w:tr>
      <w:tr>
        <w:tc>
          <w:tcPr>
            <w:tcW w:type="dxa" w:w="2880"/>
          </w:tcPr>
          <w:p>
            <w:r>
              <w:t>Handover Delta</w:t>
            </w:r>
          </w:p>
        </w:tc>
        <w:tc>
          <w:tcPr>
            <w:tcW w:type="dxa" w:w="2880"/>
          </w:tcPr>
          <w:p>
            <w:r>
              <w:t>Variazione nei passaggi tra unità organizzative diverse</w:t>
            </w:r>
          </w:p>
        </w:tc>
        <w:tc>
          <w:tcPr>
            <w:tcW w:type="dxa" w:w="2880"/>
          </w:tcPr>
          <w:p>
            <w:r>
              <w:t>Positivo = più frammentazione</w:t>
            </w:r>
          </w:p>
        </w:tc>
      </w:tr>
      <w:tr>
        <w:tc>
          <w:tcPr>
            <w:tcW w:type="dxa" w:w="2880"/>
          </w:tcPr>
          <w:p>
            <w:r>
              <w:t>Automation Rate</w:t>
            </w:r>
          </w:p>
        </w:tc>
        <w:tc>
          <w:tcPr>
            <w:tcW w:type="dxa" w:w="2880"/>
          </w:tcPr>
          <w:p>
            <w:r>
              <w:t>Percentuale di attività supportate da sistemi IT</w:t>
            </w:r>
          </w:p>
        </w:tc>
        <w:tc>
          <w:tcPr>
            <w:tcW w:type="dxa" w:w="2880"/>
          </w:tcPr>
          <w:p>
            <w:r>
              <w:t>Variazione indica digitalizzazione</w:t>
            </w:r>
          </w:p>
        </w:tc>
      </w:tr>
      <w:tr>
        <w:tc>
          <w:tcPr>
            <w:tcW w:type="dxa" w:w="2880"/>
          </w:tcPr>
          <w:p>
            <w:r>
              <w:t>Process Change Score</w:t>
            </w:r>
          </w:p>
        </w:tc>
        <w:tc>
          <w:tcPr>
            <w:tcW w:type="dxa" w:w="2880"/>
          </w:tcPr>
          <w:p>
            <w:r>
              <w:t>Indice composito di impatto del cambiamento</w:t>
            </w:r>
          </w:p>
        </w:tc>
        <w:tc>
          <w:tcPr>
            <w:tcW w:type="dxa" w:w="2880"/>
          </w:tcPr>
          <w:p>
            <w:r>
              <w:t>&lt;0.2 Basso | 0.2-0.5 Medio | &gt;0.5 Alto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