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2.7.1.02 Incentivazione commerciale -&gt; 2.7.1.02 Incentivazione commerciale</w:t>
      </w:r>
    </w:p>
    <w:p>
      <w:pPr>
        <w:jc w:val="center"/>
      </w:pPr>
      <w:r>
        <w:rPr>
          <w:color w:val="666666"/>
          <w:sz w:val="20"/>
        </w:rPr>
        <w:t>Data: 10/02/2026</w:t>
      </w:r>
    </w:p>
    <w:p/>
    <w:p>
      <w:r>
        <w:t># Report di Comparazione Processo</w:t>
      </w:r>
    </w:p>
    <w:p>
      <w:r>
        <w:t>## Process Information</w:t>
      </w:r>
    </w:p>
    <w:p>
      <w:r>
        <w:rPr>
          <w:b/>
        </w:rPr>
        <w:t>Processo As-Is:</w:t>
      </w:r>
      <w:r>
        <w:t xml:space="preserve"> 2.7.1.02 Incentivazione commerciale</w:t>
      </w:r>
    </w:p>
    <w:p>
      <w:r>
        <w:rPr>
          <w:b/>
        </w:rPr>
        <w:t>Processo To-Be:</w:t>
      </w:r>
      <w:r>
        <w:t xml:space="preserve"> 2.7.1.02 Incentivazione commerciale</w:t>
      </w:r>
    </w:p>
    <w:p>
      <w:pPr>
        <w:pStyle w:val="Heading2"/>
      </w:pPr>
      <w:r>
        <w:t>1. RIEPILOGO</w:t>
      </w:r>
    </w:p>
    <w:p>
      <w:r>
        <w:t>Il processo "2.7.1.02 Incentivazione commerciale" ha subito un'espansione significativa, passando da 7 a 18 attività totali, con l'aggiunta di 11 nuove attività e la modifica di una esistente. Le nuove attività introducono fasi dettagliate per la definizione dei premi, la gestione fiscale e normativa, e le operazioni post-contest, come la `[070] Richiesta fidejussione` e il `[270] Versamento imposte (IRPEF)`. L'attività `[060]` è stata modificata nel titolo e nella descrizione, riflettendo un cambiamento di focus dalla verifica del sito alla `Stesura definitiva regolamento contest`. Queste modifiche comportano un notevole aumento dell'Handover Delta (+10), indicando una maggiore frammentazione e passaggi tra diverse unità organizzative.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157.14%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+10 (0 -&gt; 10)</w:t>
            </w:r>
          </w:p>
        </w:tc>
        <w:tc>
          <w:tcPr>
            <w:tcW w:type="dxa" w:w="2880"/>
          </w:tcPr>
          <w:p>
            <w:r/>
            <w:r>
              <w:t>Aumento significativo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14.3% → 11.1%</w:t>
            </w:r>
          </w:p>
        </w:tc>
        <w:tc>
          <w:tcPr>
            <w:tcW w:type="dxa" w:w="2880"/>
          </w:tcPr>
          <w:p>
            <w:r/>
            <w:r>
              <w:t>In diminuzione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0.90</w:t>
            </w:r>
          </w:p>
        </w:tc>
        <w:tc>
          <w:tcPr>
            <w:tcW w:type="dxa" w:w="2880"/>
            <w:shd w:fill="FFF3CD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 e di Contenuto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Codice</w:t>
            </w:r>
          </w:p>
        </w:tc>
        <w:tc>
          <w:tcPr>
            <w:tcW w:type="dxa" w:w="216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Titolo</w:t>
            </w:r>
          </w:p>
        </w:tc>
        <w:tc>
          <w:tcPr>
            <w:tcW w:type="dxa" w:w="216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Stato</w:t>
            </w:r>
          </w:p>
        </w:tc>
        <w:tc>
          <w:tcPr>
            <w:tcW w:type="dxa" w:w="216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Descrizione</w:t>
            </w:r>
          </w:p>
        </w:tc>
      </w:tr>
      <w:tr>
        <w:tc>
          <w:tcPr>
            <w:tcW w:type="dxa" w:w="2160"/>
          </w:tcPr>
          <w:p>
            <w:r/>
            <w:r>
              <w:t>[020]</w:t>
            </w:r>
          </w:p>
        </w:tc>
        <w:tc>
          <w:tcPr>
            <w:tcW w:type="dxa" w:w="2160"/>
          </w:tcPr>
          <w:p>
            <w:r/>
            <w:r>
              <w:t>Definizione ammontare valore premi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L'operatore definisce l'ammontare del valore dei premi e predispone la grafica e il materiale illustrativo. Esecutore: SVILUPPO WELFARE E CONTEST - Ufficio.</w:t>
            </w:r>
          </w:p>
        </w:tc>
      </w:tr>
      <w:tr>
        <w:tc>
          <w:tcPr>
            <w:tcW w:type="dxa" w:w="2160"/>
          </w:tcPr>
          <w:p>
            <w:r/>
            <w:r>
              <w:t>[060]</w:t>
            </w:r>
          </w:p>
        </w:tc>
        <w:tc>
          <w:tcPr>
            <w:tcW w:type="dxa" w:w="2160"/>
          </w:tcPr>
          <w:p>
            <w:r/>
            <w:r>
              <w:t>Stesura definitiva regolamento contest</w:t>
            </w:r>
          </w:p>
        </w:tc>
        <w:tc>
          <w:tcPr>
            <w:tcW w:type="dxa" w:w="2160"/>
          </w:tcPr>
          <w:p>
            <w:r/>
            <w:r>
              <w:t>Modificata</w:t>
            </w:r>
          </w:p>
        </w:tc>
        <w:tc>
          <w:tcPr>
            <w:tcW w:type="dxa" w:w="2160"/>
          </w:tcPr>
          <w:p>
            <w:r/>
            <w:r>
              <w:t>Il titolo è cambiato da "Verificare contenuti del sito esterno" a "Stesura definitiva regolamento contest". La descrizione ora indica che l'operatore, recepite le correzioni dal GDL Contest, realizza la versione definitiva del regolamento e la sottopone alla validazione della Direzione Commerciale.</w:t>
            </w:r>
          </w:p>
        </w:tc>
      </w:tr>
      <w:tr>
        <w:tc>
          <w:tcPr>
            <w:tcW w:type="dxa" w:w="2160"/>
          </w:tcPr>
          <w:p>
            <w:r/>
            <w:r>
              <w:t>[070]</w:t>
            </w:r>
          </w:p>
        </w:tc>
        <w:tc>
          <w:tcPr>
            <w:tcW w:type="dxa" w:w="2160"/>
          </w:tcPr>
          <w:p>
            <w:r/>
            <w:r>
              <w:t>Richiesta fidejussione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L'operatore contatta un'agenzia assicurativa per richiedere una fidejussione come garanzia della consegna dei premi. Esecutore: SVILUPPO WELFARE E CONTEST - Ufficio.</w:t>
            </w:r>
          </w:p>
        </w:tc>
      </w:tr>
      <w:tr>
        <w:tc>
          <w:tcPr>
            <w:tcW w:type="dxa" w:w="2160"/>
          </w:tcPr>
          <w:p>
            <w:r/>
            <w:r>
              <w:t>[080]</w:t>
            </w:r>
          </w:p>
        </w:tc>
        <w:tc>
          <w:tcPr>
            <w:tcW w:type="dxa" w:w="2160"/>
          </w:tcPr>
          <w:p>
            <w:r/>
            <w:r>
              <w:t>Deposito Regolamento al Ministero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Il consulente esterno riceve la versione definitiva del regolamento e procede con il deposito al Ministero. Esecutore: Fornitore esterno.</w:t>
            </w:r>
          </w:p>
        </w:tc>
      </w:tr>
      <w:tr>
        <w:tc>
          <w:tcPr>
            <w:tcW w:type="dxa" w:w="2160"/>
          </w:tcPr>
          <w:p>
            <w:r/>
            <w:r>
              <w:t>[200]</w:t>
            </w:r>
          </w:p>
        </w:tc>
        <w:tc>
          <w:tcPr>
            <w:tcW w:type="dxa" w:w="2160"/>
          </w:tcPr>
          <w:p>
            <w:r/>
            <w:r>
              <w:t>Pubblicazione classifiche finali provvisorie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Ricevute le classifiche finali dei contest, l'incaricato provvede al caricamento delle stesse sul sito. Esecutore: Fornitore esterno.</w:t>
            </w:r>
          </w:p>
        </w:tc>
      </w:tr>
      <w:tr>
        <w:tc>
          <w:tcPr>
            <w:tcW w:type="dxa" w:w="2160"/>
          </w:tcPr>
          <w:p>
            <w:r/>
            <w:r>
              <w:t>[270]</w:t>
            </w:r>
          </w:p>
        </w:tc>
        <w:tc>
          <w:tcPr>
            <w:tcW w:type="dxa" w:w="2160"/>
          </w:tcPr>
          <w:p>
            <w:r/>
            <w:r>
              <w:t>Versamento imposte (IRPEF)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L'ufficio Trade Marketing ed Eventi redige un documento per l'ufficio Fiscale per il pagamento dell'acconto delle tasse sui premi dei vincitori. Esecutore: Trade Marketing ed Eventi.</w:t>
            </w:r>
          </w:p>
        </w:tc>
      </w:tr>
      <w:tr>
        <w:tc>
          <w:tcPr>
            <w:tcW w:type="dxa" w:w="2160"/>
          </w:tcPr>
          <w:p>
            <w:r/>
            <w:r>
              <w:t>[340]</w:t>
            </w:r>
          </w:p>
        </w:tc>
        <w:tc>
          <w:tcPr>
            <w:tcW w:type="dxa" w:w="2160"/>
          </w:tcPr>
          <w:p>
            <w:r/>
            <w:r>
              <w:t>Gestione rapporti con fornitore catalogo premi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L'incaricato si occupa della gestione dei rapporti con il fornitore in caso di reclami o richieste particolari inerenti i premi. Esecutore: SVILUPPO WELFARE E CONTEST - Ufficio.</w:t>
            </w:r>
          </w:p>
        </w:tc>
      </w:tr>
      <w:tr>
        <w:tc>
          <w:tcPr>
            <w:tcW w:type="dxa" w:w="2160"/>
          </w:tcPr>
          <w:p>
            <w:r/>
            <w:r>
              <w:t>[350]</w:t>
            </w:r>
          </w:p>
        </w:tc>
        <w:tc>
          <w:tcPr>
            <w:tcW w:type="dxa" w:w="2160"/>
          </w:tcPr>
          <w:p>
            <w:r/>
            <w:r>
              <w:t>Gestione relazione con i partecipanti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L'operatore gestisce le richieste di chiarimenti e segnalazioni dei partecipanti. Esecutore: SVILUPPO WELFARE E CONTEST -– Ufficio fornitore esterno - Agenzia di Comunicazine.</w:t>
            </w:r>
          </w:p>
        </w:tc>
      </w:tr>
      <w:tr>
        <w:tc>
          <w:tcPr>
            <w:tcW w:type="dxa" w:w="2160"/>
          </w:tcPr>
          <w:p>
            <w:r/>
            <w:r>
              <w:t>[360]</w:t>
            </w:r>
          </w:p>
        </w:tc>
        <w:tc>
          <w:tcPr>
            <w:tcW w:type="dxa" w:w="2160"/>
          </w:tcPr>
          <w:p>
            <w:r/>
            <w:r>
              <w:t>Predisposizione ed invio rendicontazione sui premi erogati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Scaduto il termine per il ritiro dei premi, l'outsourcer predispone un documento di rendicontazione dei premi effettivamente erogati. Esecutore: AGENZIA DI COMUNICAZIONE.</w:t>
            </w:r>
          </w:p>
        </w:tc>
      </w:tr>
      <w:tr>
        <w:tc>
          <w:tcPr>
            <w:tcW w:type="dxa" w:w="2160"/>
          </w:tcPr>
          <w:p>
            <w:r/>
            <w:r>
              <w:t>[370]</w:t>
            </w:r>
          </w:p>
        </w:tc>
        <w:tc>
          <w:tcPr>
            <w:tcW w:type="dxa" w:w="2160"/>
          </w:tcPr>
          <w:p>
            <w:r/>
            <w:r>
              <w:t>Scelta modalità di donazione monte premi non erogato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L'incaricato, in caso di premi non assegnati, fornisce indicazioni sull'ente a cui donare gli eventuali premi e sulle modalità di erogazione. Esecutore: SVILUPPO WELFARE E CONTEST - Ufficio.</w:t>
            </w:r>
          </w:p>
        </w:tc>
      </w:tr>
      <w:tr>
        <w:tc>
          <w:tcPr>
            <w:tcW w:type="dxa" w:w="2160"/>
          </w:tcPr>
          <w:p>
            <w:r/>
            <w:r>
              <w:t>[390]</w:t>
            </w:r>
          </w:p>
        </w:tc>
        <w:tc>
          <w:tcPr>
            <w:tcW w:type="dxa" w:w="2160"/>
          </w:tcPr>
          <w:p>
            <w:r/>
            <w:r>
              <w:t>Versamento imposte (IVA /Imposta sostitutiva)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L'ufficio Trade Marketing ed Eventi invia all'ufficio Fiscale un modulo per il pagamento delle tasse sul valore dei premi erogati. Esecutore: Trade Marketing ed Eventi.</w:t>
            </w:r>
          </w:p>
        </w:tc>
      </w:tr>
      <w:tr>
        <w:tc>
          <w:tcPr>
            <w:tcW w:type="dxa" w:w="2160"/>
          </w:tcPr>
          <w:p>
            <w:r/>
            <w:r>
              <w:t>[410]</w:t>
            </w:r>
          </w:p>
        </w:tc>
        <w:tc>
          <w:tcPr>
            <w:tcW w:type="dxa" w:w="2160"/>
          </w:tcPr>
          <w:p>
            <w:r/>
            <w:r>
              <w:t>Certificazione dati contabili</w:t>
            </w:r>
          </w:p>
        </w:tc>
        <w:tc>
          <w:tcPr>
            <w:tcW w:type="dxa" w:w="2160"/>
          </w:tcPr>
          <w:p>
            <w:r/>
            <w:r>
              <w:t>Aggiunta</w:t>
            </w:r>
          </w:p>
        </w:tc>
        <w:tc>
          <w:tcPr>
            <w:tcW w:type="dxa" w:w="2160"/>
          </w:tcPr>
          <w:p>
            <w:r/>
            <w:r>
              <w:t>Quando tutti i premi sono stati erogati, viene redatto un documento da inviare all’ufficio fiscale per certificare la congruità della spesa. Esecutore: Trade Marketing ed Eventi.</w:t>
            </w:r>
          </w:p>
        </w:tc>
      </w:tr>
    </w:tbl>
    <w:p>
      <w:pPr>
        <w:pStyle w:val="Heading3"/>
      </w:pPr>
      <w:r>
        <w:t>3.1.1 Analisi del Flusso</w:t>
      </w:r>
    </w:p>
    <w:p>
      <w:r>
        <w:t>Il flusso To-Be del processo "Incentivazione commerciale" è stato notevolmente ampliato e dettagliato, passando da 7 a 18 attività. Le 11 nuove attività introducono fasi precedentemente non documentate o gestite in modo implicito, coprendo l'intero ciclo di vita dell'incentivazione. Si osserva una formalizzazione della fase iniziale con la `[020] Definizione ammontare valore premi` e una maggiore attenzione agli aspetti legali e fiscali, come evidenziato dall'introduzione di `[070] Richiesta fidejussione`, `[080] Deposito Regolamento al Ministero` e le attività di `[270] Versamento imposte (IRPEF)`, `[390] Versamento imposte (IVA /Imposta sostitutiva)` e `[410] Certificazione dati contabili`. La gestione post-contest è ora esplicitata con attività quali `[360] Predisposizione ed invio rendicontazione sui premi erogati` e `[370] Scelta modalità di donazione monte premi non erogato`, che definiscono la gestione dei premi non erogati. La modifica dell'attività `[060]` da una verifica esterna alla `Stesura definitiva regolamento contest` suggerisce un rafforzamento del controllo interno sulla documentazione chiave.</w:t>
      </w:r>
    </w:p>
    <w:p>
      <w:r>
        <w:t>Si rileva che gli eventi e i gateway forniti nell'analisi del diagramma (es. `[inizio] 2721_Segnalazione guasto`, `[intermedio] Convocazione`) sembrano appartenere a un contesto di processo differente (es. gestione guasti o incidenti) e non possono essere logicamente collegati alle attività del processo "Incentivazione commerciale" in esame. Pertanto, non sono stati integrati nelle descrizioni delle attività aggiunte o modificate.</w:t>
      </w:r>
    </w:p>
    <w:p>
      <w:r>
        <w:t>La sequenza delle attività aggiunte e modificate, in ordine di codice, è la seguente:</w:t>
      </w:r>
    </w:p>
    <w:p>
      <w:r>
        <w:t>[020] Definizione ammontare valore premi → [060] Stesura definitiva regolamento contest → [070] Richiesta fidejussione → [080] Deposito Regolamento al Ministero → [200] Pubblicazione classifiche finali provvisorie → [270] Versamento imposte (IRPEF) → [340] Gestione rapporti con fornitore catalogo premi → [350] Gestione relazione con i partecipanti → [360] Predisposizione ed invio rendicontazione sui premi erogati → [370] Scelta modalità di donazione monte premi non erogato → [390] Versamento imposte (IVA /Imposta sostitutiva) → [410] Certificazione dati contabili.</w:t>
      </w:r>
    </w:p>
    <w:p>
      <w:r>
        <w:t>Si noti che questa sequenza include solo le attività aggiunte e modificate, e non rappresenta l'intero flusso To-Be di 18 attività, la cui integrazione con le attività preesistenti non è dettagliata nei dati forniti.</w:t>
      </w:r>
    </w:p>
    <w:p>
      <w:pPr>
        <w:pStyle w:val="Heading3"/>
      </w:pPr>
      <w:r>
        <w:t>3.2 Modifiche Organizzative</w:t>
      </w:r>
    </w:p>
    <w:p>
      <w:r>
        <w:t>Il processo To-Be introduce nuove unità organizzative e ridefinisce le competenze di quelle esistenti, contribuendo all'aumento dell'Handover Delta.</w:t>
      </w:r>
    </w:p>
    <w:p>
      <w:r>
        <w:rPr>
          <w:b/>
        </w:rPr>
        <w:t>Unità organizzative aggiunte:</w:t>
      </w:r>
    </w:p>
    <w:p>
      <w:pPr>
        <w:pStyle w:val="ListBullet"/>
      </w:pPr>
      <w:r>
        <w:t>AGENZIA DI COMUNICAZIONE: gestisce `[360] Predisposizione ed invio rendicontazione sui premi erogati`</w:t>
      </w:r>
    </w:p>
    <w:p>
      <w:pPr>
        <w:pStyle w:val="ListBullet"/>
      </w:pPr>
      <w:r>
        <w:t>Trade Marketing ed Eventi: gestisce `[270] Versamento imposte (IRPEF)`, `[390] Versamento imposte (IVA /Imposta sostitutiva)`, `[410] Certificazione dati contabili`</w:t>
      </w:r>
    </w:p>
    <w:p>
      <w:pPr>
        <w:pStyle w:val="ListBullet"/>
      </w:pPr>
      <w:r>
        <w:t>SVILUPPO WELFARE E CONTEST -– Ufficio fornitore esterno - Agenzia di Comunicazine: gestisce `[350] Gestione relazione con i partecipanti`</w:t>
      </w:r>
    </w:p>
    <w:p>
      <w:pPr>
        <w:pStyle w:val="ListBullet"/>
      </w:pPr>
      <w:r>
        <w:t>Fornitore esterno: gestisce `[080] Deposito Regolamento al Ministero`, `[200] Pubblicazione classifiche finali provvisorie`</w:t>
      </w:r>
    </w:p>
    <w:p>
      <w:r>
        <w:rPr>
          <w:b/>
        </w:rPr>
        <w:t>Unità organizzative con modifiche di competenza:</w:t>
      </w:r>
    </w:p>
    <w:p>
      <w:pPr>
        <w:pStyle w:val="ListBullet"/>
      </w:pPr>
      <w:r>
        <w:t>SVILUPPO WELFARE E CONTEST - Ufficio:</w:t>
      </w:r>
    </w:p>
    <w:p>
      <w:pPr>
        <w:pStyle w:val="ListBullet"/>
      </w:pPr>
      <w:r>
        <w:t>Acquisisce: `[020] Definizione ammontare valore premi`, `[070] Richiesta fidejussione`, `[340] Gestione rapporti con fornitore catalogo premi`, `[370] Scelta modalità di donazione monte premi non erogato`.</w:t>
      </w:r>
    </w:p>
    <w:p>
      <w:pPr>
        <w:pStyle w:val="Heading3"/>
      </w:pPr>
      <w:r>
        <w:t>3.3 Modifiche Tecnologiche</w:t>
      </w:r>
    </w:p>
    <w:p>
      <w:r>
        <w:t>È stato introdotto un nuovo applicativo informatico per una delle attività aggiunte.</w:t>
      </w:r>
    </w:p>
    <w:p>
      <w:pPr>
        <w:pStyle w:val="ListBullet"/>
      </w:pPr>
      <w:r>
        <w:t>`[200] Pubblicazione classifiche finali provvisorie`: applicativo aggiunto "Sito contest" - utilizzato per il caricamento delle classifiche finali dei contest.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