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 di Analisi Comparativa</w:t>
      </w:r>
    </w:p>
    <w:p>
      <w:pPr>
        <w:jc w:val="center"/>
      </w:pPr>
      <w:r>
        <w:rPr>
          <w:i/>
          <w:sz w:val="24"/>
        </w:rPr>
        <w:t>2.7.1.02 Incentivazione commerciale -&gt; 2.7.1.02 Incentivazione commerciale</w:t>
      </w:r>
    </w:p>
    <w:p>
      <w:pPr>
        <w:jc w:val="center"/>
      </w:pPr>
      <w:r>
        <w:rPr>
          <w:color w:val="666666"/>
          <w:sz w:val="20"/>
        </w:rPr>
        <w:t>Data: 10/02/2026</w:t>
      </w:r>
    </w:p>
    <w:p/>
    <w:p>
      <w:r>
        <w:t># Report di Confronto Processo</w:t>
      </w:r>
    </w:p>
    <w:p>
      <w:r>
        <w:t>## 1. RIEPILOGO</w:t>
      </w:r>
    </w:p>
    <w:p>
      <w:r>
        <w:t>Il processo "2.7.1.02 Incentivazione commerciale" ha subito una significativa espansione e ristrutturazione. Il numero totale di attività è aumentato da 7 a 18, con l'introduzione di 11 nuove attività e la modifica di una esistente, [060] Stesura definitiva regolamento contest. Queste modifiche introducono nuove fasi relative alla definizione iniziale del contest, alla gestione dei rapporti con i fornitori e i partecipanti, e alla formalizzazione degli adempimenti fiscali e di rendicontazione post-contest. L'Handover Delta registra un aumento di 10 unità, indicando una maggiore complessità nei passaggi di responsabilità tra le unità organizzative coinvolte.</w:t>
      </w:r>
    </w:p>
    <w:p>
      <w:r>
        <w:t>## 2. METRICHE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Metrica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Valore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Valutazione</w:t>
            </w:r>
          </w:p>
        </w:tc>
      </w:tr>
      <w:tr>
        <w:tc>
          <w:tcPr>
            <w:tcW w:type="dxa" w:w="2880"/>
          </w:tcPr>
          <w:p>
            <w:r/>
            <w:r>
              <w:t>Volatility Index</w:t>
            </w:r>
          </w:p>
        </w:tc>
        <w:tc>
          <w:tcPr>
            <w:tcW w:type="dxa" w:w="2880"/>
          </w:tcPr>
          <w:p>
            <w:r/>
            <w:r>
              <w:t>157.14%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Handover Delta</w:t>
            </w:r>
          </w:p>
        </w:tc>
        <w:tc>
          <w:tcPr>
            <w:tcW w:type="dxa" w:w="2880"/>
          </w:tcPr>
          <w:p>
            <w:r/>
            <w:r>
              <w:t>+10 (0 → 10)</w:t>
            </w:r>
          </w:p>
        </w:tc>
        <w:tc>
          <w:tcPr>
            <w:tcW w:type="dxa" w:w="2880"/>
          </w:tcPr>
          <w:p>
            <w:r/>
            <w:r>
              <w:t>Aumento significativo</w:t>
            </w:r>
          </w:p>
        </w:tc>
      </w:tr>
      <w:tr>
        <w:tc>
          <w:tcPr>
            <w:tcW w:type="dxa" w:w="2880"/>
          </w:tcPr>
          <w:p>
            <w:r/>
            <w:r>
              <w:t>Automation Rate</w:t>
            </w:r>
          </w:p>
        </w:tc>
        <w:tc>
          <w:tcPr>
            <w:tcW w:type="dxa" w:w="2880"/>
          </w:tcPr>
          <w:p>
            <w:r/>
            <w:r>
              <w:t>14.3% → 11.1%</w:t>
            </w:r>
          </w:p>
        </w:tc>
        <w:tc>
          <w:tcPr>
            <w:tcW w:type="dxa" w:w="2880"/>
          </w:tcPr>
          <w:p>
            <w:r/>
            <w:r>
              <w:t>In diminuzione</w:t>
            </w:r>
          </w:p>
        </w:tc>
      </w:tr>
      <w:tr>
        <w:tc>
          <w:tcPr>
            <w:tcW w:type="dxa" w:w="2880"/>
            <w:shd w:fill="FFF3CD"/>
          </w:tcPr>
          <w:p>
            <w:r>
              <w:rPr>
                <w:b/>
              </w:rPr>
            </w:r>
            <w:r>
              <w:rPr>
                <w:b/>
              </w:rPr>
              <w:t>Process Change Score</w:t>
            </w:r>
          </w:p>
        </w:tc>
        <w:tc>
          <w:tcPr>
            <w:tcW w:type="dxa" w:w="2880"/>
            <w:shd w:fill="FFF3CD"/>
          </w:tcPr>
          <w:p>
            <w:r/>
            <w:r>
              <w:t>0.90</w:t>
            </w:r>
          </w:p>
        </w:tc>
        <w:tc>
          <w:tcPr>
            <w:tcW w:type="dxa" w:w="2880"/>
            <w:shd w:fill="FFF3CD"/>
          </w:tcPr>
          <w:p>
            <w:r/>
            <w:r>
              <w:t>Critico</w:t>
            </w:r>
          </w:p>
        </w:tc>
      </w:tr>
    </w:tbl>
    <w:p>
      <w:r>
        <w:t>## 3. DETTAGLIO MODIFICHE</w:t>
      </w:r>
    </w:p>
    <w:p>
      <w:pPr>
        <w:pStyle w:val="Heading2"/>
      </w:pPr>
      <w:r>
        <w:t>3.1 Modifiche Strutturali e di Contenuto</w:t>
      </w:r>
    </w:p>
    <w:p>
      <w:r>
        <w:t>Il processo To-Be presenta un incremento sostanziale nel numero di attività e una modifica nel contenuto di un'attività esistente.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5A7C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Codice</w:t>
            </w:r>
          </w:p>
        </w:tc>
        <w:tc>
          <w:tcPr>
            <w:tcW w:type="dxa" w:w="2160"/>
            <w:shd w:fill="2E5A7C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Titolo</w:t>
            </w:r>
          </w:p>
        </w:tc>
        <w:tc>
          <w:tcPr>
            <w:tcW w:type="dxa" w:w="2160"/>
            <w:shd w:fill="2E5A7C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Stato</w:t>
            </w:r>
          </w:p>
        </w:tc>
        <w:tc>
          <w:tcPr>
            <w:tcW w:type="dxa" w:w="2160"/>
            <w:shd w:fill="2E5A7C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Descrizione</w:t>
            </w:r>
          </w:p>
        </w:tc>
      </w:tr>
      <w:tr>
        <w:tc>
          <w:tcPr>
            <w:tcW w:type="dxa" w:w="2160"/>
          </w:tcPr>
          <w:p>
            <w:r/>
            <w:r>
              <w:t>[410]</w:t>
            </w:r>
          </w:p>
        </w:tc>
        <w:tc>
          <w:tcPr>
            <w:tcW w:type="dxa" w:w="2160"/>
          </w:tcPr>
          <w:p>
            <w:r/>
            <w:r>
              <w:t>Certificazione dati contabili</w:t>
            </w:r>
          </w:p>
        </w:tc>
        <w:tc>
          <w:tcPr>
            <w:tcW w:type="dxa" w:w="2160"/>
          </w:tcPr>
          <w:p>
            <w:r/>
            <w:r>
              <w:t>Aggiunta</w:t>
            </w:r>
          </w:p>
        </w:tc>
        <w:tc>
          <w:tcPr>
            <w:tcW w:type="dxa" w:w="2160"/>
          </w:tcPr>
          <w:p>
            <w:r/>
            <w:r>
              <w:t>Quando tutti i premi sono stati erogati, occorre redigere apposito documento da inviare all’ufficio fiscale per certificare la congruità della spesa. Esecutore: Trade Marketing ed Eventi.</w:t>
            </w:r>
          </w:p>
        </w:tc>
      </w:tr>
      <w:tr>
        <w:tc>
          <w:tcPr>
            <w:tcW w:type="dxa" w:w="2160"/>
          </w:tcPr>
          <w:p>
            <w:r/>
            <w:r>
              <w:t>[270]</w:t>
            </w:r>
          </w:p>
        </w:tc>
        <w:tc>
          <w:tcPr>
            <w:tcW w:type="dxa" w:w="2160"/>
          </w:tcPr>
          <w:p>
            <w:r/>
            <w:r>
              <w:t>Versamento imposte (IRPEF)</w:t>
            </w:r>
          </w:p>
        </w:tc>
        <w:tc>
          <w:tcPr>
            <w:tcW w:type="dxa" w:w="2160"/>
          </w:tcPr>
          <w:p>
            <w:r/>
            <w:r>
              <w:t>Aggiunta</w:t>
            </w:r>
          </w:p>
        </w:tc>
        <w:tc>
          <w:tcPr>
            <w:tcW w:type="dxa" w:w="2160"/>
          </w:tcPr>
          <w:p>
            <w:r/>
            <w:r>
              <w:t>Entro il mese di proclamazione dei vincitori, l’ufficio Trade Marketing ed Eventi deve redigere un documento per il pagamento dell’acconto delle tasse. Esecutore: Trade Marketing ed Eventi.</w:t>
            </w:r>
          </w:p>
        </w:tc>
      </w:tr>
      <w:tr>
        <w:tc>
          <w:tcPr>
            <w:tcW w:type="dxa" w:w="2160"/>
          </w:tcPr>
          <w:p>
            <w:r/>
            <w:r>
              <w:t>[360]</w:t>
            </w:r>
          </w:p>
        </w:tc>
        <w:tc>
          <w:tcPr>
            <w:tcW w:type="dxa" w:w="2160"/>
          </w:tcPr>
          <w:p>
            <w:r/>
            <w:r>
              <w:t>Predisposizione ed invio rendicontazione sui premi erogati</w:t>
            </w:r>
          </w:p>
        </w:tc>
        <w:tc>
          <w:tcPr>
            <w:tcW w:type="dxa" w:w="2160"/>
          </w:tcPr>
          <w:p>
            <w:r/>
            <w:r>
              <w:t>Aggiunta</w:t>
            </w:r>
          </w:p>
        </w:tc>
        <w:tc>
          <w:tcPr>
            <w:tcW w:type="dxa" w:w="2160"/>
          </w:tcPr>
          <w:p>
            <w:r/>
            <w:r>
              <w:t>Scaduto il termine per il ritiro dei premi, l'outsourcer predispone un documento di rendicontazione dei premi effettivamente erogati. Esecutore: AGENZIA DI COMUNICAZIONE.</w:t>
            </w:r>
          </w:p>
        </w:tc>
      </w:tr>
      <w:tr>
        <w:tc>
          <w:tcPr>
            <w:tcW w:type="dxa" w:w="2160"/>
          </w:tcPr>
          <w:p>
            <w:r/>
            <w:r>
              <w:t>[390]</w:t>
            </w:r>
          </w:p>
        </w:tc>
        <w:tc>
          <w:tcPr>
            <w:tcW w:type="dxa" w:w="2160"/>
          </w:tcPr>
          <w:p>
            <w:r/>
            <w:r>
              <w:t>Versamento imposte (IVA /Imposta sostitutiva)</w:t>
            </w:r>
          </w:p>
        </w:tc>
        <w:tc>
          <w:tcPr>
            <w:tcW w:type="dxa" w:w="2160"/>
          </w:tcPr>
          <w:p>
            <w:r/>
            <w:r>
              <w:t>Aggiunta</w:t>
            </w:r>
          </w:p>
        </w:tc>
        <w:tc>
          <w:tcPr>
            <w:tcW w:type="dxa" w:w="2160"/>
          </w:tcPr>
          <w:p>
            <w:r/>
            <w:r>
              <w:t>Al completamento dell’erogazione dei premi, l’ufficio Trade Marketing ed Eventi provvede ad inviare all’ufficio Fiscale apposito modulo per il pagamento delle tasse sul valore dei premi. Esecutore: Trade Marketing ed Eventi.</w:t>
            </w:r>
          </w:p>
        </w:tc>
      </w:tr>
      <w:tr>
        <w:tc>
          <w:tcPr>
            <w:tcW w:type="dxa" w:w="2160"/>
          </w:tcPr>
          <w:p>
            <w:r/>
            <w:r>
              <w:t>[200]</w:t>
            </w:r>
          </w:p>
        </w:tc>
        <w:tc>
          <w:tcPr>
            <w:tcW w:type="dxa" w:w="2160"/>
          </w:tcPr>
          <w:p>
            <w:r/>
            <w:r>
              <w:t>Pubblicazione classifiche finali provvisorie</w:t>
            </w:r>
          </w:p>
        </w:tc>
        <w:tc>
          <w:tcPr>
            <w:tcW w:type="dxa" w:w="2160"/>
          </w:tcPr>
          <w:p>
            <w:r/>
            <w:r>
              <w:t>Aggiunta</w:t>
            </w:r>
          </w:p>
        </w:tc>
        <w:tc>
          <w:tcPr>
            <w:tcW w:type="dxa" w:w="2160"/>
          </w:tcPr>
          <w:p>
            <w:r/>
            <w:r>
              <w:t>Ricevute le classifiche finali dei contest, l'incaricato provvede al caricamento delle stesse sul sito. Esecutore: Fornitore esterno.</w:t>
            </w:r>
          </w:p>
        </w:tc>
      </w:tr>
      <w:tr>
        <w:tc>
          <w:tcPr>
            <w:tcW w:type="dxa" w:w="2160"/>
          </w:tcPr>
          <w:p>
            <w:r/>
            <w:r>
              <w:t>[070]</w:t>
            </w:r>
          </w:p>
        </w:tc>
        <w:tc>
          <w:tcPr>
            <w:tcW w:type="dxa" w:w="2160"/>
          </w:tcPr>
          <w:p>
            <w:r/>
            <w:r>
              <w:t>Richiesta fidejussione</w:t>
            </w:r>
          </w:p>
        </w:tc>
        <w:tc>
          <w:tcPr>
            <w:tcW w:type="dxa" w:w="2160"/>
          </w:tcPr>
          <w:p>
            <w:r/>
            <w:r>
              <w:t>Aggiunta</w:t>
            </w:r>
          </w:p>
        </w:tc>
        <w:tc>
          <w:tcPr>
            <w:tcW w:type="dxa" w:w="2160"/>
          </w:tcPr>
          <w:p>
            <w:r/>
            <w:r>
              <w:t>L'operatore contatta l'agenzia di un'altra Compagnia assicurativa per richiedere una fidejussione necessaria come garanzia dell’effettiva consegna dei premi. Esecutore: SVILUPPO WELFARE E CONTEST - Ufficio.</w:t>
            </w:r>
          </w:p>
        </w:tc>
      </w:tr>
      <w:tr>
        <w:tc>
          <w:tcPr>
            <w:tcW w:type="dxa" w:w="2160"/>
          </w:tcPr>
          <w:p>
            <w:r/>
            <w:r>
              <w:t>[340]</w:t>
            </w:r>
          </w:p>
        </w:tc>
        <w:tc>
          <w:tcPr>
            <w:tcW w:type="dxa" w:w="2160"/>
          </w:tcPr>
          <w:p>
            <w:r/>
            <w:r>
              <w:t>Gestione rapporti con fornitore catalogo premi</w:t>
            </w:r>
          </w:p>
        </w:tc>
        <w:tc>
          <w:tcPr>
            <w:tcW w:type="dxa" w:w="2160"/>
          </w:tcPr>
          <w:p>
            <w:r/>
            <w:r>
              <w:t>Aggiunta</w:t>
            </w:r>
          </w:p>
        </w:tc>
        <w:tc>
          <w:tcPr>
            <w:tcW w:type="dxa" w:w="2160"/>
          </w:tcPr>
          <w:p>
            <w:r/>
            <w:r>
              <w:t>L'incaricato si occupa della gestione dei rapporti con il fornitore nel caso di ricezione di reclami, disservizi o richieste particolari inerenti i premi. Esecutore: SVILUPPO WELFARE E CONTEST - Ufficio.</w:t>
            </w:r>
          </w:p>
        </w:tc>
      </w:tr>
      <w:tr>
        <w:tc>
          <w:tcPr>
            <w:tcW w:type="dxa" w:w="2160"/>
          </w:tcPr>
          <w:p>
            <w:r/>
            <w:r>
              <w:t>[020]</w:t>
            </w:r>
          </w:p>
        </w:tc>
        <w:tc>
          <w:tcPr>
            <w:tcW w:type="dxa" w:w="2160"/>
          </w:tcPr>
          <w:p>
            <w:r/>
            <w:r>
              <w:t>Definizione ammontare valore premi</w:t>
            </w:r>
          </w:p>
        </w:tc>
        <w:tc>
          <w:tcPr>
            <w:tcW w:type="dxa" w:w="2160"/>
          </w:tcPr>
          <w:p>
            <w:r/>
            <w:r>
              <w:t>Aggiunta</w:t>
            </w:r>
          </w:p>
        </w:tc>
        <w:tc>
          <w:tcPr>
            <w:tcW w:type="dxa" w:w="2160"/>
          </w:tcPr>
          <w:p>
            <w:r/>
            <w:r>
              <w:t>L'operatore definisce l'ammontare del valore dei premi, la selezione e l'assegnazione dei circuiti di spesa, e predispone la grafica e il materiale illustrativo. Esecutore: SVILUPPO WELFARE E CONTEST - Ufficio.</w:t>
            </w:r>
          </w:p>
        </w:tc>
      </w:tr>
      <w:tr>
        <w:tc>
          <w:tcPr>
            <w:tcW w:type="dxa" w:w="2160"/>
          </w:tcPr>
          <w:p>
            <w:r/>
            <w:r>
              <w:t>[370]</w:t>
            </w:r>
          </w:p>
        </w:tc>
        <w:tc>
          <w:tcPr>
            <w:tcW w:type="dxa" w:w="2160"/>
          </w:tcPr>
          <w:p>
            <w:r/>
            <w:r>
              <w:t>Scelta modalità di donazione monte premi non erogato</w:t>
            </w:r>
          </w:p>
        </w:tc>
        <w:tc>
          <w:tcPr>
            <w:tcW w:type="dxa" w:w="2160"/>
          </w:tcPr>
          <w:p>
            <w:r/>
            <w:r>
              <w:t>Aggiunta</w:t>
            </w:r>
          </w:p>
        </w:tc>
        <w:tc>
          <w:tcPr>
            <w:tcW w:type="dxa" w:w="2160"/>
          </w:tcPr>
          <w:p>
            <w:r/>
            <w:r>
              <w:t>L'incaricato, in caso di premi non assegnati, fornisce indicazioni sull'ente a cui donare gli eventuali premi non erogati e sulle modalità di erogazione. Esecutore: SVILUPPO WELFARE E CONTEST - Ufficio.</w:t>
            </w:r>
          </w:p>
        </w:tc>
      </w:tr>
      <w:tr>
        <w:tc>
          <w:tcPr>
            <w:tcW w:type="dxa" w:w="2160"/>
          </w:tcPr>
          <w:p>
            <w:r/>
            <w:r>
              <w:t>[080]</w:t>
            </w:r>
          </w:p>
        </w:tc>
        <w:tc>
          <w:tcPr>
            <w:tcW w:type="dxa" w:w="2160"/>
          </w:tcPr>
          <w:p>
            <w:r/>
            <w:r>
              <w:t>Deposito Regolamento al Ministero</w:t>
            </w:r>
          </w:p>
        </w:tc>
        <w:tc>
          <w:tcPr>
            <w:tcW w:type="dxa" w:w="2160"/>
          </w:tcPr>
          <w:p>
            <w:r/>
            <w:r>
              <w:t>Aggiunta</w:t>
            </w:r>
          </w:p>
        </w:tc>
        <w:tc>
          <w:tcPr>
            <w:tcW w:type="dxa" w:w="2160"/>
          </w:tcPr>
          <w:p>
            <w:r/>
            <w:r>
              <w:t>Il consulente esterno riceve la versione definitiva del regolamento e procede con il deposito al Ministero. Esecutore: Fornitore esterno.</w:t>
            </w:r>
          </w:p>
        </w:tc>
      </w:tr>
      <w:tr>
        <w:tc>
          <w:tcPr>
            <w:tcW w:type="dxa" w:w="2160"/>
          </w:tcPr>
          <w:p>
            <w:r/>
            <w:r>
              <w:t>[350]</w:t>
            </w:r>
          </w:p>
        </w:tc>
        <w:tc>
          <w:tcPr>
            <w:tcW w:type="dxa" w:w="2160"/>
          </w:tcPr>
          <w:p>
            <w:r/>
            <w:r>
              <w:t>Gestione relazione con i partecipanti</w:t>
            </w:r>
          </w:p>
        </w:tc>
        <w:tc>
          <w:tcPr>
            <w:tcW w:type="dxa" w:w="2160"/>
          </w:tcPr>
          <w:p>
            <w:r/>
            <w:r>
              <w:t>Aggiunta</w:t>
            </w:r>
          </w:p>
        </w:tc>
        <w:tc>
          <w:tcPr>
            <w:tcW w:type="dxa" w:w="2160"/>
          </w:tcPr>
          <w:p>
            <w:r/>
            <w:r>
              <w:t>L'operatore gestisce le eventuali richieste di chiarimenti e segnalazioni dei partecipanti. Esecutore: SVILUPPO WELFARE E CONTEST -– Ufficio fornitore esterno - Agenzia di Comunicazine.</w:t>
            </w:r>
          </w:p>
        </w:tc>
      </w:tr>
      <w:tr>
        <w:tc>
          <w:tcPr>
            <w:tcW w:type="dxa" w:w="2160"/>
          </w:tcPr>
          <w:p>
            <w:r/>
            <w:r>
              <w:t>[060]</w:t>
            </w:r>
          </w:p>
        </w:tc>
        <w:tc>
          <w:tcPr>
            <w:tcW w:type="dxa" w:w="2160"/>
          </w:tcPr>
          <w:p>
            <w:r/>
            <w:r>
              <w:t>Stesura definitiva regolamento contest</w:t>
            </w:r>
          </w:p>
        </w:tc>
        <w:tc>
          <w:tcPr>
            <w:tcW w:type="dxa" w:w="2160"/>
          </w:tcPr>
          <w:p>
            <w:r/>
            <w:r>
              <w:t>Modificata</w:t>
            </w:r>
          </w:p>
        </w:tc>
        <w:tc>
          <w:tcPr>
            <w:tcW w:type="dxa" w:w="2160"/>
          </w:tcPr>
          <w:p>
            <w:r/>
            <w:r>
              <w:t>Titolo da "Verificare contenuti del sito esterno" a "Stesura definitiva regolamento contest". Descrizione ora include la realizzazione della versione definitiva del regolamento, recepite le correzioni dal GDL Contest, e la sottoposizione alla Direzione Commerciale per la validazione.</w:t>
            </w:r>
          </w:p>
        </w:tc>
      </w:tr>
    </w:tbl>
    <w:p>
      <w:pPr>
        <w:pStyle w:val="Heading3"/>
      </w:pPr>
      <w:r>
        <w:t>3.1.1 Analisi del Flusso</w:t>
      </w:r>
    </w:p>
    <w:p>
      <w:r>
        <w:t>Il processo di "Incentivazione commerciale" è stato notevolmente ampliato, passando da 7 a 18 attività, il che suggerisce una formalizzazione e una granularità maggiori nella gestione dei contest. Le nuove attività coprono l'intero ciclo di vita di un'iniziativa di incentivazione, dalla fase di definizione iniziale ([020] Definizione ammontare valore premi), alla gestione delle garanzie ([070] Richiesta fidejussione) e degli adempimenti normativi ([080] Deposito Regolamento al Ministero). Vengono inoltre introdotte attività per la gestione operativa durante il contest ([200] Pubblicazione classifiche finali provvisorie, [340] Gestione rapporti con fornitore catalogo premi, [350] Gestione relazione con i partecipanti) e per la chiusura e rendicontazione finale, inclusi gli aspetti fiscali ([270] Versamento imposte (IRPEF), [360] Predisposizione ed invio rendicontazione sui premi erogati, [370] Scelta modalità di donazione monte premi non erogato, [390] Versamento imposte (IVA /Imposta sostitutiva), [410] Certificazione dati contabili). La modifica dell'attività [060] da una verifica esterna a una stesura interna del regolamento evidenzia un rafforzamento del controllo e della responsabilità interna sulla fase di setup del contest. Questo ampliamento del flusso indica una maggiore tracciabilità e una gestione più strutturata di aspetti che in precedenza potevano essere impliciti o gestiti al di fuori del processo documentato.</w:t>
      </w:r>
    </w:p>
    <w:p>
      <w:r>
        <w:t>Il flusso To-Be include le seguenti attività (le attività originali non modificate non sono state fornite nel dettaglio):</w:t>
      </w:r>
    </w:p>
    <w:p>
      <w:r>
        <w:t>[020] Definizione ammontare valore premi → [060] Stesura definitiva regolamento contest → [070] Richiesta fidejussione → [080] Deposito Regolamento al Ministero → [200] Pubblicazione classifiche finali provvisorie → [270] Versamento imposte (IRPEF) → [340] Gestione rapporti con fornitore catalogo premi → [350] Gestione relazione con i partecipanti → [360] Predisposizione ed invio rendicontazione sui premi erogati → [370] Scelta modalità di donazione monte premi non erogato → [390] Versamento imposte (IVA /Imposta sostitutiva) → [410] Certificazione dati contabili.</w:t>
      </w:r>
    </w:p>
    <w:p>
      <w:pPr>
        <w:pStyle w:val="Heading2"/>
      </w:pPr>
      <w:r>
        <w:t>3.2 Modifiche Organizzative</w:t>
      </w:r>
    </w:p>
    <w:p>
      <w:r>
        <w:t>Le modifiche organizzative riflettono l'espansione del processo e la distribuzione delle nuove responsabilità tra diverse unità.</w:t>
      </w:r>
    </w:p>
    <w:p>
      <w:r>
        <w:rPr>
          <w:b/>
        </w:rPr>
        <w:t>Unità organizzative aggiunte</w:t>
      </w:r>
    </w:p>
    <w:p>
      <w:pPr>
        <w:pStyle w:val="ListBullet"/>
      </w:pPr>
      <w:r>
        <w:t>Trade Marketing ed Eventi: gestisce [410] Certificazione dati contabili, [270] Versamento imposte (IRPEF), [390] Versamento imposte (IVA /Imposta sostitutiva).</w:t>
      </w:r>
    </w:p>
    <w:p>
      <w:pPr>
        <w:pStyle w:val="ListBullet"/>
      </w:pPr>
      <w:r>
        <w:t>SVILUPPO WELFARE E CONTEST - Ufficio: gestisce [070] Richiesta fidejussione, [340] Gestione rapporti con fornitore catalogo premi, [020] Definizione ammontare valore premi, [370] Scelta modalità di donazione monte premi non erogato.</w:t>
      </w:r>
    </w:p>
    <w:p>
      <w:pPr>
        <w:pStyle w:val="ListBullet"/>
      </w:pPr>
      <w:r>
        <w:t>Fornitore esterno: gestisce [200] Pubblicazione classifiche finali provvisorie, [080] Deposito Regolamento al Ministero.</w:t>
      </w:r>
    </w:p>
    <w:p>
      <w:pPr>
        <w:pStyle w:val="ListBullet"/>
      </w:pPr>
      <w:r>
        <w:t>AGENZIA DI COMUNICAZIONE: gestisce [360] Predisposizione ed invio rendicontazione sui premi erogati.</w:t>
      </w:r>
    </w:p>
    <w:p>
      <w:pPr>
        <w:pStyle w:val="ListBullet"/>
      </w:pPr>
      <w:r>
        <w:t>SVILUPPO WELFARE E CONTEST -– Ufficio fornitore esterno - Agenzia di Comunicazine: gestisce [350] Gestione relazione con i partecipanti.</w:t>
      </w:r>
    </w:p>
    <w:p>
      <w:pPr>
        <w:pStyle w:val="Heading2"/>
      </w:pPr>
      <w:r>
        <w:t>3.3 Modifiche Tecnologiche</w:t>
      </w:r>
    </w:p>
    <w:p>
      <w:r>
        <w:t>È stata introdotta l'interazione con un nuovo sistema informatico per una delle attività aggiunte.</w:t>
      </w:r>
    </w:p>
    <w:p>
      <w:pPr>
        <w:pStyle w:val="ListBullet"/>
      </w:pPr>
      <w:r>
        <w:t>[200] Pubblicazione classifiche finali provvisorie: applicativo aggiunto Sito contest - per il caricamento e la visualizzazione delle classifiche finali provvisorie.</w:t>
      </w:r>
    </w:p>
    <w:p/>
    <w:p>
      <w:pPr>
        <w:pStyle w:val="Heading2"/>
      </w:pPr>
      <w:r>
        <w:t>LEGENDA METRICHE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Metrica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Descrizione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Soglie</w:t>
            </w:r>
          </w:p>
        </w:tc>
      </w:tr>
      <w:tr>
        <w:tc>
          <w:tcPr>
            <w:tcW w:type="dxa" w:w="2880"/>
          </w:tcPr>
          <w:p>
            <w:r>
              <w:t>Volatility Index</w:t>
            </w:r>
          </w:p>
        </w:tc>
        <w:tc>
          <w:tcPr>
            <w:tcW w:type="dxa" w:w="2880"/>
          </w:tcPr>
          <w:p>
            <w:r>
              <w:t>Percentuale di attività aggiunte o rimosse rispetto al totale originale</w:t>
            </w:r>
          </w:p>
        </w:tc>
        <w:tc>
          <w:tcPr>
            <w:tcW w:type="dxa" w:w="2880"/>
          </w:tcPr>
          <w:p>
            <w:r>
              <w:t>0-10% Bassa | 11-30% Media | &gt;30% Alta</w:t>
            </w:r>
          </w:p>
        </w:tc>
      </w:tr>
      <w:tr>
        <w:tc>
          <w:tcPr>
            <w:tcW w:type="dxa" w:w="2880"/>
          </w:tcPr>
          <w:p>
            <w:r>
              <w:t>Handover Delta</w:t>
            </w:r>
          </w:p>
        </w:tc>
        <w:tc>
          <w:tcPr>
            <w:tcW w:type="dxa" w:w="2880"/>
          </w:tcPr>
          <w:p>
            <w:r>
              <w:t>Variazione nei passaggi tra unità organizzative diverse</w:t>
            </w:r>
          </w:p>
        </w:tc>
        <w:tc>
          <w:tcPr>
            <w:tcW w:type="dxa" w:w="2880"/>
          </w:tcPr>
          <w:p>
            <w:r>
              <w:t>Positivo = più frammentazione</w:t>
            </w:r>
          </w:p>
        </w:tc>
      </w:tr>
      <w:tr>
        <w:tc>
          <w:tcPr>
            <w:tcW w:type="dxa" w:w="2880"/>
          </w:tcPr>
          <w:p>
            <w:r>
              <w:t>Automation Rate</w:t>
            </w:r>
          </w:p>
        </w:tc>
        <w:tc>
          <w:tcPr>
            <w:tcW w:type="dxa" w:w="2880"/>
          </w:tcPr>
          <w:p>
            <w:r>
              <w:t>Percentuale di attività supportate da sistemi IT</w:t>
            </w:r>
          </w:p>
        </w:tc>
        <w:tc>
          <w:tcPr>
            <w:tcW w:type="dxa" w:w="2880"/>
          </w:tcPr>
          <w:p>
            <w:r>
              <w:t>Variazione indica digitalizzazione</w:t>
            </w:r>
          </w:p>
        </w:tc>
      </w:tr>
      <w:tr>
        <w:tc>
          <w:tcPr>
            <w:tcW w:type="dxa" w:w="2880"/>
          </w:tcPr>
          <w:p>
            <w:r>
              <w:t>Process Change Score</w:t>
            </w:r>
          </w:p>
        </w:tc>
        <w:tc>
          <w:tcPr>
            <w:tcW w:type="dxa" w:w="2880"/>
          </w:tcPr>
          <w:p>
            <w:r>
              <w:t>Indice composito di impatto del cambiamento</w:t>
            </w:r>
          </w:p>
        </w:tc>
        <w:tc>
          <w:tcPr>
            <w:tcW w:type="dxa" w:w="2880"/>
          </w:tcPr>
          <w:p>
            <w:r>
              <w:t>&lt;0.2 Basso | 0.2-0.5 Medio | &gt;0.5 Alto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