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2.7.1.02 Incentivazione commerciale -&gt; 2.7.1.02 Incentivazione commerciale</w:t>
      </w:r>
    </w:p>
    <w:p>
      <w:pPr>
        <w:jc w:val="center"/>
      </w:pPr>
      <w:r>
        <w:rPr>
          <w:color w:val="666666"/>
          <w:sz w:val="20"/>
        </w:rPr>
        <w:t>Data: 09/02/2026</w:t>
      </w:r>
    </w:p>
    <w:p/>
    <w:p>
      <w:pPr>
        <w:pStyle w:val="Heading2"/>
      </w:pPr>
      <w:r>
        <w:t>1. RIEPILOGO</w:t>
      </w:r>
    </w:p>
    <w:p>
      <w:r>
        <w:t>Il processo "2.7.1.02 Incentivazione commerciale" ha subito un'espansione significativa, con l'introduzione di undici nuove attività e una modifica sostanziale a un'attività esistente. Le nuove attività coprono aspetti quali la definizione dei premi ([020] Definizione ammontare valore premi), la gestione delle garanzie ([070] Richiesta fidejussione), la pubblicazione delle classifiche ([200] Pubblicazione classifiche finali provvisorie), la gestione dei rapporti con i partecipanti e fornitori ([350] Gestione relazione con i partecipanti, [340] Gestione rapporti con fornitore catalogo premi), e la gestione fiscale e contabile ([390] Versamento imposte (IVA /Imposta sostitutiva), [270] Versamento imposte (IRPEF), [410] Certificazione dati contabili). L'attività [060] ha visto un cambio di titolo e descrizione, passando da una verifica di contenuti esterni alla stesura definitiva del regolamento. Queste modifiche comportano un aumento di 10 unità nell'Handover Delta, indicando una maggiore interazione tra diverse unità organizzative.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/>
            <w:r>
              <w:t>Volatility Index</w:t>
            </w:r>
          </w:p>
        </w:tc>
        <w:tc>
          <w:tcPr>
            <w:tcW w:type="dxa" w:w="2880"/>
          </w:tcPr>
          <w:p>
            <w:r/>
            <w:r>
              <w:t>157.14%</w:t>
            </w:r>
          </w:p>
        </w:tc>
        <w:tc>
          <w:tcPr>
            <w:tcW w:type="dxa" w:w="2880"/>
          </w:tcPr>
          <w:p>
            <w:r/>
            <w:r>
              <w:t>Alta</w:t>
            </w:r>
          </w:p>
        </w:tc>
      </w:tr>
      <w:tr>
        <w:tc>
          <w:tcPr>
            <w:tcW w:type="dxa" w:w="2880"/>
          </w:tcPr>
          <w:p>
            <w:r/>
            <w:r>
              <w:t>Handover Delta</w:t>
            </w:r>
          </w:p>
        </w:tc>
        <w:tc>
          <w:tcPr>
            <w:tcW w:type="dxa" w:w="2880"/>
          </w:tcPr>
          <w:p>
            <w:r/>
            <w:r>
              <w:t>+10 (0 -&gt; 10)</w:t>
            </w:r>
          </w:p>
        </w:tc>
        <w:tc>
          <w:tcPr>
            <w:tcW w:type="dxa" w:w="2880"/>
          </w:tcPr>
          <w:p>
            <w:r/>
            <w:r>
              <w:t>Aumento significativo dei passaggi tra unità</w:t>
            </w:r>
          </w:p>
        </w:tc>
      </w:tr>
      <w:tr>
        <w:tc>
          <w:tcPr>
            <w:tcW w:type="dxa" w:w="2880"/>
          </w:tcPr>
          <w:p>
            <w:r/>
            <w:r>
              <w:t>Automation Rate</w:t>
            </w:r>
          </w:p>
        </w:tc>
        <w:tc>
          <w:tcPr>
            <w:tcW w:type="dxa" w:w="2880"/>
          </w:tcPr>
          <w:p>
            <w:r/>
            <w:r>
              <w:t>14.3% → 11.1%</w:t>
            </w:r>
          </w:p>
        </w:tc>
        <w:tc>
          <w:tcPr>
            <w:tcW w:type="dxa" w:w="2880"/>
          </w:tcPr>
          <w:p>
            <w:r/>
            <w:r>
              <w:t>In diminuzione di 3.2 punti percentuali</w:t>
            </w:r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</w:r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/>
            <w:r>
              <w:t>0.90</w:t>
            </w:r>
          </w:p>
        </w:tc>
        <w:tc>
          <w:tcPr>
            <w:tcW w:type="dxa" w:w="2880"/>
            <w:shd w:fill="FFF3CD"/>
          </w:tcPr>
          <w:p>
            <w:r/>
            <w:r>
              <w:t>Alto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r>
        <w:rPr>
          <w:b/>
        </w:rPr>
        <w:t>Attività aggiunte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[020] Definizione ammontare valore premi</w:t>
      </w:r>
      <w:r>
        <w:t xml:space="preserve"> - L'operatore definisce l'ammontare e la tipologia dei premi, supportato da una società esterna, e predispone il materiale illustrativo per la validazione della Direzione Commerciale.</w:t>
      </w:r>
    </w:p>
    <w:p>
      <w:pPr>
        <w:pStyle w:val="ListBullet"/>
      </w:pPr>
      <w:r>
        <w:t xml:space="preserve">  </w:t>
      </w:r>
      <w:r>
        <w:rPr>
          <w:b/>
        </w:rPr>
        <w:t>[070] Richiesta fidejussione</w:t>
      </w:r>
      <w:r>
        <w:t xml:space="preserve"> - L'operatore contatta un'agenzia assicurativa esterna per ottenere una fidejussione a garanzia della consegna dei premi.</w:t>
      </w:r>
    </w:p>
    <w:p>
      <w:pPr>
        <w:pStyle w:val="ListBullet"/>
      </w:pPr>
      <w:r>
        <w:t xml:space="preserve">  </w:t>
      </w:r>
      <w:r>
        <w:rPr>
          <w:b/>
        </w:rPr>
        <w:t>[200] Pubblicazione classifiche finali provvisorie</w:t>
      </w:r>
      <w:r>
        <w:t xml:space="preserve"> - L'incaricato carica le classifiche finali dei contest sul sito dedicato.</w:t>
      </w:r>
    </w:p>
    <w:p>
      <w:pPr>
        <w:pStyle w:val="ListBullet"/>
      </w:pPr>
      <w:r>
        <w:t xml:space="preserve">  </w:t>
      </w:r>
      <w:r>
        <w:rPr>
          <w:b/>
        </w:rPr>
        <w:t>[350] Gestione relazione con i partecipanti</w:t>
      </w:r>
      <w:r>
        <w:t xml:space="preserve"> - La segreteria operativa gestisce richieste di chiarimenti e segnalazioni dei partecipanti tramite telefono o e-mail.</w:t>
      </w:r>
    </w:p>
    <w:p>
      <w:pPr>
        <w:pStyle w:val="ListBullet"/>
      </w:pPr>
      <w:r>
        <w:t xml:space="preserve">  </w:t>
      </w:r>
      <w:r>
        <w:rPr>
          <w:b/>
        </w:rPr>
        <w:t>[390] Versamento imposte (IVA /Imposta sostitutiva)</w:t>
      </w:r>
      <w:r>
        <w:t xml:space="preserve"> - L'ufficio Trade Marketing ed Eventi invia un modulo all'ufficio Fiscale per il pagamento delle imposte sul valore dei premi erogati.</w:t>
      </w:r>
    </w:p>
    <w:p>
      <w:pPr>
        <w:pStyle w:val="ListBullet"/>
      </w:pPr>
      <w:r>
        <w:t xml:space="preserve">  </w:t>
      </w:r>
      <w:r>
        <w:rPr>
          <w:b/>
        </w:rPr>
        <w:t>[340] Gestione rapporti con fornitore catalogo premi</w:t>
      </w:r>
      <w:r>
        <w:t xml:space="preserve"> - L'incaricato gestisce i rapporti con il fornitore del catalogo premi in caso di reclami, disservizi o richieste particolari da parte dei vincitori.</w:t>
      </w:r>
    </w:p>
    <w:p>
      <w:pPr>
        <w:pStyle w:val="ListBullet"/>
      </w:pPr>
      <w:r>
        <w:t xml:space="preserve">  </w:t>
      </w:r>
      <w:r>
        <w:rPr>
          <w:b/>
        </w:rPr>
        <w:t>[270] Versamento imposte (IRPEF)</w:t>
      </w:r>
      <w:r>
        <w:t xml:space="preserve"> - L'ufficio Trade Marketing ed Eventi redige un documento per l'ufficio CONTABILITA' TECNICA CICLO ATTIVO per la gestione dell'acconto IRPEF relativo ai vincitori dei contest.</w:t>
      </w:r>
    </w:p>
    <w:p>
      <w:pPr>
        <w:pStyle w:val="ListBullet"/>
      </w:pPr>
      <w:r>
        <w:t xml:space="preserve">  </w:t>
      </w:r>
      <w:r>
        <w:rPr>
          <w:b/>
        </w:rPr>
        <w:t>[410] Certificazione dati contabili</w:t>
      </w:r>
      <w:r>
        <w:t xml:space="preserve"> - Al termine dell'erogazione dei premi, viene redatto un documento per l'ufficio fiscale per certificare la congruità della spesa.</w:t>
      </w:r>
    </w:p>
    <w:p>
      <w:pPr>
        <w:pStyle w:val="ListBullet"/>
      </w:pPr>
      <w:r>
        <w:t xml:space="preserve">  </w:t>
      </w:r>
      <w:r>
        <w:rPr>
          <w:b/>
        </w:rPr>
        <w:t>[360] Predisposizione ed invio rendicontazione sui premi erogati</w:t>
      </w:r>
      <w:r>
        <w:t xml:space="preserve"> - Un outsourcer predispone e invia un documento di rendicontazione dei premi effettivamente erogati all'ufficio che presiede il contest.</w:t>
      </w:r>
    </w:p>
    <w:p>
      <w:pPr>
        <w:pStyle w:val="ListBullet"/>
      </w:pPr>
      <w:r>
        <w:t xml:space="preserve">  </w:t>
      </w:r>
      <w:r>
        <w:rPr>
          <w:b/>
        </w:rPr>
        <w:t>[080] Deposito Regolamento al Ministero</w:t>
      </w:r>
      <w:r>
        <w:t xml:space="preserve"> - Un consulente esterno riceve la versione definitiva del regolamento e procede al deposito presso il Ministero.</w:t>
      </w:r>
    </w:p>
    <w:p>
      <w:pPr>
        <w:pStyle w:val="ListBullet"/>
      </w:pPr>
      <w:r>
        <w:t xml:space="preserve">  </w:t>
      </w:r>
      <w:r>
        <w:rPr>
          <w:b/>
        </w:rPr>
        <w:t>[370] Scelta modalità di donazione monte premi non erogato</w:t>
      </w:r>
      <w:r>
        <w:t xml:space="preserve"> - L'incaricato, in caso di premi non assegnati, fornisce indicazioni a una società esterna sull'ente a cui donare i premi e sulle modalità di erogazione, inviando poi la liberatoria al consulente esterno.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 xml:space="preserve">  </w:t>
      </w:r>
      <w:r>
        <w:rPr>
          <w:b/>
        </w:rPr>
        <w:t>[060] Stesura definitiva regolamento contest</w:t>
      </w:r>
      <w:r>
        <w:t>:</w:t>
      </w:r>
    </w:p>
    <w:p>
      <w:pPr>
        <w:pStyle w:val="ListBullet"/>
      </w:pPr>
      <w:r>
        <w:t xml:space="preserve">  Titolo modificato da "Verificare contenuti del sito esterno" a "Stesura definitiva regolamento contest".</w:t>
      </w:r>
    </w:p>
    <w:p>
      <w:pPr>
        <w:pStyle w:val="ListBullet"/>
      </w:pPr>
      <w:r>
        <w:t xml:space="preserve">  Descrizione modificata: L'attività, precedentemente incentrata sulla verifica dei contenuti di un sito esterno e l'autorizzazione al rilascio, ora descrive la realizzazione della versione definitiva del regolamento del contest, basata sulle correzioni di un Gruppo di Lavoro (GDL Contest) e sottoposta alla validazione della Direzione Commerciale.</w:t>
      </w:r>
    </w:p>
    <w:p>
      <w:pPr>
        <w:pStyle w:val="Heading3"/>
      </w:pPr>
      <w:r>
        <w:t>3.3 Modifiche Organizzative</w:t>
      </w:r>
    </w:p>
    <w:p>
      <w:r>
        <w:rPr>
          <w:b/>
        </w:rPr>
        <w:t>Unità organizzative aggiunte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AGENZIA DI COMUNICAZIONE</w:t>
      </w:r>
      <w:r>
        <w:t>: gestisce [360] Predisposizione ed invio rendicontazione sui premi erogati.</w:t>
      </w:r>
    </w:p>
    <w:p>
      <w:pPr>
        <w:pStyle w:val="ListBullet"/>
      </w:pPr>
      <w:r>
        <w:t xml:space="preserve">  </w:t>
      </w:r>
      <w:r>
        <w:rPr>
          <w:b/>
        </w:rPr>
        <w:t>SVILUPPO WELFARE E CONTEST – Ufficio fornitore esterno - Agenzia di Comunicazine</w:t>
      </w:r>
      <w:r>
        <w:t>: gestisce [350] Gestione relazione con i partecipanti.</w:t>
      </w:r>
    </w:p>
    <w:p>
      <w:pPr>
        <w:pStyle w:val="ListBullet"/>
      </w:pPr>
      <w:r>
        <w:t xml:space="preserve">  </w:t>
      </w:r>
      <w:r>
        <w:rPr>
          <w:b/>
        </w:rPr>
        <w:t>Fornitore esterno</w:t>
      </w:r>
      <w:r>
        <w:t>: gestisce [200] Pubblicazione classifiche finali provvisorie e [080] Deposito Regolamento al Ministero.</w:t>
      </w:r>
    </w:p>
    <w:p>
      <w:pPr>
        <w:pStyle w:val="ListBullet"/>
      </w:pPr>
      <w:r>
        <w:t xml:space="preserve">  </w:t>
      </w:r>
      <w:r>
        <w:rPr>
          <w:b/>
        </w:rPr>
        <w:t>Trade Marketing ed Eventi</w:t>
      </w:r>
      <w:r>
        <w:t>: gestisce [390] Versamento imposte (IVA /Imposta sostitutiva), [270] Versamento imposte (IRPEF) e [410] Certificazione dati contabili.</w:t>
      </w:r>
    </w:p>
    <w:p>
      <w:r>
        <w:rPr>
          <w:b/>
        </w:rPr>
        <w:t>Unità organizzative con modifiche di competenza</w:t>
      </w:r>
      <w:r>
        <w:t>:</w:t>
      </w:r>
    </w:p>
    <w:p>
      <w:pPr>
        <w:pStyle w:val="ListBullet"/>
      </w:pPr>
      <w:r>
        <w:t xml:space="preserve">  </w:t>
      </w:r>
      <w:r>
        <w:rPr>
          <w:b/>
        </w:rPr>
        <w:t>SVILUPPO WELFARE E CONTEST - Ufficio</w:t>
      </w:r>
      <w:r>
        <w:t>: acquisisce le attività [020] Definizione ammontare valore premi, [070] Richiesta fidejussione, [340] Gestione rapporti con fornitore catalogo premi e [370] Scelta modalità di donazione monte premi non erogato.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 xml:space="preserve">  </w:t>
      </w:r>
      <w:r>
        <w:rPr>
          <w:b/>
        </w:rPr>
        <w:t>[200] Pubblicazione classifiche finali provvisorie</w:t>
      </w:r>
      <w:r>
        <w:t>: applicativo aggiunto "Sito contest" per il caricamento delle classifiche.</w:t>
      </w:r>
    </w:p>
    <w:p/>
    <w:p>
      <w:pPr>
        <w:pStyle w:val="Heading2"/>
      </w:pPr>
      <w:r>
        <w:t>LEGENDA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Descrizione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Soglie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Percentuale di attività aggiunte o rimosse rispetto al totale originale</w:t>
            </w:r>
          </w:p>
        </w:tc>
        <w:tc>
          <w:tcPr>
            <w:tcW w:type="dxa" w:w="2880"/>
          </w:tcPr>
          <w:p>
            <w:r>
              <w:t>0-10% Bassa | 11-30% Media | &gt;30% Alta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Variazione nei passaggi tra unità organizzative diverse</w:t>
            </w:r>
          </w:p>
        </w:tc>
        <w:tc>
          <w:tcPr>
            <w:tcW w:type="dxa" w:w="2880"/>
          </w:tcPr>
          <w:p>
            <w:r>
              <w:t>Positivo = più frammentazione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Percentuale di attività supportate da sistemi IT</w:t>
            </w:r>
          </w:p>
        </w:tc>
        <w:tc>
          <w:tcPr>
            <w:tcW w:type="dxa" w:w="2880"/>
          </w:tcPr>
          <w:p>
            <w:r>
              <w:t>Variazione indica digitalizzazione</w:t>
            </w:r>
          </w:p>
        </w:tc>
      </w:tr>
      <w:tr>
        <w:tc>
          <w:tcPr>
            <w:tcW w:type="dxa" w:w="2880"/>
          </w:tcPr>
          <w:p>
            <w:r>
              <w:t>Process Change Score</w:t>
            </w:r>
          </w:p>
        </w:tc>
        <w:tc>
          <w:tcPr>
            <w:tcW w:type="dxa" w:w="2880"/>
          </w:tcPr>
          <w:p>
            <w:r>
              <w:t>Indice composito di impatto del cambiamento</w:t>
            </w:r>
          </w:p>
        </w:tc>
        <w:tc>
          <w:tcPr>
            <w:tcW w:type="dxa" w:w="2880"/>
          </w:tcPr>
          <w:p>
            <w:r>
              <w:t>&lt;0.2 Basso | 0.2-0.5 Medio | &gt;0.5 Alto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