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di Analisi Comparativa</w:t>
      </w:r>
    </w:p>
    <w:p>
      <w:pPr>
        <w:jc w:val="center"/>
      </w:pPr>
      <w:r>
        <w:rPr>
          <w:i/>
          <w:sz w:val="24"/>
        </w:rPr>
        <w:t>2.7.1.02 Incentivazione commerciale -&gt; 2.7.1.02 Incentivazione commerciale</w:t>
      </w:r>
    </w:p>
    <w:p>
      <w:pPr>
        <w:jc w:val="center"/>
      </w:pPr>
      <w:r>
        <w:rPr>
          <w:color w:val="666666"/>
          <w:sz w:val="20"/>
        </w:rPr>
        <w:t>Data: 09/02/2026</w:t>
      </w:r>
    </w:p>
    <w:p/>
    <w:p>
      <w:r>
        <w:t>## Report di Confronto Processo</w:t>
      </w:r>
    </w:p>
    <w:p>
      <w:pPr>
        <w:pStyle w:val="Heading2"/>
      </w:pPr>
      <w:r>
        <w:t>1. RIEPILOGO</w:t>
      </w:r>
    </w:p>
    <w:p>
      <w:r>
        <w:t>Il processo "2.7.1.02 Incentivazione commerciale" ha subito modifiche strutturali significative, con l'introduzione di 11 nuove attività e la modifica di una attività esistente ([060] Stesura definitiva regolamento contest). Non sono state rimosse attività. Queste aggiunte hanno portato all'introduzione di nuove unità organizzative come "Trade Marketing ed Eventi" e "Fornitore esterno", e all'ampliamento delle competenze per unità esistenti come "SVILUPPO WELFARE E CONTEST - Ufficio". L'Handover Delta aumenta di 10 passaggi, riflettendo la maggiore complessità e i nuovi punti di interazione tra le unità coinvolte.</w:t>
      </w:r>
    </w:p>
    <w:p>
      <w:pPr>
        <w:pStyle w:val="Heading2"/>
      </w:pPr>
      <w:r>
        <w:t>2.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r>
            <w:r>
              <w:rPr>
                <w:b/>
                <w:color w:val="FFFFFF"/>
              </w:rPr>
              <w:t>Metrica</w:t>
            </w:r>
          </w:p>
        </w:tc>
        <w:tc>
          <w:tcPr>
            <w:tcW w:type="dxa" w:w="2880"/>
            <w:shd w:fill="2E5A7C"/>
          </w:tcPr>
          <w:p>
            <w:r>
              <w:rPr>
                <w:b/>
                <w:color w:val="FFFFFF"/>
              </w:rPr>
            </w:r>
            <w:r>
              <w:rPr>
                <w:b/>
                <w:color w:val="FFFFFF"/>
              </w:rPr>
              <w:t>Valore</w:t>
            </w:r>
          </w:p>
        </w:tc>
        <w:tc>
          <w:tcPr>
            <w:tcW w:type="dxa" w:w="2880"/>
            <w:shd w:fill="2E5A7C"/>
          </w:tcPr>
          <w:p>
            <w:r>
              <w:rPr>
                <w:b/>
                <w:color w:val="FFFFFF"/>
              </w:rPr>
            </w:r>
            <w:r>
              <w:rPr>
                <w:b/>
                <w:color w:val="FFFFFF"/>
              </w:rPr>
              <w:t>Valutazione</w:t>
            </w:r>
          </w:p>
        </w:tc>
      </w:tr>
      <w:tr>
        <w:tc>
          <w:tcPr>
            <w:tcW w:type="dxa" w:w="2880"/>
          </w:tcPr>
          <w:p>
            <w:r/>
            <w:r>
              <w:t>Volatility Index</w:t>
            </w:r>
          </w:p>
        </w:tc>
        <w:tc>
          <w:tcPr>
            <w:tcW w:type="dxa" w:w="2880"/>
          </w:tcPr>
          <w:p>
            <w:r/>
            <w:r>
              <w:t>157.14%</w:t>
            </w:r>
          </w:p>
        </w:tc>
        <w:tc>
          <w:tcPr>
            <w:tcW w:type="dxa" w:w="2880"/>
          </w:tcPr>
          <w:p>
            <w:r/>
            <w:r>
              <w:t>Alta</w:t>
            </w:r>
          </w:p>
        </w:tc>
      </w:tr>
      <w:tr>
        <w:tc>
          <w:tcPr>
            <w:tcW w:type="dxa" w:w="2880"/>
          </w:tcPr>
          <w:p>
            <w:r/>
            <w:r>
              <w:t>Handover Delta</w:t>
            </w:r>
          </w:p>
        </w:tc>
        <w:tc>
          <w:tcPr>
            <w:tcW w:type="dxa" w:w="2880"/>
          </w:tcPr>
          <w:p>
            <w:r/>
            <w:r>
              <w:t>+10 (0 -&gt; 10)</w:t>
            </w:r>
          </w:p>
        </w:tc>
        <w:tc>
          <w:tcPr>
            <w:tcW w:type="dxa" w:w="2880"/>
          </w:tcPr>
          <w:p>
            <w:r/>
            <w:r>
              <w:t>Aumento significativo dei passaggi</w:t>
            </w:r>
          </w:p>
        </w:tc>
      </w:tr>
      <w:tr>
        <w:tc>
          <w:tcPr>
            <w:tcW w:type="dxa" w:w="2880"/>
          </w:tcPr>
          <w:p>
            <w:r/>
            <w:r>
              <w:t>Automation Rate</w:t>
            </w:r>
          </w:p>
        </w:tc>
        <w:tc>
          <w:tcPr>
            <w:tcW w:type="dxa" w:w="2880"/>
          </w:tcPr>
          <w:p>
            <w:r/>
            <w:r>
              <w:t>14.3% → 11.1%</w:t>
            </w:r>
          </w:p>
        </w:tc>
        <w:tc>
          <w:tcPr>
            <w:tcW w:type="dxa" w:w="2880"/>
          </w:tcPr>
          <w:p>
            <w:r/>
            <w:r>
              <w:t>In diminuzione</w:t>
            </w:r>
          </w:p>
        </w:tc>
      </w:tr>
      <w:tr>
        <w:tc>
          <w:tcPr>
            <w:tcW w:type="dxa" w:w="2880"/>
            <w:shd w:fill="FFF3CD"/>
          </w:tcPr>
          <w:p>
            <w:r>
              <w:rPr>
                <w:b/>
              </w:rPr>
            </w:r>
            <w:r>
              <w:rPr>
                <w:b/>
              </w:rPr>
              <w:t>Process Change Score</w:t>
            </w:r>
          </w:p>
        </w:tc>
        <w:tc>
          <w:tcPr>
            <w:tcW w:type="dxa" w:w="2880"/>
            <w:shd w:fill="FFF3CD"/>
          </w:tcPr>
          <w:p>
            <w:r/>
            <w:r>
              <w:t>0.90</w:t>
            </w:r>
          </w:p>
        </w:tc>
        <w:tc>
          <w:tcPr>
            <w:tcW w:type="dxa" w:w="2880"/>
            <w:shd w:fill="FFF3CD"/>
          </w:tcPr>
          <w:p>
            <w:r/>
            <w:r>
              <w:t>Alto</w:t>
            </w:r>
          </w:p>
        </w:tc>
      </w:tr>
    </w:tbl>
    <w:p>
      <w:pPr>
        <w:pStyle w:val="Heading2"/>
      </w:pPr>
      <w:r>
        <w:t>3. DETTAGLIO MODIFICHE</w:t>
      </w:r>
    </w:p>
    <w:p>
      <w:pPr>
        <w:pStyle w:val="Heading3"/>
      </w:pPr>
      <w:r>
        <w:t>3.1 Modifiche Strutturali</w:t>
      </w:r>
    </w:p>
    <w:p>
      <w:r>
        <w:rPr>
          <w:b/>
        </w:rPr>
        <w:t>Attività aggiunte</w:t>
      </w:r>
      <w:r>
        <w:t>:</w:t>
      </w:r>
    </w:p>
    <w:p>
      <w:pPr>
        <w:pStyle w:val="ListBullet"/>
      </w:pPr>
      <w:r>
        <w:t xml:space="preserve">  </w:t>
      </w:r>
      <w:r>
        <w:rPr>
          <w:b/>
        </w:rPr>
        <w:t>[390] Versamento imposte (IVA /Imposta sostitutiva)</w:t>
      </w:r>
      <w:r>
        <w:t>: Questa attività formalizza il processo di invio all'ufficio Fiscale del modulo per il pagamento delle tasse sui premi erogati, al completamento dell'erogazione o al ricevimento della fattura a saldo.</w:t>
      </w:r>
    </w:p>
    <w:p>
      <w:pPr>
        <w:pStyle w:val="ListBullet"/>
      </w:pPr>
      <w:r>
        <w:t xml:space="preserve">  </w:t>
      </w:r>
      <w:r>
        <w:rPr>
          <w:b/>
        </w:rPr>
        <w:t>[370] Scelta modalità di donazione monte premi non erogato</w:t>
      </w:r>
      <w:r>
        <w:t>: Introduce la gestione dei premi non assegnati, prevedendo l'indicazione a una società esterna dell'ente a cui donarli e delle relative modalità, con successivo invio della liberatoria all'ufficio marketing di prodotto per l'informativa al Ministero.</w:t>
      </w:r>
    </w:p>
    <w:p>
      <w:pPr>
        <w:pStyle w:val="ListBullet"/>
      </w:pPr>
      <w:r>
        <w:t xml:space="preserve">  </w:t>
      </w:r>
      <w:r>
        <w:rPr>
          <w:b/>
        </w:rPr>
        <w:t>[200] Pubblicazione classifiche finali provvisorie</w:t>
      </w:r>
      <w:r>
        <w:t>: Prevede il caricamento delle classifiche finali dei contest sul sito da parte del fornitore esterno.</w:t>
      </w:r>
    </w:p>
    <w:p>
      <w:pPr>
        <w:pStyle w:val="ListBullet"/>
      </w:pPr>
      <w:r>
        <w:t xml:space="preserve">  </w:t>
      </w:r>
      <w:r>
        <w:rPr>
          <w:b/>
        </w:rPr>
        <w:t>[360] Predisposizione ed invio rendicontazione sui premi erogati</w:t>
      </w:r>
      <w:r>
        <w:t>: Formalizza la creazione e l'invio di un documento di rendicontazione dei premi effettivamente erogati dall'outsourcer all'ufficio che presiede il contest, una volta scaduto il termine per il ritiro.</w:t>
      </w:r>
    </w:p>
    <w:p>
      <w:pPr>
        <w:pStyle w:val="ListBullet"/>
      </w:pPr>
      <w:r>
        <w:t xml:space="preserve">  </w:t>
      </w:r>
      <w:r>
        <w:rPr>
          <w:b/>
        </w:rPr>
        <w:t>[070] Richiesta fidejussione</w:t>
      </w:r>
      <w:r>
        <w:t>: Introduce la richiesta di una fidejussione a un'altra Compagnia assicurativa come garanzia della consegna dei premi e dei beni in palio.</w:t>
      </w:r>
    </w:p>
    <w:p>
      <w:pPr>
        <w:pStyle w:val="ListBullet"/>
      </w:pPr>
      <w:r>
        <w:t xml:space="preserve">  </w:t>
      </w:r>
      <w:r>
        <w:rPr>
          <w:b/>
        </w:rPr>
        <w:t>[410] Certificazione dati contabili</w:t>
      </w:r>
      <w:r>
        <w:t>: Prevede la redazione di un documento per l'ufficio fiscale al fine di certificare la congruità della spesa con quanto dichiarato o eventuali difformità, una volta erogati tutti i premi o conclusi i viaggi premio.</w:t>
      </w:r>
    </w:p>
    <w:p>
      <w:pPr>
        <w:pStyle w:val="ListBullet"/>
      </w:pPr>
      <w:r>
        <w:t xml:space="preserve">  </w:t>
      </w:r>
      <w:r>
        <w:rPr>
          <w:b/>
        </w:rPr>
        <w:t>[350] Gestione relazione con i partecipanti</w:t>
      </w:r>
      <w:r>
        <w:t>: Descrive la gestione delle richieste di chiarimenti e segnalazioni dei partecipanti da parte della segreteria operativa o dell'operatore, durante il periodo di selezione dei premi.</w:t>
      </w:r>
    </w:p>
    <w:p>
      <w:pPr>
        <w:pStyle w:val="ListBullet"/>
      </w:pPr>
      <w:r>
        <w:t xml:space="preserve">  </w:t>
      </w:r>
      <w:r>
        <w:rPr>
          <w:b/>
        </w:rPr>
        <w:t>[080] Deposito Regolamento al Ministero</w:t>
      </w:r>
      <w:r>
        <w:t>: Formalizza il ricevimento della versione definitiva del regolamento da parte del consulente esterno e il suo deposito al Ministero.</w:t>
      </w:r>
    </w:p>
    <w:p>
      <w:pPr>
        <w:pStyle w:val="ListBullet"/>
      </w:pPr>
      <w:r>
        <w:t xml:space="preserve">  </w:t>
      </w:r>
      <w:r>
        <w:rPr>
          <w:b/>
        </w:rPr>
        <w:t>[020] Definizione ammontare valore premi</w:t>
      </w:r>
      <w:r>
        <w:t>: Dettaglia l'attività di definizione dell'ammontare del valore dei premi, la loro selezione e l'assegnazione dei circuiti di spesa, basandosi su criteri specifici e con il supporto di una società esterna, includendo anche la predisposizione della grafica e del materiale illustrativo per la validazione della Direzione Commerciale.</w:t>
      </w:r>
    </w:p>
    <w:p>
      <w:pPr>
        <w:pStyle w:val="ListBullet"/>
      </w:pPr>
      <w:r>
        <w:t xml:space="preserve">  </w:t>
      </w:r>
      <w:r>
        <w:rPr>
          <w:b/>
        </w:rPr>
        <w:t>[270] Versamento imposte (IRPEF)</w:t>
      </w:r>
      <w:r>
        <w:t>: Introduce la redazione di un documento da inviare all'ufficio CONTABILITA' TECNICA CICLO ATTIVO per la richiesta dell'acconto delle tasse alle Agenzie vincitrici tramite PNT, da conguagliare in sede di dichiarazione dei redditi.</w:t>
      </w:r>
    </w:p>
    <w:p>
      <w:pPr>
        <w:pStyle w:val="ListBullet"/>
      </w:pPr>
      <w:r>
        <w:t xml:space="preserve">  </w:t>
      </w:r>
      <w:r>
        <w:rPr>
          <w:b/>
        </w:rPr>
        <w:t>[340] Gestione rapporti con fornitore catalogo premi</w:t>
      </w:r>
      <w:r>
        <w:t>: Descrive la gestione dei rapporti con il fornitore del catalogo premi in caso di reclami, disservizi o richieste particolari da parte dei vincitori.</w:t>
      </w:r>
    </w:p>
    <w:p>
      <w:pPr>
        <w:pStyle w:val="Heading3"/>
      </w:pPr>
      <w:r>
        <w:t>3.2 Modifiche di Contenuto</w:t>
      </w:r>
    </w:p>
    <w:p>
      <w:pPr>
        <w:pStyle w:val="ListBullet"/>
      </w:pPr>
      <w:r>
        <w:t xml:space="preserve">  </w:t>
      </w:r>
      <w:r>
        <w:rPr>
          <w:b/>
        </w:rPr>
        <w:t>[060] Stesura definitiva regolamento contest</w:t>
      </w:r>
      <w:r>
        <w:t>:</w:t>
      </w:r>
    </w:p>
    <w:p>
      <w:pPr>
        <w:pStyle w:val="ListBullet"/>
      </w:pPr>
      <w:r>
        <w:t xml:space="preserve">  </w:t>
      </w:r>
      <w:r>
        <w:rPr>
          <w:b/>
        </w:rPr>
        <w:t>Titolo modificato</w:t>
      </w:r>
      <w:r>
        <w:t>: da "Verificare contenuti del sito esterno" a "Stesura definitiva regolamento contest".</w:t>
      </w:r>
    </w:p>
    <w:p>
      <w:pPr>
        <w:pStyle w:val="ListBullet"/>
      </w:pPr>
      <w:r>
        <w:t xml:space="preserve">  </w:t>
      </w:r>
      <w:r>
        <w:rPr>
          <w:b/>
        </w:rPr>
        <w:t>Descrizione modificata</w:t>
      </w:r>
      <w:r>
        <w:t>: La descrizione è stata completamente riscritta. Precedentemente, l'attività riguardava la verifica dei contenuti del sito esterno e l'autorizzazione al rilascio. Ora, l'attività si concentra sulla realizzazione della versione definitiva del regolamento, recependo le correzioni da un GDL Contest (Trade Marketing ed Eventi, Fiscale, Legale, Sviluppo Vendite, Pianificazione &amp; Business Intelligence Commerciale) e sottoponendola alla validazione della Direzione Commerciale, unitamente alle selezioni premiali.</w:t>
      </w:r>
    </w:p>
    <w:p>
      <w:pPr>
        <w:pStyle w:val="Heading3"/>
      </w:pPr>
      <w:r>
        <w:t>3.3 Modifiche Organizzative</w:t>
      </w:r>
    </w:p>
    <w:p>
      <w:r>
        <w:rPr>
          <w:b/>
        </w:rPr>
        <w:t>Unità organizzative aggiunte</w:t>
      </w:r>
      <w:r>
        <w:t>:</w:t>
      </w:r>
    </w:p>
    <w:p>
      <w:pPr>
        <w:pStyle w:val="ListBullet"/>
      </w:pPr>
      <w:r>
        <w:t xml:space="preserve">  </w:t>
      </w:r>
      <w:r>
        <w:rPr>
          <w:b/>
        </w:rPr>
        <w:t>Trade Marketing ed Eventi</w:t>
      </w:r>
      <w:r>
        <w:t>: gestisce [390] Versamento imposte (IVA /Imposta sostitutiva), [410] Certificazione dati contabili, [270] Versamento imposte (IRPEF).</w:t>
      </w:r>
    </w:p>
    <w:p>
      <w:pPr>
        <w:pStyle w:val="ListBullet"/>
      </w:pPr>
      <w:r>
        <w:t xml:space="preserve">  </w:t>
      </w:r>
      <w:r>
        <w:rPr>
          <w:b/>
        </w:rPr>
        <w:t>Fornitore esterno</w:t>
      </w:r>
      <w:r>
        <w:t>: gestisce [200] Pubblicazione classifiche finali provvisorie, [080] Deposito Regolamento al Ministero.</w:t>
      </w:r>
    </w:p>
    <w:p>
      <w:pPr>
        <w:pStyle w:val="ListBullet"/>
      </w:pPr>
      <w:r>
        <w:t xml:space="preserve">  </w:t>
      </w:r>
      <w:r>
        <w:rPr>
          <w:b/>
        </w:rPr>
        <w:t>AGENZIA DI COMUNICAZIONE</w:t>
      </w:r>
      <w:r>
        <w:t>: gestisce [360] Predisposizione ed invio rendicontazione sui premi erogati.</w:t>
      </w:r>
    </w:p>
    <w:p>
      <w:pPr>
        <w:pStyle w:val="ListBullet"/>
      </w:pPr>
      <w:r>
        <w:t xml:space="preserve">  </w:t>
      </w:r>
      <w:r>
        <w:rPr>
          <w:b/>
        </w:rPr>
        <w:t>SVILUPPO WELFARE E CONTEST – Ufficio fornitore esterno - Agenzia di Comunicazine</w:t>
      </w:r>
      <w:r>
        <w:t>: gestisce [350] Gestione relazione con i partecipanti.</w:t>
      </w:r>
    </w:p>
    <w:p>
      <w:r>
        <w:rPr>
          <w:b/>
        </w:rPr>
        <w:t>Unità organizzative con modifiche di competenza</w:t>
      </w:r>
      <w:r>
        <w:t>:</w:t>
      </w:r>
    </w:p>
    <w:p>
      <w:pPr>
        <w:pStyle w:val="ListBullet"/>
      </w:pPr>
      <w:r>
        <w:t xml:space="preserve">  </w:t>
      </w:r>
      <w:r>
        <w:rPr>
          <w:b/>
        </w:rPr>
        <w:t>SVILUPPO WELFARE E CONTEST - Ufficio</w:t>
      </w:r>
      <w:r>
        <w:t>: acquisisce le attività [370] Scelta modalità di donazione monte premi non erogato, [070] Richiesta fidejussione, [020] Definizione ammontare valore premi, [340] Gestione rapporti con fornitore catalogo premi.</w:t>
      </w:r>
    </w:p>
    <w:p>
      <w:pPr>
        <w:pStyle w:val="Heading3"/>
      </w:pPr>
      <w:r>
        <w:t>3.4 Modifiche Tecnologiche</w:t>
      </w:r>
    </w:p>
    <w:p>
      <w:pPr>
        <w:pStyle w:val="ListBullet"/>
      </w:pPr>
      <w:r>
        <w:t xml:space="preserve">  </w:t>
      </w:r>
      <w:r>
        <w:rPr>
          <w:b/>
        </w:rPr>
        <w:t>[200] Pubblicazione classifiche finali provvisorie</w:t>
      </w:r>
      <w:r>
        <w:t>: applicativo aggiunto "Sito contest" per il caricamento delle classifiche finali.</w:t>
      </w:r>
    </w:p>
    <w:p/>
    <w:p>
      <w:pPr>
        <w:pStyle w:val="Heading2"/>
      </w:pPr>
      <w:r>
        <w:t>LEGENDA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t>Metrica</w:t>
            </w:r>
          </w:p>
        </w:tc>
        <w:tc>
          <w:tcPr>
            <w:tcW w:type="dxa" w:w="2880"/>
            <w:shd w:fill="2E5A7C"/>
          </w:tcPr>
          <w:p>
            <w:r>
              <w:rPr>
                <w:b/>
                <w:color w:val="FFFFFF"/>
              </w:rPr>
              <w:t>Descrizione</w:t>
            </w:r>
          </w:p>
        </w:tc>
        <w:tc>
          <w:tcPr>
            <w:tcW w:type="dxa" w:w="2880"/>
            <w:shd w:fill="2E5A7C"/>
          </w:tcPr>
          <w:p>
            <w:r>
              <w:rPr>
                <w:b/>
                <w:color w:val="FFFFFF"/>
              </w:rPr>
              <w:t>Soglie</w:t>
            </w:r>
          </w:p>
        </w:tc>
      </w:tr>
      <w:tr>
        <w:tc>
          <w:tcPr>
            <w:tcW w:type="dxa" w:w="2880"/>
          </w:tcPr>
          <w:p>
            <w:r>
              <w:t>Volatility Index</w:t>
            </w:r>
          </w:p>
        </w:tc>
        <w:tc>
          <w:tcPr>
            <w:tcW w:type="dxa" w:w="2880"/>
          </w:tcPr>
          <w:p>
            <w:r>
              <w:t>Percentuale di attività aggiunte o rimosse rispetto al totale originale</w:t>
            </w:r>
          </w:p>
        </w:tc>
        <w:tc>
          <w:tcPr>
            <w:tcW w:type="dxa" w:w="2880"/>
          </w:tcPr>
          <w:p>
            <w:r>
              <w:t>0-10% Bassa | 11-30% Media | &gt;30% Alta</w:t>
            </w:r>
          </w:p>
        </w:tc>
      </w:tr>
      <w:tr>
        <w:tc>
          <w:tcPr>
            <w:tcW w:type="dxa" w:w="2880"/>
          </w:tcPr>
          <w:p>
            <w:r>
              <w:t>Handover Delta</w:t>
            </w:r>
          </w:p>
        </w:tc>
        <w:tc>
          <w:tcPr>
            <w:tcW w:type="dxa" w:w="2880"/>
          </w:tcPr>
          <w:p>
            <w:r>
              <w:t>Variazione nei passaggi tra unità organizzative diverse</w:t>
            </w:r>
          </w:p>
        </w:tc>
        <w:tc>
          <w:tcPr>
            <w:tcW w:type="dxa" w:w="2880"/>
          </w:tcPr>
          <w:p>
            <w:r>
              <w:t>Positivo = più frammentazione</w:t>
            </w:r>
          </w:p>
        </w:tc>
      </w:tr>
      <w:tr>
        <w:tc>
          <w:tcPr>
            <w:tcW w:type="dxa" w:w="2880"/>
          </w:tcPr>
          <w:p>
            <w:r>
              <w:t>Automation Rate</w:t>
            </w:r>
          </w:p>
        </w:tc>
        <w:tc>
          <w:tcPr>
            <w:tcW w:type="dxa" w:w="2880"/>
          </w:tcPr>
          <w:p>
            <w:r>
              <w:t>Percentuale di attività supportate da sistemi IT</w:t>
            </w:r>
          </w:p>
        </w:tc>
        <w:tc>
          <w:tcPr>
            <w:tcW w:type="dxa" w:w="2880"/>
          </w:tcPr>
          <w:p>
            <w:r>
              <w:t>Variazione indica digitalizzazione</w:t>
            </w:r>
          </w:p>
        </w:tc>
      </w:tr>
      <w:tr>
        <w:tc>
          <w:tcPr>
            <w:tcW w:type="dxa" w:w="2880"/>
          </w:tcPr>
          <w:p>
            <w:r>
              <w:t>Process Change Score</w:t>
            </w:r>
          </w:p>
        </w:tc>
        <w:tc>
          <w:tcPr>
            <w:tcW w:type="dxa" w:w="2880"/>
          </w:tcPr>
          <w:p>
            <w:r>
              <w:t>Indice composito di impatto del cambiamento</w:t>
            </w:r>
          </w:p>
        </w:tc>
        <w:tc>
          <w:tcPr>
            <w:tcW w:type="dxa" w:w="2880"/>
          </w:tcPr>
          <w:p>
            <w:r>
              <w:t>&lt;0.2 Basso | 0.2-0.5 Medio | &gt;0.5 Alto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