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2.2.2.17 RE Infortuni Malattie individuali - Assunzione prodotti -&gt; 2.2.2.17 RE Infortuni Malattie individuali - Assunzione prodotti (REV. 2025)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+0</w:t>
            </w:r>
          </w:p>
        </w:tc>
        <w:tc>
          <w:tcPr>
            <w:tcW w:type="dxa" w:w="2880"/>
          </w:tcPr>
          <w:p>
            <w:r>
              <w:t>38 -&gt; 38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78.7% -&gt; 78.7%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non presenta variazioni nelle attività, negli esecutori o nei sistemi applicativi. L'unica modifica rilevata riguarda l'aggiornamento della denominazione del processo. Le metriche di volatilità, handover e automazione risultano invariate.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78.7% → 78.7%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0.0 (Basso)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