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2.3.3.23 RE Gestione Reticenze Malattia -&gt; 2.3.3.23 RE Gestione Reticenze Malattia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+1</w:t>
            </w:r>
          </w:p>
        </w:tc>
        <w:tc>
          <w:tcPr>
            <w:tcW w:type="dxa" w:w="2880"/>
          </w:tcPr>
          <w:p>
            <w:r>
              <w:t>6 -&gt; 7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77.8% -&gt; 77.8%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0.07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non presenta variazioni nel numero di attività o nei sistemi informatici utilizzati. Sono state rilevate modifiche organizzative per le attività [030], [050] e [080], con il cambio dei relativi esecutori.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+1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77.8% → 77.8%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0.07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[030] Esecutore: da CONSULENZA RETAIL a TEAM ANTIFRODE SANITARIA - Ufficio</w:t>
      </w:r>
    </w:p>
    <w:p>
      <w:pPr>
        <w:pStyle w:val="ListBullet"/>
      </w:pPr>
      <w:r>
        <w:t>[050] Esecutore: da CONSULENZA RETAIL a NUCLEO VALUTAZIONE MEDICA - Ufficio</w:t>
      </w:r>
    </w:p>
    <w:p>
      <w:pPr>
        <w:pStyle w:val="ListBullet"/>
      </w:pPr>
      <w:r>
        <w:t>[080] Esecutore: da CONSULENZA RETAIL a BACK OFFICE CONTRATTI SALUTE - Ufficio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