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2.4.01.BLUE Gestione moduli di adeguata verifica -&gt; 2.4.01.BLUE Gestione moduli di adeguata verifica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0 -&gt; 5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28.6% -&gt; 28.6%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0.40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non presenta variazioni nel numero di attività o nei sistemi informatici utilizzati. Sono state rilevate modifiche organizzative riguardanti gli esecutori delle attività [030], [050] e [070].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+5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28.6% → 28.6%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0.4 (Medio)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[030] Esecutore: da SERVIZI AMMINISTRATIVI TEAM 1 - Ufficio a ANTIRICICLAGGIO - Ufficio</w:t>
      </w:r>
    </w:p>
    <w:p>
      <w:pPr>
        <w:pStyle w:val="ListBullet"/>
      </w:pPr>
      <w:r>
        <w:t>[050] Esecutore: da SERVIZI AMMINISTRATIVI TEAM 1 - Ufficio a COMPLIANCE - Ufficio</w:t>
      </w:r>
    </w:p>
    <w:p>
      <w:pPr>
        <w:pStyle w:val="ListBullet"/>
      </w:pPr>
      <w:r>
        <w:t>[070] Esecutore: da SERVIZI AMMINISTRATIVI TEAM 1 - Ufficio a CONTROLLO INTERNO - Ufficio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