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 di Analisi Comparativa</w:t>
      </w:r>
    </w:p>
    <w:p>
      <w:pPr>
        <w:jc w:val="center"/>
      </w:pPr>
      <w:r>
        <w:rPr>
          <w:i/>
          <w:sz w:val="24"/>
        </w:rPr>
        <w:t>2.4.06.BLUE Gestione lavorazione beneficiario -&gt; 2.4.06.BLUE Gestione lavorazione beneficiario</w:t>
      </w:r>
    </w:p>
    <w:p>
      <w:pPr>
        <w:jc w:val="center"/>
      </w:pPr>
      <w:r>
        <w:rPr>
          <w:color w:val="666666"/>
          <w:sz w:val="20"/>
        </w:rPr>
        <w:t>Data: 02/02/2026</w:t>
      </w:r>
    </w:p>
    <w:p/>
    <w:p>
      <w:pPr>
        <w:pStyle w:val="Heading1"/>
      </w:pPr>
      <w:r>
        <w:t>Riepilogo Metriche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Metrica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Valore</w:t>
            </w:r>
          </w:p>
        </w:tc>
        <w:tc>
          <w:tcPr>
            <w:tcW w:type="dxa" w:w="2880"/>
            <w:shd w:fill="2E5A7C"/>
          </w:tcPr>
          <w:p>
            <w:r>
              <w:rPr>
                <w:b/>
                <w:color w:val="FFFFFF"/>
              </w:rPr>
              <w:t>Valutazione</w:t>
            </w:r>
          </w:p>
        </w:tc>
      </w:tr>
      <w:tr>
        <w:tc>
          <w:tcPr>
            <w:tcW w:type="dxa" w:w="2880"/>
          </w:tcPr>
          <w:p>
            <w:r>
              <w:t>Volatility Index</w:t>
            </w:r>
          </w:p>
        </w:tc>
        <w:tc>
          <w:tcPr>
            <w:tcW w:type="dxa" w:w="2880"/>
          </w:tcPr>
          <w:p>
            <w:r>
              <w:t>25.0%</w:t>
            </w:r>
          </w:p>
        </w:tc>
        <w:tc>
          <w:tcPr>
            <w:tcW w:type="dxa" w:w="2880"/>
          </w:tcPr>
          <w:p>
            <w:r>
              <w:t>Media</w:t>
            </w:r>
          </w:p>
        </w:tc>
      </w:tr>
      <w:tr>
        <w:tc>
          <w:tcPr>
            <w:tcW w:type="dxa" w:w="2880"/>
          </w:tcPr>
          <w:p>
            <w:r>
              <w:t>Handover Delta</w:t>
            </w:r>
          </w:p>
        </w:tc>
        <w:tc>
          <w:tcPr>
            <w:tcW w:type="dxa" w:w="2880"/>
          </w:tcPr>
          <w:p>
            <w:r>
              <w:t>+0</w:t>
            </w:r>
          </w:p>
        </w:tc>
        <w:tc>
          <w:tcPr>
            <w:tcW w:type="dxa" w:w="2880"/>
          </w:tcPr>
          <w:p>
            <w:r>
              <w:t>2 -&gt; 2</w:t>
            </w:r>
          </w:p>
        </w:tc>
      </w:tr>
      <w:tr>
        <w:tc>
          <w:tcPr>
            <w:tcW w:type="dxa" w:w="2880"/>
          </w:tcPr>
          <w:p>
            <w:r>
              <w:t>Automation Rate</w:t>
            </w:r>
          </w:p>
        </w:tc>
        <w:tc>
          <w:tcPr>
            <w:tcW w:type="dxa" w:w="2880"/>
          </w:tcPr>
          <w:p>
            <w:r>
              <w:t>75.0% -&gt; 83.3%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  <w:shd w:fill="FFF3CD"/>
          </w:tcPr>
          <w:p>
            <w:r>
              <w:rPr>
                <w:b/>
              </w:rPr>
              <w:t>Process Change Score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0.13</w:t>
            </w:r>
          </w:p>
        </w:tc>
        <w:tc>
          <w:tcPr>
            <w:tcW w:type="dxa" w:w="2880"/>
            <w:shd w:fill="FFF3CD"/>
          </w:tcPr>
          <w:p>
            <w:r>
              <w:rPr>
                <w:b/>
              </w:rPr>
              <w:t>Basso</w:t>
            </w:r>
          </w:p>
        </w:tc>
      </w:tr>
    </w:tbl>
    <w:p/>
    <w:p>
      <w:pPr>
        <w:pStyle w:val="Heading2"/>
      </w:pPr>
      <w:r>
        <w:t>1. RIEPILOGO</w:t>
      </w:r>
    </w:p>
    <w:p>
      <w:r>
        <w:t>Il processo presenta la rimozione di 2 attività. Le attività [030] e [060] sono state eliminate dal flusso di lavoro. Non si riscontrano modifiche strutturali aggiuntive, né variazioni negli esecutori o nei sistemi applicativi delle attività residue.</w:t>
      </w:r>
    </w:p>
    <w:p>
      <w:pPr>
        <w:pStyle w:val="Heading2"/>
      </w:pPr>
      <w:r>
        <w:t>2. METRICHE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Metrica</w:t>
            </w:r>
          </w:p>
        </w:tc>
        <w:tc>
          <w:tcPr>
            <w:tcW w:type="dxa" w:w="4320"/>
            <w:shd w:fill="E0E0E0"/>
          </w:tcPr>
          <w:p>
            <w:r>
              <w:rPr>
                <w:b/>
              </w:rPr>
            </w:r>
            <w:r>
              <w:rPr>
                <w:b/>
              </w:rPr>
              <w:t>Valore</w:t>
            </w:r>
          </w:p>
        </w:tc>
      </w:tr>
      <w:tr>
        <w:tc>
          <w:tcPr>
            <w:tcW w:type="dxa" w:w="4320"/>
          </w:tcPr>
          <w:p>
            <w:r/>
            <w:r>
              <w:t>Volatility Index</w:t>
            </w:r>
          </w:p>
        </w:tc>
        <w:tc>
          <w:tcPr>
            <w:tcW w:type="dxa" w:w="4320"/>
          </w:tcPr>
          <w:p>
            <w:r/>
            <w:r>
              <w:t>25.0%</w:t>
            </w:r>
          </w:p>
        </w:tc>
      </w:tr>
      <w:tr>
        <w:tc>
          <w:tcPr>
            <w:tcW w:type="dxa" w:w="4320"/>
          </w:tcPr>
          <w:p>
            <w:r/>
            <w:r>
              <w:t>Handover Delta</w:t>
            </w:r>
          </w:p>
        </w:tc>
        <w:tc>
          <w:tcPr>
            <w:tcW w:type="dxa" w:w="4320"/>
          </w:tcPr>
          <w:p>
            <w:r/>
            <w:r>
              <w:t>0</w:t>
            </w:r>
          </w:p>
        </w:tc>
      </w:tr>
      <w:tr>
        <w:tc>
          <w:tcPr>
            <w:tcW w:type="dxa" w:w="4320"/>
          </w:tcPr>
          <w:p>
            <w:r/>
            <w:r>
              <w:t>Automation Rate</w:t>
            </w:r>
          </w:p>
        </w:tc>
        <w:tc>
          <w:tcPr>
            <w:tcW w:type="dxa" w:w="4320"/>
          </w:tcPr>
          <w:p>
            <w:r/>
            <w:r>
              <w:t>75.0% → 83.3%</w:t>
            </w:r>
          </w:p>
        </w:tc>
      </w:tr>
      <w:tr>
        <w:tc>
          <w:tcPr>
            <w:tcW w:type="dxa" w:w="4320"/>
          </w:tcPr>
          <w:p>
            <w:r/>
            <w:r>
              <w:t>Process Change Score</w:t>
            </w:r>
          </w:p>
        </w:tc>
        <w:tc>
          <w:tcPr>
            <w:tcW w:type="dxa" w:w="4320"/>
          </w:tcPr>
          <w:p>
            <w:r/>
            <w:r>
              <w:t>0.13 (Basso)</w:t>
            </w:r>
          </w:p>
        </w:tc>
      </w:tr>
    </w:tbl>
    <w:p>
      <w:pPr>
        <w:pStyle w:val="Heading2"/>
      </w:pPr>
      <w:r>
        <w:t>3. DETTAGLIO MODIFICHE</w:t>
      </w:r>
    </w:p>
    <w:p>
      <w:pPr>
        <w:pStyle w:val="Heading3"/>
      </w:pPr>
      <w:r>
        <w:t>3.1 Modifiche strutturali</w:t>
      </w:r>
    </w:p>
    <w:p>
      <w:pPr>
        <w:pStyle w:val="ListBullet"/>
      </w:pPr>
      <w:r>
        <w:t>[030] Attività rimossa: "Salvataggio dati e cambio stato"</w:t>
      </w:r>
    </w:p>
    <w:p>
      <w:pPr>
        <w:pStyle w:val="ListBullet"/>
      </w:pPr>
      <w:r>
        <w:t>[060] Attività rimossa: "Condivisione avvenuto data entry"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