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2.3.3.23 RE Gestione Reticenze Malattia -&gt; 2.3.3.23 RE Gestione Reticenze Malattia</w:t>
      </w:r>
    </w:p>
    <w:p>
      <w:pPr>
        <w:jc w:val="center"/>
      </w:pPr>
      <w:r>
        <w:rPr>
          <w:color w:val="666666"/>
          <w:sz w:val="20"/>
        </w:rPr>
        <w:t>Data: 02/02/2026</w:t>
      </w:r>
    </w:p>
    <w:p/>
    <w:p>
      <w:pPr>
        <w:pStyle w:val="Heading1"/>
      </w:pPr>
      <w:r>
        <w:t>Riepilogo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Bassa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+1</w:t>
            </w:r>
          </w:p>
        </w:tc>
        <w:tc>
          <w:tcPr>
            <w:tcW w:type="dxa" w:w="2880"/>
          </w:tcPr>
          <w:p>
            <w:r>
              <w:t>6 -&gt; 7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77.8% -&gt; 77.8%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0.07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Basso</w:t>
            </w:r>
          </w:p>
        </w:tc>
      </w:tr>
    </w:tbl>
    <w:p/>
    <w:p>
      <w:pPr>
        <w:pStyle w:val="Heading2"/>
      </w:pPr>
      <w:r>
        <w:t>1. RIEPILOGO</w:t>
      </w:r>
    </w:p>
    <w:p>
      <w:r>
        <w:t>Il processo presenta 3 cambi di esecutore. Gli esecutori delle attività [030], [050] e [080] sono stati modificati.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Metrica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Valore</w:t>
            </w:r>
          </w:p>
        </w:tc>
      </w:tr>
      <w:tr>
        <w:tc>
          <w:tcPr>
            <w:tcW w:type="dxa" w:w="4320"/>
          </w:tcPr>
          <w:p>
            <w:r/>
            <w:r>
              <w:t>Volatility Index</w:t>
            </w:r>
          </w:p>
        </w:tc>
        <w:tc>
          <w:tcPr>
            <w:tcW w:type="dxa" w:w="4320"/>
          </w:tcPr>
          <w:p>
            <w:r/>
            <w:r>
              <w:t>0.0%</w:t>
            </w:r>
          </w:p>
        </w:tc>
      </w:tr>
      <w:tr>
        <w:tc>
          <w:tcPr>
            <w:tcW w:type="dxa" w:w="4320"/>
          </w:tcPr>
          <w:p>
            <w:r/>
            <w:r>
              <w:t>Handover Delta</w:t>
            </w:r>
          </w:p>
        </w:tc>
        <w:tc>
          <w:tcPr>
            <w:tcW w:type="dxa" w:w="4320"/>
          </w:tcPr>
          <w:p>
            <w:r/>
            <w:r>
              <w:t>+1</w:t>
            </w:r>
          </w:p>
        </w:tc>
      </w:tr>
      <w:tr>
        <w:tc>
          <w:tcPr>
            <w:tcW w:type="dxa" w:w="4320"/>
          </w:tcPr>
          <w:p>
            <w:r/>
            <w:r>
              <w:t>Automation Rate</w:t>
            </w:r>
          </w:p>
        </w:tc>
        <w:tc>
          <w:tcPr>
            <w:tcW w:type="dxa" w:w="4320"/>
          </w:tcPr>
          <w:p>
            <w:r/>
            <w:r>
              <w:t>77.8% → 77.8%</w:t>
            </w:r>
          </w:p>
        </w:tc>
      </w:tr>
      <w:tr>
        <w:tc>
          <w:tcPr>
            <w:tcW w:type="dxa" w:w="4320"/>
          </w:tcPr>
          <w:p>
            <w:r/>
            <w:r>
              <w:t>Process Change Score</w:t>
            </w:r>
          </w:p>
        </w:tc>
        <w:tc>
          <w:tcPr>
            <w:tcW w:type="dxa" w:w="4320"/>
          </w:tcPr>
          <w:p>
            <w:r/>
            <w:r>
              <w:t>0.07 (Basso)</w:t>
            </w:r>
          </w:p>
        </w:tc>
      </w:tr>
    </w:tbl>
    <w:p>
      <w:pPr>
        <w:pStyle w:val="Heading2"/>
      </w:pPr>
      <w:r>
        <w:t>3. DETTAGLIO MODIFICHE</w:t>
      </w:r>
    </w:p>
    <w:p>
      <w:pPr>
        <w:pStyle w:val="Heading3"/>
      </w:pPr>
      <w:r>
        <w:t>3.3 Modifiche organizzative</w:t>
      </w:r>
    </w:p>
    <w:p>
      <w:pPr>
        <w:pStyle w:val="ListBullet"/>
      </w:pPr>
      <w:r>
        <w:t>[030] Esecutore: da CONSULENZA RETAIL a TEAM ANTIFRODE SANITARIA - Ufficio</w:t>
      </w:r>
    </w:p>
    <w:p>
      <w:pPr>
        <w:pStyle w:val="ListBullet"/>
      </w:pPr>
      <w:r>
        <w:t>[080] Esecutore: da CONSULENZA RETAIL a BACK OFFICE CONTRATTI SALUTE - Ufficio</w:t>
      </w:r>
    </w:p>
    <w:p>
      <w:pPr>
        <w:pStyle w:val="ListBullet"/>
      </w:pPr>
      <w:r>
        <w:t>[050] Esecutore: da CONSULENZA RETAIL a NUCLEO VALUTAZIONE MEDICA - Ufficio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