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2.4.01.BLUE Gestione moduli di adeguata verifica -&gt; 2.4.01.BLUE Gestione moduli di adeguata verifica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0 -&gt; 5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28.6% -&gt; 28.6%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0.40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Medio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3 cambi di esecutore. Gli esecutori delle attività [030], [050] e [070] sono stati modificati.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+5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28.6% → 28.6%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0.4 (Medio)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[070] Esecutore: da SERVIZI AMMINISTRATIVI TEAM 1 - Ufficio a CONTROLLO INTERNO - Ufficio</w:t>
      </w:r>
    </w:p>
    <w:p>
      <w:pPr>
        <w:pStyle w:val="ListBullet"/>
      </w:pPr>
      <w:r>
        <w:t>[030] Esecutore: da SERVIZI AMMINISTRATIVI TEAM 1 - Ufficio a ANTIRICICLAGGIO - Ufficio</w:t>
      </w:r>
    </w:p>
    <w:p>
      <w:pPr>
        <w:pStyle w:val="ListBullet"/>
      </w:pPr>
      <w:r>
        <w:t>[050] Esecutore: da SERVIZI AMMINISTRATIVI TEAM 1 - Ufficio a COMPLIANCE - Ufficio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