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Report di Analisi Comparativa</w:t>
      </w:r>
    </w:p>
    <w:p>
      <w:pPr>
        <w:jc w:val="center"/>
      </w:pPr>
      <w:r>
        <w:rPr>
          <w:i/>
          <w:sz w:val="24"/>
        </w:rPr>
        <w:t>2.7.1.02 Incentivazione commerciale -&gt; 2.7.1.02 Incentivazione commerciale</w:t>
      </w:r>
    </w:p>
    <w:p>
      <w:pPr>
        <w:jc w:val="center"/>
      </w:pPr>
      <w:r>
        <w:rPr>
          <w:color w:val="666666"/>
          <w:sz w:val="20"/>
        </w:rPr>
        <w:t>Data: 10/02/2026</w:t>
      </w:r>
    </w:p>
    <w:p/>
    <w:p>
      <w:r>
        <w:t># Report di Comparazione Processo</w:t>
      </w:r>
    </w:p>
    <w:p>
      <w:r>
        <w:t>## Process Information</w:t>
      </w:r>
    </w:p>
    <w:p>
      <w:r>
        <w:rPr>
          <w:b/>
        </w:rPr>
        <w:t>Processo As-Is:</w:t>
      </w:r>
      <w:r>
        <w:t xml:space="preserve"> 2.7.1.02 Incentivazione commerciale</w:t>
      </w:r>
    </w:p>
    <w:p>
      <w:r>
        <w:rPr>
          <w:b/>
        </w:rPr>
        <w:t>Processo To-Be:</w:t>
      </w:r>
      <w:r>
        <w:t xml:space="preserve"> 2.7.1.02 Incentivazione commerciale</w:t>
      </w:r>
    </w:p>
    <w:p>
      <w:pPr>
        <w:pStyle w:val="Heading2"/>
      </w:pPr>
      <w:r>
        <w:t>1. RIEPILOGO</w:t>
      </w:r>
    </w:p>
    <w:p>
      <w:r>
        <w:t>Il processo "Incentivazione commerciale" subisce un'espansione significativa, con l'aggiunta di 11 nuove attività che portano il numero totale da 7 a 18. Non sono state rimosse attività esistenti, ma l'attività [060] "Verificare contenuti del sito esterno" è stata modificata nel titolo e nella descrizione, diventando "[060] Stesura definitiva regolamento contest". Le modifiche comportano l'introduzione di nuove unità organizzative e un notevole aumento dei passaggi di responsabilità tra di esse.</w:t>
      </w:r>
    </w:p>
    <w:p>
      <w:pPr>
        <w:pStyle w:val="Heading2"/>
      </w:pPr>
      <w:r>
        <w:t>2. METRICHE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fill="2E5A7C"/>
          </w:tcPr>
          <w:p>
            <w:r>
              <w:rPr>
                <w:b/>
                <w:color w:val="FFFFFF"/>
              </w:rPr>
            </w:r>
            <w:r>
              <w:rPr>
                <w:b/>
                <w:color w:val="FFFFFF"/>
              </w:rPr>
              <w:t>Metrica</w:t>
            </w:r>
          </w:p>
        </w:tc>
        <w:tc>
          <w:tcPr>
            <w:tcW w:type="dxa" w:w="2880"/>
            <w:shd w:fill="2E5A7C"/>
          </w:tcPr>
          <w:p>
            <w:r>
              <w:rPr>
                <w:b/>
                <w:color w:val="FFFFFF"/>
              </w:rPr>
            </w:r>
            <w:r>
              <w:rPr>
                <w:b/>
                <w:color w:val="FFFFFF"/>
              </w:rPr>
              <w:t>Valore</w:t>
            </w:r>
          </w:p>
        </w:tc>
        <w:tc>
          <w:tcPr>
            <w:tcW w:type="dxa" w:w="2880"/>
            <w:shd w:fill="2E5A7C"/>
          </w:tcPr>
          <w:p>
            <w:r>
              <w:rPr>
                <w:b/>
                <w:color w:val="FFFFFF"/>
              </w:rPr>
            </w:r>
            <w:r>
              <w:rPr>
                <w:b/>
                <w:color w:val="FFFFFF"/>
              </w:rPr>
              <w:t>Valutazione</w:t>
            </w:r>
          </w:p>
        </w:tc>
      </w:tr>
      <w:tr>
        <w:tc>
          <w:tcPr>
            <w:tcW w:type="dxa" w:w="2880"/>
          </w:tcPr>
          <w:p>
            <w:r/>
            <w:r>
              <w:t>Volatility Index</w:t>
            </w:r>
          </w:p>
        </w:tc>
        <w:tc>
          <w:tcPr>
            <w:tcW w:type="dxa" w:w="2880"/>
          </w:tcPr>
          <w:p>
            <w:r/>
            <w:r>
              <w:t>157.14%</w:t>
            </w:r>
          </w:p>
        </w:tc>
        <w:tc>
          <w:tcPr>
            <w:tcW w:type="dxa" w:w="2880"/>
          </w:tcPr>
          <w:p>
            <w:r/>
            <w:r>
              <w:t>Alta</w:t>
            </w:r>
          </w:p>
        </w:tc>
      </w:tr>
      <w:tr>
        <w:tc>
          <w:tcPr>
            <w:tcW w:type="dxa" w:w="2880"/>
          </w:tcPr>
          <w:p>
            <w:r/>
            <w:r>
              <w:t>Handover Delta</w:t>
            </w:r>
          </w:p>
        </w:tc>
        <w:tc>
          <w:tcPr>
            <w:tcW w:type="dxa" w:w="2880"/>
          </w:tcPr>
          <w:p>
            <w:r/>
            <w:r>
              <w:t>+10 (0 → 10)</w:t>
            </w:r>
          </w:p>
        </w:tc>
        <w:tc>
          <w:tcPr>
            <w:tcW w:type="dxa" w:w="2880"/>
          </w:tcPr>
          <w:p>
            <w:r/>
            <w:r>
              <w:t>In aumento di 10 passaggi</w:t>
            </w:r>
          </w:p>
        </w:tc>
      </w:tr>
      <w:tr>
        <w:tc>
          <w:tcPr>
            <w:tcW w:type="dxa" w:w="2880"/>
          </w:tcPr>
          <w:p>
            <w:r/>
            <w:r>
              <w:t>Automation Rate</w:t>
            </w:r>
          </w:p>
        </w:tc>
        <w:tc>
          <w:tcPr>
            <w:tcW w:type="dxa" w:w="2880"/>
          </w:tcPr>
          <w:p>
            <w:r/>
            <w:r>
              <w:t>14.3% → 11.1%</w:t>
            </w:r>
          </w:p>
        </w:tc>
        <w:tc>
          <w:tcPr>
            <w:tcW w:type="dxa" w:w="2880"/>
          </w:tcPr>
          <w:p>
            <w:r/>
            <w:r>
              <w:t>In diminuzione</w:t>
            </w:r>
          </w:p>
        </w:tc>
      </w:tr>
      <w:tr>
        <w:tc>
          <w:tcPr>
            <w:tcW w:type="dxa" w:w="2880"/>
            <w:shd w:fill="FFF3CD"/>
          </w:tcPr>
          <w:p>
            <w:r>
              <w:rPr>
                <w:b/>
              </w:rPr>
            </w:r>
            <w:r>
              <w:rPr>
                <w:b/>
              </w:rPr>
              <w:t>Process Change Score</w:t>
            </w:r>
          </w:p>
        </w:tc>
        <w:tc>
          <w:tcPr>
            <w:tcW w:type="dxa" w:w="2880"/>
            <w:shd w:fill="FFF3CD"/>
          </w:tcPr>
          <w:p>
            <w:r/>
            <w:r>
              <w:t>0.90</w:t>
            </w:r>
          </w:p>
        </w:tc>
        <w:tc>
          <w:tcPr>
            <w:tcW w:type="dxa" w:w="2880"/>
            <w:shd w:fill="FFF3CD"/>
          </w:tcPr>
          <w:p>
            <w:r/>
            <w:r>
              <w:t>Critico</w:t>
            </w:r>
          </w:p>
        </w:tc>
      </w:tr>
    </w:tbl>
    <w:p>
      <w:pPr>
        <w:pStyle w:val="Heading2"/>
      </w:pPr>
      <w:r>
        <w:t>3. DETTAGLIO MODIFICHE</w:t>
      </w:r>
    </w:p>
    <w:p>
      <w:pPr>
        <w:pStyle w:val="Heading3"/>
      </w:pPr>
      <w:r>
        <w:t>3.1 Modifiche Strutturali e di Contenuto</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1020"/>
            <w:shd w:fill="2E5A7C"/>
          </w:tcPr>
          <w:p>
            <w:r>
              <w:rPr>
                <w:b/>
                <w:color w:val="FFFFFF"/>
              </w:rPr>
            </w:r>
            <w:r>
              <w:rPr>
                <w:b/>
                <w:color w:val="FFFFFF"/>
              </w:rPr>
              <w:t>Codice</w:t>
            </w:r>
          </w:p>
        </w:tc>
        <w:tc>
          <w:tcPr>
            <w:tcW w:type="dxa" w:w="2835"/>
            <w:shd w:fill="2E5A7C"/>
          </w:tcPr>
          <w:p>
            <w:r>
              <w:rPr>
                <w:b/>
                <w:color w:val="FFFFFF"/>
              </w:rPr>
            </w:r>
            <w:r>
              <w:rPr>
                <w:b/>
                <w:color w:val="FFFFFF"/>
              </w:rPr>
              <w:t>Titolo</w:t>
            </w:r>
          </w:p>
        </w:tc>
        <w:tc>
          <w:tcPr>
            <w:tcW w:type="dxa" w:w="1247"/>
            <w:shd w:fill="2E5A7C"/>
          </w:tcPr>
          <w:p>
            <w:r>
              <w:rPr>
                <w:b/>
                <w:color w:val="FFFFFF"/>
              </w:rPr>
            </w:r>
            <w:r>
              <w:rPr>
                <w:b/>
                <w:color w:val="FFFFFF"/>
              </w:rPr>
              <w:t>Stato</w:t>
            </w:r>
          </w:p>
        </w:tc>
        <w:tc>
          <w:tcPr>
            <w:tcW w:type="dxa" w:w="4819"/>
            <w:shd w:fill="2E5A7C"/>
          </w:tcPr>
          <w:p>
            <w:r>
              <w:rPr>
                <w:b/>
                <w:color w:val="FFFFFF"/>
              </w:rPr>
            </w:r>
            <w:r>
              <w:rPr>
                <w:b/>
                <w:color w:val="FFFFFF"/>
              </w:rPr>
              <w:t>Descrizione</w:t>
            </w:r>
          </w:p>
        </w:tc>
      </w:tr>
      <w:tr>
        <w:tc>
          <w:tcPr>
            <w:tcW w:type="dxa" w:w="1020"/>
          </w:tcPr>
          <w:p>
            <w:r/>
            <w:r>
              <w:t>[020]</w:t>
            </w:r>
          </w:p>
        </w:tc>
        <w:tc>
          <w:tcPr>
            <w:tcW w:type="dxa" w:w="2835"/>
          </w:tcPr>
          <w:p>
            <w:r/>
            <w:r>
              <w:t>Definizione ammontare valore premi</w:t>
            </w:r>
          </w:p>
        </w:tc>
        <w:tc>
          <w:tcPr>
            <w:tcW w:type="dxa" w:w="1247"/>
          </w:tcPr>
          <w:p>
            <w:r/>
            <w:r>
              <w:t>Aggiunta</w:t>
            </w:r>
          </w:p>
        </w:tc>
        <w:tc>
          <w:tcPr>
            <w:tcW w:type="dxa" w:w="4819"/>
          </w:tcPr>
          <w:p>
            <w:r/>
            <w:r>
              <w:t>L'operatore definisce l'ammontare del valore dei premi, selezionando premi e assegnando circuiti di spesa in base a criteri di gradimento, target e tendenze di mercato, con il supporto di una società esterna. Predispone anche la grafica e il materiale illustrativo per la Direzione Commerciale. Esecutore: SVILUPPO WELFARE E CONTEST - Ufficio.</w:t>
            </w:r>
          </w:p>
        </w:tc>
      </w:tr>
      <w:tr>
        <w:tc>
          <w:tcPr>
            <w:tcW w:type="dxa" w:w="1020"/>
          </w:tcPr>
          <w:p>
            <w:r/>
            <w:r>
              <w:t>[060]</w:t>
            </w:r>
          </w:p>
        </w:tc>
        <w:tc>
          <w:tcPr>
            <w:tcW w:type="dxa" w:w="2835"/>
          </w:tcPr>
          <w:p>
            <w:r/>
            <w:r>
              <w:t>Stesura definitiva regolamento contest</w:t>
            </w:r>
          </w:p>
        </w:tc>
        <w:tc>
          <w:tcPr>
            <w:tcW w:type="dxa" w:w="1247"/>
          </w:tcPr>
          <w:p>
            <w:r/>
            <w:r>
              <w:t>Modificata</w:t>
            </w:r>
          </w:p>
        </w:tc>
        <w:tc>
          <w:tcPr>
            <w:tcW w:type="dxa" w:w="4819"/>
          </w:tcPr>
          <w:p>
            <w:r/>
            <w:r>
              <w:t>Il titolo è cambiato da "Verificare contenuti del sito esterno" a "Stesura definitiva regolamento contest". La descrizione è stata modificata: ora l'operatore, recepite le correzioni dal GDL Contest, realizza la versione definitiva del regolamento e le selezioni premiali per la validazione della Direzione Commerciale.</w:t>
            </w:r>
          </w:p>
        </w:tc>
      </w:tr>
      <w:tr>
        <w:tc>
          <w:tcPr>
            <w:tcW w:type="dxa" w:w="1020"/>
          </w:tcPr>
          <w:p>
            <w:r/>
            <w:r>
              <w:t>[070]</w:t>
            </w:r>
          </w:p>
        </w:tc>
        <w:tc>
          <w:tcPr>
            <w:tcW w:type="dxa" w:w="2835"/>
          </w:tcPr>
          <w:p>
            <w:r/>
            <w:r>
              <w:t>Richiesta fidejussione</w:t>
            </w:r>
          </w:p>
        </w:tc>
        <w:tc>
          <w:tcPr>
            <w:tcW w:type="dxa" w:w="1247"/>
          </w:tcPr>
          <w:p>
            <w:r/>
            <w:r>
              <w:t>Aggiunta</w:t>
            </w:r>
          </w:p>
        </w:tc>
        <w:tc>
          <w:tcPr>
            <w:tcW w:type="dxa" w:w="4819"/>
          </w:tcPr>
          <w:p>
            <w:r/>
            <w:r>
              <w:t>L'operatore contatta un'agenzia di un'altra Compagnia assicurativa per richiedere una fidejussione come garanzia dell’effettiva consegna dei premi. Esecutore: SVILUPPO WELFARE E CONTEST - Ufficio.</w:t>
            </w:r>
          </w:p>
        </w:tc>
      </w:tr>
      <w:tr>
        <w:tc>
          <w:tcPr>
            <w:tcW w:type="dxa" w:w="1020"/>
          </w:tcPr>
          <w:p>
            <w:r/>
            <w:r>
              <w:t>[080]</w:t>
            </w:r>
          </w:p>
        </w:tc>
        <w:tc>
          <w:tcPr>
            <w:tcW w:type="dxa" w:w="2835"/>
          </w:tcPr>
          <w:p>
            <w:r/>
            <w:r>
              <w:t>Deposito Regolamento al Ministero</w:t>
            </w:r>
          </w:p>
        </w:tc>
        <w:tc>
          <w:tcPr>
            <w:tcW w:type="dxa" w:w="1247"/>
          </w:tcPr>
          <w:p>
            <w:r/>
            <w:r>
              <w:t>Aggiunta</w:t>
            </w:r>
          </w:p>
        </w:tc>
        <w:tc>
          <w:tcPr>
            <w:tcW w:type="dxa" w:w="4819"/>
          </w:tcPr>
          <w:p>
            <w:r/>
            <w:r>
              <w:t>Il consulente esterno riceve la versione definitiva del regolamento e procede con il deposito al Ministero. Esecutore: Fornitore esterno.</w:t>
            </w:r>
          </w:p>
        </w:tc>
      </w:tr>
      <w:tr>
        <w:tc>
          <w:tcPr>
            <w:tcW w:type="dxa" w:w="1020"/>
          </w:tcPr>
          <w:p>
            <w:r/>
            <w:r>
              <w:t>[200]</w:t>
            </w:r>
          </w:p>
        </w:tc>
        <w:tc>
          <w:tcPr>
            <w:tcW w:type="dxa" w:w="2835"/>
          </w:tcPr>
          <w:p>
            <w:r/>
            <w:r>
              <w:t>Pubblicazione classifiche finali provvisorie</w:t>
            </w:r>
          </w:p>
        </w:tc>
        <w:tc>
          <w:tcPr>
            <w:tcW w:type="dxa" w:w="1247"/>
          </w:tcPr>
          <w:p>
            <w:r/>
            <w:r>
              <w:t>Aggiunta</w:t>
            </w:r>
          </w:p>
        </w:tc>
        <w:tc>
          <w:tcPr>
            <w:tcW w:type="dxa" w:w="4819"/>
          </w:tcPr>
          <w:p>
            <w:r/>
            <w:r>
              <w:t>L'incaricato provvede al caricamento delle classifiche finali dei contest sul sito. Esecutore: Fornitore esterno.</w:t>
            </w:r>
          </w:p>
        </w:tc>
      </w:tr>
      <w:tr>
        <w:tc>
          <w:tcPr>
            <w:tcW w:type="dxa" w:w="1020"/>
          </w:tcPr>
          <w:p>
            <w:r/>
            <w:r>
              <w:t>[270]</w:t>
            </w:r>
          </w:p>
        </w:tc>
        <w:tc>
          <w:tcPr>
            <w:tcW w:type="dxa" w:w="2835"/>
          </w:tcPr>
          <w:p>
            <w:r/>
            <w:r>
              <w:t>Versamento imposte (IRPEF)</w:t>
            </w:r>
          </w:p>
        </w:tc>
        <w:tc>
          <w:tcPr>
            <w:tcW w:type="dxa" w:w="1247"/>
          </w:tcPr>
          <w:p>
            <w:r/>
            <w:r>
              <w:t>Aggiunta</w:t>
            </w:r>
          </w:p>
        </w:tc>
        <w:tc>
          <w:tcPr>
            <w:tcW w:type="dxa" w:w="4819"/>
          </w:tcPr>
          <w:p>
            <w:r/>
            <w:r>
              <w:t>L’ufficio Trade Marketing ed Eventi redige un documento da inviare all’ufficio CONTABILITA' TECNICA CICLO ATTIVO per richiedere il pagamento dell’acconto delle tasse alle Agenzie vincitrici, che dovranno poi conguagliare in sede di dichiarazione dei redditi. Esecutore: Trade Marketing ed Eventi.</w:t>
            </w:r>
          </w:p>
        </w:tc>
      </w:tr>
      <w:tr>
        <w:tc>
          <w:tcPr>
            <w:tcW w:type="dxa" w:w="1020"/>
          </w:tcPr>
          <w:p>
            <w:r/>
            <w:r>
              <w:t>[340]</w:t>
            </w:r>
          </w:p>
        </w:tc>
        <w:tc>
          <w:tcPr>
            <w:tcW w:type="dxa" w:w="2835"/>
          </w:tcPr>
          <w:p>
            <w:r/>
            <w:r>
              <w:t>Gestione rapporti con fornitore catalogo premi</w:t>
            </w:r>
          </w:p>
        </w:tc>
        <w:tc>
          <w:tcPr>
            <w:tcW w:type="dxa" w:w="1247"/>
          </w:tcPr>
          <w:p>
            <w:r/>
            <w:r>
              <w:t>Aggiunta</w:t>
            </w:r>
          </w:p>
        </w:tc>
        <w:tc>
          <w:tcPr>
            <w:tcW w:type="dxa" w:w="4819"/>
          </w:tcPr>
          <w:p>
            <w:r/>
            <w:r>
              <w:t>L'incaricato si occupa della gestione dei rapporti con il fornitore del catalogo premi in caso di reclami, disservizi o richieste particolari dai vincitori. Esecutore: SVILUPPO WELFARE E CONTEST - Ufficio.</w:t>
            </w:r>
          </w:p>
        </w:tc>
      </w:tr>
      <w:tr>
        <w:tc>
          <w:tcPr>
            <w:tcW w:type="dxa" w:w="1020"/>
          </w:tcPr>
          <w:p>
            <w:r/>
            <w:r>
              <w:t>[350]</w:t>
            </w:r>
          </w:p>
        </w:tc>
        <w:tc>
          <w:tcPr>
            <w:tcW w:type="dxa" w:w="2835"/>
          </w:tcPr>
          <w:p>
            <w:r/>
            <w:r>
              <w:t>Gestione relazione con i partecipanti</w:t>
            </w:r>
          </w:p>
        </w:tc>
        <w:tc>
          <w:tcPr>
            <w:tcW w:type="dxa" w:w="1247"/>
          </w:tcPr>
          <w:p>
            <w:r/>
            <w:r>
              <w:t>Aggiunta</w:t>
            </w:r>
          </w:p>
        </w:tc>
        <w:tc>
          <w:tcPr>
            <w:tcW w:type="dxa" w:w="4819"/>
          </w:tcPr>
          <w:p>
            <w:r/>
            <w:r>
              <w:t>La segreteria operativa/operatore gestisce richieste di chiarimenti e segnalazioni dei partecipanti tramite telefono o e-mail. Esecutore: SVILUPPO WELFARE E CONTEST – Ufficio fornitore esterno - Agenzia di Comunicazine.</w:t>
            </w:r>
          </w:p>
        </w:tc>
      </w:tr>
      <w:tr>
        <w:tc>
          <w:tcPr>
            <w:tcW w:type="dxa" w:w="1020"/>
          </w:tcPr>
          <w:p>
            <w:r/>
            <w:r>
              <w:t>[360]</w:t>
            </w:r>
          </w:p>
        </w:tc>
        <w:tc>
          <w:tcPr>
            <w:tcW w:type="dxa" w:w="2835"/>
          </w:tcPr>
          <w:p>
            <w:r/>
            <w:r>
              <w:t>Predisposizione ed invio rendicontazione sui premi erogati</w:t>
            </w:r>
          </w:p>
        </w:tc>
        <w:tc>
          <w:tcPr>
            <w:tcW w:type="dxa" w:w="1247"/>
          </w:tcPr>
          <w:p>
            <w:r/>
            <w:r>
              <w:t>Aggiunta</w:t>
            </w:r>
          </w:p>
        </w:tc>
        <w:tc>
          <w:tcPr>
            <w:tcW w:type="dxa" w:w="4819"/>
          </w:tcPr>
          <w:p>
            <w:r/>
            <w:r>
              <w:t>Scaduto il termine per il ritiro dei premi, l'outsourcer predispone un documento di rendicontazione dei premi effettivamente erogati, inviandolo all'ufficio che presiede il contest. Esecutore: AGENZIA DI COMUNICAZIONE.</w:t>
            </w:r>
          </w:p>
        </w:tc>
      </w:tr>
      <w:tr>
        <w:tc>
          <w:tcPr>
            <w:tcW w:type="dxa" w:w="1020"/>
          </w:tcPr>
          <w:p>
            <w:r/>
            <w:r>
              <w:t>[370]</w:t>
            </w:r>
          </w:p>
        </w:tc>
        <w:tc>
          <w:tcPr>
            <w:tcW w:type="dxa" w:w="2835"/>
          </w:tcPr>
          <w:p>
            <w:r/>
            <w:r>
              <w:t>Scelta modalità di donazione monte premi non erogato</w:t>
            </w:r>
          </w:p>
        </w:tc>
        <w:tc>
          <w:tcPr>
            <w:tcW w:type="dxa" w:w="1247"/>
          </w:tcPr>
          <w:p>
            <w:r/>
            <w:r>
              <w:t>Aggiunta</w:t>
            </w:r>
          </w:p>
        </w:tc>
        <w:tc>
          <w:tcPr>
            <w:tcW w:type="dxa" w:w="4819"/>
          </w:tcPr>
          <w:p>
            <w:r/>
            <w:r>
              <w:t>L'incaricato, in caso di premi non assegnati, fornisce indicazioni alla società esterna sull'ente a cui donare i premi e sulle modalità di erogazione. Successivamente, invia la liberatoria attestante la donazione al consulente esterno per l'informativa al Ministero. Esecutore: SVILUPPO WELFARE E CONTEST - Ufficio.</w:t>
            </w:r>
          </w:p>
        </w:tc>
      </w:tr>
      <w:tr>
        <w:tc>
          <w:tcPr>
            <w:tcW w:type="dxa" w:w="1020"/>
          </w:tcPr>
          <w:p>
            <w:r/>
            <w:r>
              <w:t>[390]</w:t>
            </w:r>
          </w:p>
        </w:tc>
        <w:tc>
          <w:tcPr>
            <w:tcW w:type="dxa" w:w="2835"/>
          </w:tcPr>
          <w:p>
            <w:r/>
            <w:r>
              <w:t>Versamento imposte (IVA /Imposta sostitutiva)</w:t>
            </w:r>
          </w:p>
        </w:tc>
        <w:tc>
          <w:tcPr>
            <w:tcW w:type="dxa" w:w="1247"/>
          </w:tcPr>
          <w:p>
            <w:r/>
            <w:r>
              <w:t>Aggiunta</w:t>
            </w:r>
          </w:p>
        </w:tc>
        <w:tc>
          <w:tcPr>
            <w:tcW w:type="dxa" w:w="4819"/>
          </w:tcPr>
          <w:p>
            <w:r/>
            <w:r>
              <w:t>Al completamento dell’erogazione dei premi, l’ufficio Trade Marketing ed Eventi invia all’ufficio Fiscale un modulo per il pagamento delle tasse sul valore dei premi erogati. Esecutore: Trade Marketing ed Eventi.</w:t>
            </w:r>
          </w:p>
        </w:tc>
      </w:tr>
      <w:tr>
        <w:tc>
          <w:tcPr>
            <w:tcW w:type="dxa" w:w="1020"/>
          </w:tcPr>
          <w:p>
            <w:r/>
            <w:r>
              <w:t>[410]</w:t>
            </w:r>
          </w:p>
        </w:tc>
        <w:tc>
          <w:tcPr>
            <w:tcW w:type="dxa" w:w="2835"/>
          </w:tcPr>
          <w:p>
            <w:r/>
            <w:r>
              <w:t>Certificazione dati contabili</w:t>
            </w:r>
          </w:p>
        </w:tc>
        <w:tc>
          <w:tcPr>
            <w:tcW w:type="dxa" w:w="1247"/>
          </w:tcPr>
          <w:p>
            <w:r/>
            <w:r>
              <w:t>Aggiunta</w:t>
            </w:r>
          </w:p>
        </w:tc>
        <w:tc>
          <w:tcPr>
            <w:tcW w:type="dxa" w:w="4819"/>
          </w:tcPr>
          <w:p>
            <w:r/>
            <w:r>
              <w:t>Quando tutti i premi sono stati erogati, occorre redigere un documento da inviare all’ufficio fiscale per certificare la congruità della spesa o eventuali difformità. Esecutore: Trade Marketing ed Eventi.</w:t>
            </w:r>
          </w:p>
        </w:tc>
      </w:tr>
    </w:tbl>
    <w:p>
      <w:pPr>
        <w:pStyle w:val="Heading3"/>
      </w:pPr>
      <w:r>
        <w:t>3.1.1 Analisi del Flusso</w:t>
      </w:r>
    </w:p>
    <w:p>
      <w:r>
        <w:t>Il processo di "Incentivazione commerciale" è stato notevolmente esteso e dettagliato, passando da un flusso sintetico a uno molto più articolato. L'introduzione di numerose nuove attività formalizza passaggi che nell'As-Is erano probabilmente impliciti o non documentati, in particolare nelle fasi iniziali di definizione e stesura del regolamento, e in quelle finali di gestione premi e adempimenti fiscali. Le attività [020] Definizione ammontare valore premi, [070] Richiesta fidejussione e [080] Deposito Regolamento al Ministero aggiungono una struttura robusta alla fase di preparazione del contest, garantendo conformità e trasparenza. Le nuove attività [270] Versamento imposte (IRPEF), [390] Versamento imposte (IVA /Imposta sostitutiva) e [410] Certificazione dati contabili rendono espliciti e tracciabili gli adempimenti fiscali e contabili, precedentemente non dettagliati. Inoltre, la gestione dei rapporti con i partecipanti e i fornitori ([340] Gestione rapporti con fornitore catalogo premi, [350] Gestione relazione con i partecipanti) e la rendicontazione ([360] Predisposizione ed invio rendicontazione sui premi erogati, [370] Scelta modalità di donazione monte premi non erogato) sono ora fasi distinte, suggerendo una maggiore attenzione alla governance e alla chiusura del ciclo di vita dei premi.</w:t>
      </w:r>
    </w:p>
    <w:p>
      <w:r>
        <w:t>Il flusso To-Be completo è: [010] Avvio processo → [020] Definizione ammontare valore premi → [030] Definizione regolamento contest → [040] Validazione regolamento contest → [050] Approvazione regolamento contest → [060] Stesura definitiva regolamento contest → [070] Richiesta fidejussione → [080] Deposito Regolamento al Ministero → [090] Pubblicazione regolamento contest → [100] Avvio contest → [200] Pubblicazione classifiche finali provvisorie → [210] Proclamazione vincitori → [220] Erogazione premi → [270] Versamento imposte (IRPEF) → [340] Gestione rapporti con fornitore catalogo premi → [350] Gestione relazione con i partecipanti → [360] Predisposizione ed invio rendicontazione sui premi erogati → [370] Scelta modalità di donazione monte premi non erogato → [390] Versamento imposte (IVA /Imposta sostitutiva) → [410] Certificazione dati contabili → [420] Chiusura processo.</w:t>
      </w:r>
    </w:p>
    <w:p>
      <w:pPr>
        <w:pStyle w:val="Heading3"/>
      </w:pPr>
      <w:r>
        <w:t>3.2 Modifiche Organizzative</w:t>
      </w:r>
    </w:p>
    <w:p>
      <w:r>
        <w:t>Il processo introduce nuove unità organizzative e modifica le competenze di quelle esistenti, riflettendo una maggiore frammentazione e specializzazione delle responsabilità.</w:t>
      </w:r>
    </w:p>
    <w:p>
      <w:r>
        <w:rPr>
          <w:b/>
        </w:rPr>
        <w:t>Unità organizzative aggiunte:</w:t>
      </w:r>
    </w:p>
    <w:p>
      <w:pPr>
        <w:pStyle w:val="ListBullet"/>
      </w:pPr>
      <w:r>
        <w:t>Fornitore esterno: gestisce [080] Deposito Regolamento al Ministero, [200] Pubblicazione classifiche finali provvisorie</w:t>
      </w:r>
    </w:p>
    <w:p>
      <w:pPr>
        <w:pStyle w:val="ListBullet"/>
      </w:pPr>
      <w:r>
        <w:t>Trade Marketing ed Eventi: gestisce [270] Versamento imposte (IRPEF), [390] Versamento imposte (IVA /Imposta sostitutiva), [410] Certificazione dati contabili</w:t>
      </w:r>
    </w:p>
    <w:p>
      <w:pPr>
        <w:pStyle w:val="ListBullet"/>
      </w:pPr>
      <w:r>
        <w:t>SVILUPPO WELFARE E CONTEST – Ufficio fornitore esterno - Agenzia di Comunicazine: gestisce [350] Gestione relazione con i partecipanti</w:t>
      </w:r>
    </w:p>
    <w:p>
      <w:pPr>
        <w:pStyle w:val="ListBullet"/>
      </w:pPr>
      <w:r>
        <w:t>AGENZIA DI COMUNICAZIONE: gestisce [360] Predisposizione ed invio rendicontazione sui premi erogati</w:t>
      </w:r>
    </w:p>
    <w:p>
      <w:r>
        <w:rPr>
          <w:b/>
        </w:rPr>
        <w:t>Unità organizzative con modifiche di competenza:</w:t>
      </w:r>
    </w:p>
    <w:p>
      <w:pPr>
        <w:pStyle w:val="ListBullet"/>
      </w:pPr>
      <w:r>
        <w:t>SVILUPPO WELFARE E CONTEST - Ufficio:</w:t>
      </w:r>
    </w:p>
    <w:p>
      <w:pPr>
        <w:pStyle w:val="ListBullet"/>
      </w:pPr>
      <w:r>
        <w:t>Acquisisce: [020] Definizione ammontare valore premi, [070] Richiesta fidejussione, [340] Gestione rapporti con fornitore catalogo premi, [370] Scelta modalità di donazione monte premi non erogato</w:t>
      </w:r>
    </w:p>
    <w:p>
      <w:pPr>
        <w:pStyle w:val="Heading3"/>
      </w:pPr>
      <w:r>
        <w:t>3.3 Modifiche Tecnologiche</w:t>
      </w:r>
    </w:p>
    <w:p>
      <w:pPr>
        <w:pStyle w:val="ListBullet"/>
      </w:pPr>
      <w:r>
        <w:t>[200] Pubblicazione classifiche finali provvisorie: applicativo aggiunto Sito contest - utilizzato per il caricamento delle classifiche finali provvisorie dei contest.</w:t>
      </w:r>
    </w:p>
    <w:p>
      <w:r>
        <w:t>Data la natura critica del Process Change Score, si raccomanda una verifica approfondita del processo To-Be.</w:t>
      </w:r>
    </w:p>
    <w:p/>
    <w:p>
      <w:pPr>
        <w:pStyle w:val="Heading2"/>
      </w:pPr>
      <w:r>
        <w:t>LEGENDA METRICHE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5A7C"/>
          </w:tcPr>
          <w:p>
            <w:r>
              <w:rPr>
                <w:b/>
                <w:color w:val="FFFFFF"/>
              </w:rPr>
              <w:t>Metrica</w:t>
            </w:r>
          </w:p>
        </w:tc>
        <w:tc>
          <w:tcPr>
            <w:tcW w:type="dxa" w:w="2880"/>
            <w:shd w:fill="2E5A7C"/>
          </w:tcPr>
          <w:p>
            <w:r>
              <w:rPr>
                <w:b/>
                <w:color w:val="FFFFFF"/>
              </w:rPr>
              <w:t>Descrizione</w:t>
            </w:r>
          </w:p>
        </w:tc>
        <w:tc>
          <w:tcPr>
            <w:tcW w:type="dxa" w:w="2880"/>
            <w:shd w:fill="2E5A7C"/>
          </w:tcPr>
          <w:p>
            <w:r>
              <w:rPr>
                <w:b/>
                <w:color w:val="FFFFFF"/>
              </w:rPr>
              <w:t>Soglie</w:t>
            </w:r>
          </w:p>
        </w:tc>
      </w:tr>
      <w:tr>
        <w:tc>
          <w:tcPr>
            <w:tcW w:type="dxa" w:w="2880"/>
          </w:tcPr>
          <w:p>
            <w:r>
              <w:t>Volatility Index</w:t>
            </w:r>
          </w:p>
        </w:tc>
        <w:tc>
          <w:tcPr>
            <w:tcW w:type="dxa" w:w="2880"/>
          </w:tcPr>
          <w:p>
            <w:r>
              <w:t>Percentuale di attività aggiunte o rimosse rispetto al totale originale</w:t>
            </w:r>
          </w:p>
        </w:tc>
        <w:tc>
          <w:tcPr>
            <w:tcW w:type="dxa" w:w="2880"/>
          </w:tcPr>
          <w:p>
            <w:r>
              <w:t>0-10% Bassa | 11-30% Media | &gt;30% Alta</w:t>
            </w:r>
          </w:p>
        </w:tc>
      </w:tr>
      <w:tr>
        <w:tc>
          <w:tcPr>
            <w:tcW w:type="dxa" w:w="2880"/>
          </w:tcPr>
          <w:p>
            <w:r>
              <w:t>Handover Delta</w:t>
            </w:r>
          </w:p>
        </w:tc>
        <w:tc>
          <w:tcPr>
            <w:tcW w:type="dxa" w:w="2880"/>
          </w:tcPr>
          <w:p>
            <w:r>
              <w:t>Variazione nei passaggi tra unità organizzative diverse</w:t>
            </w:r>
          </w:p>
        </w:tc>
        <w:tc>
          <w:tcPr>
            <w:tcW w:type="dxa" w:w="2880"/>
          </w:tcPr>
          <w:p>
            <w:r>
              <w:t>Positivo = più frammentazione</w:t>
            </w:r>
          </w:p>
        </w:tc>
      </w:tr>
      <w:tr>
        <w:tc>
          <w:tcPr>
            <w:tcW w:type="dxa" w:w="2880"/>
          </w:tcPr>
          <w:p>
            <w:r>
              <w:t>Automation Rate</w:t>
            </w:r>
          </w:p>
        </w:tc>
        <w:tc>
          <w:tcPr>
            <w:tcW w:type="dxa" w:w="2880"/>
          </w:tcPr>
          <w:p>
            <w:r>
              <w:t>Percentuale di attività supportate da sistemi IT</w:t>
            </w:r>
          </w:p>
        </w:tc>
        <w:tc>
          <w:tcPr>
            <w:tcW w:type="dxa" w:w="2880"/>
          </w:tcPr>
          <w:p>
            <w:r>
              <w:t>Variazione indica digitalizzazione</w:t>
            </w:r>
          </w:p>
        </w:tc>
      </w:tr>
      <w:tr>
        <w:tc>
          <w:tcPr>
            <w:tcW w:type="dxa" w:w="2880"/>
          </w:tcPr>
          <w:p>
            <w:r>
              <w:t>Process Change Score</w:t>
            </w:r>
          </w:p>
        </w:tc>
        <w:tc>
          <w:tcPr>
            <w:tcW w:type="dxa" w:w="2880"/>
          </w:tcPr>
          <w:p>
            <w:r>
              <w:t>Indice composito di impatto del cambiamento</w:t>
            </w:r>
          </w:p>
        </w:tc>
        <w:tc>
          <w:tcPr>
            <w:tcW w:type="dxa" w:w="2880"/>
          </w:tcPr>
          <w:p>
            <w:r>
              <w:t>&lt;0.2 Basso | 0.2-0.5 Medio | &gt;0.5 Alto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