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473" w:rsidRDefault="00000000">
      <w:pPr>
        <w:spacing w:before="157" w:after="157" w:line="270" w:lineRule="auto"/>
      </w:pPr>
      <w:bookmarkStart w:id="0" w:name="skarga_do_prokuratora_nadrzędnego"/>
      <w:r>
        <w:rPr>
          <w:rFonts w:eastAsia="Georgia" w:hAnsi="Georgia" w:cs="Georgia"/>
          <w:b/>
          <w:color w:val="000000"/>
          <w:sz w:val="39"/>
        </w:rPr>
        <w:t>Skarga do prokuratora nadrzędnego</w:t>
      </w:r>
      <w:bookmarkEnd w:id="0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Dr Witold Kilarski</w:t>
      </w:r>
      <w:r>
        <w:rPr>
          <w:rFonts w:eastAsia="Georgia" w:hAnsi="Georgia" w:cs="Georgia"/>
          <w:color w:val="000000"/>
        </w:rPr>
        <w:br/>
        <w:t>Os. Złota Podkowa 27/9</w:t>
      </w:r>
      <w:r>
        <w:rPr>
          <w:rFonts w:eastAsia="Georgia" w:hAnsi="Georgia" w:cs="Georgia"/>
          <w:color w:val="000000"/>
        </w:rPr>
        <w:br/>
        <w:t>31-352 Kraków</w:t>
      </w:r>
      <w:r>
        <w:rPr>
          <w:rFonts w:eastAsia="Georgia" w:hAnsi="Georgia" w:cs="Georgia"/>
          <w:color w:val="000000"/>
        </w:rPr>
        <w:br/>
      </w:r>
      <w:hyperlink r:id="rId7">
        <w:r>
          <w:rPr>
            <w:rFonts w:ascii="Helvetica Neue" w:eastAsia="Helvetica Neue" w:hAnsi="Helvetica Neue" w:cs="Helvetica Neue"/>
            <w:u w:val="single"/>
          </w:rPr>
          <w:t>witek.kilarski@gmail.com</w:t>
        </w:r>
      </w:hyperlink>
      <w:r>
        <w:rPr>
          <w:rFonts w:eastAsia="Georgia" w:hAnsi="Georgia" w:cs="Georgia"/>
          <w:color w:val="000000"/>
        </w:rPr>
        <w:br/>
        <w:t>tel. 782 473 130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Kraków, 19 kwietnia 2026 r.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Do Prokuratora Okręgowego w Krakowie</w:t>
      </w:r>
    </w:p>
    <w:p w:rsidR="00275473" w:rsidRDefault="00000000">
      <w:pPr>
        <w:spacing w:before="315" w:after="105" w:line="360" w:lineRule="auto"/>
        <w:ind w:left="-30"/>
      </w:pPr>
      <w:bookmarkStart w:id="1" w:name="skarga_na_przedwczesną_odmowę_wsz_dbb770"/>
      <w:r>
        <w:rPr>
          <w:rFonts w:eastAsia="Georgia" w:hAnsi="Georgia" w:cs="Georgia"/>
          <w:b/>
          <w:color w:val="000000"/>
          <w:sz w:val="24"/>
        </w:rPr>
        <w:t>Skarga na przedwczesną odmowę wszczęcia śledztwa oraz wniosek o objęcie sprawy nadzorem służbowym</w:t>
      </w:r>
      <w:bookmarkEnd w:id="1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Działając we własnym imieniu, wnoszę skargę na sposób procedowania sprawy zakończonej postanowieniem Prokuratury Rejonowej Kraków-Śródmieście Zachód w Krakowie z dnia 14 kwietnia 2026 r. o odmowie wszczęcia śledztwa w sprawie czynu kwalifikowanego z art. 231 § 1 k.k., sygn. akt 4138-1 Ds. 1044.2026.[file:16]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Wnoszę jednocześnie o objęcie sprawy nadzorem służbowym oraz o spowodowanie przeprowadzenia rzeczywistego, a nie pozornego postępowania </w:t>
      </w:r>
      <w:proofErr w:type="gramStart"/>
      <w:r>
        <w:rPr>
          <w:rFonts w:eastAsia="Georgia" w:hAnsi="Georgia" w:cs="Georgia"/>
          <w:color w:val="000000"/>
        </w:rPr>
        <w:t>sprawdzającego.[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spacing w:before="315" w:after="105" w:line="360" w:lineRule="auto"/>
        <w:ind w:left="-30"/>
      </w:pPr>
      <w:bookmarkStart w:id="2" w:name="przedmiot_skargi"/>
      <w:r>
        <w:rPr>
          <w:rFonts w:eastAsia="Georgia" w:hAnsi="Georgia" w:cs="Georgia"/>
          <w:b/>
          <w:color w:val="000000"/>
          <w:sz w:val="24"/>
        </w:rPr>
        <w:t>Przedmiot skargi</w:t>
      </w:r>
      <w:bookmarkEnd w:id="2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Skarga dotyczy przedwczesnego zakończenia postępowania sprawdzającego bez przeprowadzenia podstawowych czynności dowodowych, zredukowania sprawy do kwestii jednej omyłkowo oznaczonej daty oraz pominięcia materiału dowodowego o centralnym znaczeniu, w szczególności nagrania nr 10 z 30 września 2021 r.[file:</w:t>
      </w:r>
      <w:proofErr w:type="gramStart"/>
      <w:r>
        <w:rPr>
          <w:rFonts w:eastAsia="Georgia" w:hAnsi="Georgia" w:cs="Georgia"/>
          <w:color w:val="000000"/>
        </w:rPr>
        <w:t>16][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Z uzasadnienia projektu zażalenia wynika, że prokuratura skoncentrowała się niemal wyłącznie na tym, czy w dniu 4 marca 2026 r. została wysłana wiadomość e-mail do władz Uniwersytetu Jagiellońskiego, podczas gdy rzeczywista istota sprawy dotyczyła długotrwałej, udokumentowanej bezczynności władz UJ wobec kolejnych zgłoszeń i pism kierowanych w latach 2025--2026.[file:16]</w:t>
      </w:r>
    </w:p>
    <w:p w:rsidR="00275473" w:rsidRDefault="00000000">
      <w:pPr>
        <w:spacing w:before="315" w:after="105" w:line="360" w:lineRule="auto"/>
        <w:ind w:left="-30"/>
      </w:pPr>
      <w:bookmarkStart w:id="3" w:name="powody_skargi"/>
      <w:r>
        <w:rPr>
          <w:rFonts w:eastAsia="Georgia" w:hAnsi="Georgia" w:cs="Georgia"/>
          <w:b/>
          <w:color w:val="000000"/>
          <w:sz w:val="24"/>
        </w:rPr>
        <w:t>Powody skargi</w:t>
      </w:r>
      <w:bookmarkEnd w:id="3"/>
    </w:p>
    <w:p w:rsidR="00275473" w:rsidRDefault="00000000">
      <w:pPr>
        <w:spacing w:before="315" w:after="105" w:line="360" w:lineRule="auto"/>
        <w:ind w:left="-30"/>
      </w:pPr>
      <w:bookmarkStart w:id="4" w:name="bm_1_pozorne_zawężenie_sprawy"/>
      <w:r>
        <w:rPr>
          <w:rFonts w:eastAsia="Georgia" w:hAnsi="Georgia" w:cs="Georgia"/>
          <w:b/>
          <w:color w:val="000000"/>
          <w:sz w:val="24"/>
        </w:rPr>
        <w:t>1. Pozorne zawężenie sprawy</w:t>
      </w:r>
      <w:bookmarkEnd w:id="4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Materiał sprawy obejmuje szereg pism i wiadomości kierowanych do UJ oraz innych instytucji, w tym korespondencję z 12 marca 2025 r., 7 lipca 2025 r., 25 lutego 2026 r., 13 marca 2026 r., 18 marca 2026 r. oraz 20 marca 2026 r.[file:16]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Zawężenie całej sprawy do sporu wokół jednej daty oznacza pominięcie rzeczywistego przedmiotu </w:t>
      </w:r>
      <w:proofErr w:type="gramStart"/>
      <w:r>
        <w:rPr>
          <w:rFonts w:eastAsia="Georgia" w:hAnsi="Georgia" w:cs="Georgia"/>
          <w:color w:val="000000"/>
        </w:rPr>
        <w:t>zawiadomienia.[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spacing w:before="315" w:after="105" w:line="360" w:lineRule="auto"/>
        <w:ind w:left="-30"/>
      </w:pPr>
      <w:bookmarkStart w:id="5" w:name="bm_2_brak_weryfikacji_art_304_2_k_p_k"/>
      <w:r>
        <w:rPr>
          <w:rFonts w:eastAsia="Georgia" w:hAnsi="Georgia" w:cs="Georgia"/>
          <w:b/>
          <w:color w:val="000000"/>
          <w:sz w:val="24"/>
        </w:rPr>
        <w:t>2. Brak weryfikacji art. 304 § 2 k.p.k.</w:t>
      </w:r>
      <w:bookmarkEnd w:id="5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Nie ustalono, czy osoby działające w imieniu Uniwersytetu Jagiellońskiego, po powzięciu wiadomości o możliwości popełnienia czynów ściganych z urzędu, dopełniły obowiązku niezwłocznego zawiadomienia organów </w:t>
      </w:r>
      <w:proofErr w:type="gramStart"/>
      <w:r>
        <w:rPr>
          <w:rFonts w:eastAsia="Georgia" w:hAnsi="Georgia" w:cs="Georgia"/>
          <w:color w:val="000000"/>
        </w:rPr>
        <w:t>ścigania.[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Z odpowiedzi UJ wynika jedynie deklaracja współpracy z prokuraturą, która nie jest tożsama z wykonaniem obowiązku z art. 304 § 2 k.p.k.[file:11]</w:t>
      </w:r>
    </w:p>
    <w:p w:rsidR="00275473" w:rsidRDefault="00000000">
      <w:pPr>
        <w:spacing w:before="315" w:after="105" w:line="360" w:lineRule="auto"/>
        <w:ind w:left="-30"/>
      </w:pPr>
      <w:bookmarkStart w:id="6" w:name="bm_3_brak_podstawowych_czynności_765fb4"/>
      <w:r>
        <w:rPr>
          <w:rFonts w:eastAsia="Georgia" w:hAnsi="Georgia" w:cs="Georgia"/>
          <w:b/>
          <w:color w:val="000000"/>
          <w:sz w:val="24"/>
        </w:rPr>
        <w:t>3. Brak podstawowych czynności dowodowych</w:t>
      </w:r>
      <w:bookmarkEnd w:id="6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Nie przesłuchano Rektora UJ, nie ustalono wewnętrznego obiegu informacji w Biurze Rektora, nie zobowiązano uczelni do przedłożenia pełnej dokumentacji dotyczącej wpływu i rozpoznania korespondencji skarżącego, ani nie </w:t>
      </w:r>
      <w:proofErr w:type="gramStart"/>
      <w:r>
        <w:rPr>
          <w:rFonts w:eastAsia="Georgia" w:hAnsi="Georgia" w:cs="Georgia"/>
          <w:color w:val="000000"/>
        </w:rPr>
        <w:t>ustalono,</w:t>
      </w:r>
      <w:proofErr w:type="gramEnd"/>
      <w:r>
        <w:rPr>
          <w:rFonts w:eastAsia="Georgia" w:hAnsi="Georgia" w:cs="Georgia"/>
          <w:color w:val="000000"/>
        </w:rPr>
        <w:t xml:space="preserve"> czy wszczęto jakiekolwiek postępowania wewnętrzne wobec osób wskazywanych w </w:t>
      </w:r>
      <w:proofErr w:type="gramStart"/>
      <w:r>
        <w:rPr>
          <w:rFonts w:eastAsia="Georgia" w:hAnsi="Georgia" w:cs="Georgia"/>
          <w:color w:val="000000"/>
        </w:rPr>
        <w:t>zgłoszeniach.[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spacing w:before="315" w:after="105" w:line="360" w:lineRule="auto"/>
        <w:ind w:left="-30"/>
      </w:pPr>
      <w:bookmarkStart w:id="7" w:name="bm_4_pominięcie_nagrania_nr_10"/>
      <w:r>
        <w:rPr>
          <w:rFonts w:eastAsia="Georgia" w:hAnsi="Georgia" w:cs="Georgia"/>
          <w:b/>
          <w:color w:val="000000"/>
          <w:sz w:val="24"/>
        </w:rPr>
        <w:t>4. Pominięcie nagrania nr 10</w:t>
      </w:r>
      <w:bookmarkEnd w:id="7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W przedłożonej analizie nagrań audio nagranie nr 10 z 30 września 2021 r. zostało określone jako najważniejsze, ponieważ ma dokumentować pełny mechanizm sabotażu grantu NAWA, informacje o listach z NAWA, rolę osób uczestniczących w panelu oraz wypowiedzi wskazujące na celowe niedopuszczenie skarżącego do uzyskania </w:t>
      </w:r>
      <w:proofErr w:type="gramStart"/>
      <w:r>
        <w:rPr>
          <w:rFonts w:eastAsia="Georgia" w:hAnsi="Georgia" w:cs="Georgia"/>
          <w:color w:val="000000"/>
        </w:rPr>
        <w:t>finansowania.[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Pominięcie tego materiału dowodowego już na etapie sprawdzającym oznacza, że decyzja o odmowie wszczęcia została podjęta bez zbadania dowodu mogącego mieć zasadnicze znaczenie dla oceny, czy zachodzi uzasadnione podejrzenie popełnienia czynu </w:t>
      </w:r>
      <w:proofErr w:type="gramStart"/>
      <w:r>
        <w:rPr>
          <w:rFonts w:eastAsia="Georgia" w:hAnsi="Georgia" w:cs="Georgia"/>
          <w:color w:val="000000"/>
        </w:rPr>
        <w:t>zabronionego.[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spacing w:before="315" w:after="105" w:line="360" w:lineRule="auto"/>
        <w:ind w:left="-30"/>
      </w:pPr>
      <w:bookmarkStart w:id="8" w:name="wnioski"/>
      <w:r>
        <w:rPr>
          <w:rFonts w:eastAsia="Georgia" w:hAnsi="Georgia" w:cs="Georgia"/>
          <w:b/>
          <w:color w:val="000000"/>
          <w:sz w:val="24"/>
        </w:rPr>
        <w:t>Wnioski</w:t>
      </w:r>
      <w:bookmarkEnd w:id="8"/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Wnoszę o:</w:t>
      </w:r>
    </w:p>
    <w:p w:rsidR="0027547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objęcie sprawy o sygn. 4138-1 Ds. 1044.2026 nadzorem </w:t>
      </w:r>
      <w:proofErr w:type="gramStart"/>
      <w:r>
        <w:rPr>
          <w:rFonts w:eastAsia="Georgia" w:hAnsi="Georgia" w:cs="Georgia"/>
          <w:color w:val="000000"/>
        </w:rPr>
        <w:t>służbowym;[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zbadanie prawidłowości postępowania sprawdzającego zakończonego odmową wszczęcia śledztwa z 14 kwietnia 2026 </w:t>
      </w:r>
      <w:proofErr w:type="gramStart"/>
      <w:r>
        <w:rPr>
          <w:rFonts w:eastAsia="Georgia" w:hAnsi="Georgia" w:cs="Georgia"/>
          <w:color w:val="000000"/>
        </w:rPr>
        <w:t>r.;[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zbadanie,</w:t>
      </w:r>
      <w:proofErr w:type="gramEnd"/>
      <w:r>
        <w:rPr>
          <w:rFonts w:eastAsia="Georgia" w:hAnsi="Georgia" w:cs="Georgia"/>
          <w:color w:val="000000"/>
        </w:rPr>
        <w:t xml:space="preserve"> czy pominięcie materiału audio, w tym nagrania nr 10, nie stanowiło naruszenia obowiązku wszechstronnego wyjaśnienia </w:t>
      </w:r>
      <w:proofErr w:type="gramStart"/>
      <w:r>
        <w:rPr>
          <w:rFonts w:eastAsia="Georgia" w:hAnsi="Georgia" w:cs="Georgia"/>
          <w:color w:val="000000"/>
        </w:rPr>
        <w:t>sprawy;[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spowodowanie przeprowadzenia podstawowych czynności dowodowych wskazanych w zażaleniu, w tym przesłuchania osób odpowiedzialnych za obieg i rozpoznanie korespondencji po stronie </w:t>
      </w:r>
      <w:proofErr w:type="gramStart"/>
      <w:r>
        <w:rPr>
          <w:rFonts w:eastAsia="Georgia" w:hAnsi="Georgia" w:cs="Georgia"/>
          <w:color w:val="000000"/>
        </w:rPr>
        <w:t>UJ;[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rozważenie wydania stosownych poleceń służbowych zmierzających do rzeczywistego zbadania całokształtu materiału, a nie jedynie jego marginalnego </w:t>
      </w:r>
      <w:proofErr w:type="gramStart"/>
      <w:r>
        <w:rPr>
          <w:rFonts w:eastAsia="Georgia" w:hAnsi="Georgia" w:cs="Georgia"/>
          <w:color w:val="000000"/>
        </w:rPr>
        <w:t>fragmentu.[</w:t>
      </w:r>
      <w:proofErr w:type="gramEnd"/>
      <w:r>
        <w:rPr>
          <w:rFonts w:eastAsia="Georgia" w:hAnsi="Georgia" w:cs="Georgia"/>
          <w:color w:val="000000"/>
        </w:rPr>
        <w:t>file:16]</w:t>
      </w: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Sprawa dotyczy nie tylko interesu prywatnego skarżącego, lecz także standardów działania instytucji publicznej, obowiązków funkcjonariuszy publicznych oraz prawidłowości reakcji organów ścigania na zawiadomienia dotyczące możliwych </w:t>
      </w:r>
      <w:proofErr w:type="gramStart"/>
      <w:r>
        <w:rPr>
          <w:rFonts w:eastAsia="Georgia" w:hAnsi="Georgia" w:cs="Georgia"/>
          <w:color w:val="000000"/>
        </w:rPr>
        <w:t>nadużyć.[</w:t>
      </w:r>
      <w:proofErr w:type="gramEnd"/>
      <w:r>
        <w:rPr>
          <w:rFonts w:eastAsia="Georgia" w:hAnsi="Georgia" w:cs="Georgia"/>
          <w:color w:val="000000"/>
        </w:rPr>
        <w:t>file:</w:t>
      </w:r>
      <w:proofErr w:type="gramStart"/>
      <w:r>
        <w:rPr>
          <w:rFonts w:eastAsia="Georgia" w:hAnsi="Georgia" w:cs="Georgia"/>
          <w:color w:val="000000"/>
        </w:rPr>
        <w:t>16][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 xml:space="preserve">W załączeniu składam kopię zażalenia na postanowienie o odmowie wszczęcia śledztwa oraz dokumenty, do których skarga się </w:t>
      </w:r>
      <w:proofErr w:type="gramStart"/>
      <w:r>
        <w:rPr>
          <w:rFonts w:eastAsia="Georgia" w:hAnsi="Georgia" w:cs="Georgia"/>
          <w:color w:val="000000"/>
        </w:rPr>
        <w:t>odwołuje.[</w:t>
      </w:r>
      <w:proofErr w:type="gramEnd"/>
      <w:r>
        <w:rPr>
          <w:rFonts w:eastAsia="Georgia" w:hAnsi="Georgia" w:cs="Georgia"/>
          <w:color w:val="000000"/>
        </w:rPr>
        <w:t>file:</w:t>
      </w:r>
      <w:proofErr w:type="gramStart"/>
      <w:r>
        <w:rPr>
          <w:rFonts w:eastAsia="Georgia" w:hAnsi="Georgia" w:cs="Georgia"/>
          <w:color w:val="000000"/>
        </w:rPr>
        <w:t>16][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CC5651" w:rsidRDefault="00CC5651">
      <w:pPr>
        <w:spacing w:after="210" w:line="360" w:lineRule="auto"/>
        <w:rPr>
          <w:rFonts w:eastAsia="Georgia" w:hAnsi="Georgia" w:cs="Georgia"/>
          <w:color w:val="000000"/>
        </w:rPr>
      </w:pPr>
    </w:p>
    <w:p w:rsidR="00CC5651" w:rsidRDefault="00CC5651">
      <w:pPr>
        <w:spacing w:after="210" w:line="360" w:lineRule="auto"/>
      </w:pPr>
    </w:p>
    <w:p w:rsidR="00275473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Dr Witold Kilarski</w:t>
      </w:r>
    </w:p>
    <w:p w:rsidR="00275473" w:rsidRDefault="00000000">
      <w:pPr>
        <w:spacing w:before="315" w:after="105" w:line="360" w:lineRule="auto"/>
        <w:ind w:left="-30"/>
      </w:pPr>
      <w:bookmarkStart w:id="9" w:name="załączniki"/>
      <w:r>
        <w:rPr>
          <w:rFonts w:eastAsia="Georgia" w:hAnsi="Georgia" w:cs="Georgia"/>
          <w:b/>
          <w:color w:val="000000"/>
          <w:sz w:val="24"/>
        </w:rPr>
        <w:t>Załączniki</w:t>
      </w:r>
      <w:bookmarkEnd w:id="9"/>
    </w:p>
    <w:p w:rsidR="0027547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kopia postanowienia z 14 kwietnia 2026 r.;</w:t>
      </w:r>
    </w:p>
    <w:p w:rsidR="0027547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kopia zażalenia;</w:t>
      </w:r>
    </w:p>
    <w:p w:rsidR="0027547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analiza nagrań audio nr 1--</w:t>
      </w:r>
      <w:proofErr w:type="gramStart"/>
      <w:r>
        <w:rPr>
          <w:rFonts w:eastAsia="Georgia" w:hAnsi="Georgia" w:cs="Georgia"/>
          <w:color w:val="000000"/>
        </w:rPr>
        <w:t>10;[</w:t>
      </w:r>
      <w:proofErr w:type="gramEnd"/>
      <w:r>
        <w:rPr>
          <w:rFonts w:eastAsia="Georgia" w:hAnsi="Georgia" w:cs="Georgia"/>
          <w:color w:val="000000"/>
        </w:rPr>
        <w:t>file:13]</w:t>
      </w:r>
    </w:p>
    <w:p w:rsidR="0027547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kopie korespondencji z marca 2026 r.[file:</w:t>
      </w:r>
      <w:proofErr w:type="gramStart"/>
      <w:r>
        <w:rPr>
          <w:rFonts w:eastAsia="Georgia" w:hAnsi="Georgia" w:cs="Georgia"/>
          <w:color w:val="000000"/>
        </w:rPr>
        <w:t>11]</w:t>
      </w:r>
      <w:proofErr w:type="gramEnd"/>
    </w:p>
    <w:sectPr w:rsidR="00275473" w:rsidSect="00CC5651">
      <w:headerReference w:type="even" r:id="rId8"/>
      <w:headerReference w:type="default" r:id="rId9"/>
      <w:pgSz w:w="11900" w:h="16820"/>
      <w:pgMar w:top="1365" w:right="1365" w:bottom="1365" w:left="1365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D3F" w:rsidRDefault="007D6D3F" w:rsidP="00CC5651">
      <w:pPr>
        <w:spacing w:after="0" w:line="240" w:lineRule="auto"/>
      </w:pPr>
      <w:r>
        <w:separator/>
      </w:r>
    </w:p>
  </w:endnote>
  <w:endnote w:type="continuationSeparator" w:id="0">
    <w:p w:rsidR="007D6D3F" w:rsidRDefault="007D6D3F" w:rsidP="00CC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D3F" w:rsidRDefault="007D6D3F" w:rsidP="00CC5651">
      <w:pPr>
        <w:spacing w:after="0" w:line="240" w:lineRule="auto"/>
      </w:pPr>
      <w:r>
        <w:separator/>
      </w:r>
    </w:p>
  </w:footnote>
  <w:footnote w:type="continuationSeparator" w:id="0">
    <w:p w:rsidR="007D6D3F" w:rsidRDefault="007D6D3F" w:rsidP="00CC5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1787144"/>
      <w:docPartObj>
        <w:docPartGallery w:val="Page Numbers (Top of Page)"/>
        <w:docPartUnique/>
      </w:docPartObj>
    </w:sdtPr>
    <w:sdtContent>
      <w:p w:rsidR="00CC5651" w:rsidRDefault="00CC5651" w:rsidP="00E301A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CC5651" w:rsidRDefault="00CC5651" w:rsidP="00CC565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7554955"/>
      <w:docPartObj>
        <w:docPartGallery w:val="Page Numbers (Top of Page)"/>
        <w:docPartUnique/>
      </w:docPartObj>
    </w:sdtPr>
    <w:sdtContent>
      <w:p w:rsidR="00CC5651" w:rsidRDefault="00CC5651" w:rsidP="00E301A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z 3</w:t>
        </w:r>
      </w:p>
    </w:sdtContent>
  </w:sdt>
  <w:p w:rsidR="00CC5651" w:rsidRDefault="00CC5651" w:rsidP="00CC5651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61587"/>
    <w:multiLevelType w:val="hybridMultilevel"/>
    <w:tmpl w:val="28CA4EF2"/>
    <w:lvl w:ilvl="0" w:tplc="FDFEB1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D8C688">
      <w:numFmt w:val="decimal"/>
      <w:lvlText w:val=""/>
      <w:lvlJc w:val="left"/>
    </w:lvl>
    <w:lvl w:ilvl="2" w:tplc="025CBD08">
      <w:numFmt w:val="decimal"/>
      <w:lvlText w:val=""/>
      <w:lvlJc w:val="left"/>
    </w:lvl>
    <w:lvl w:ilvl="3" w:tplc="574211C2">
      <w:numFmt w:val="decimal"/>
      <w:lvlText w:val=""/>
      <w:lvlJc w:val="left"/>
    </w:lvl>
    <w:lvl w:ilvl="4" w:tplc="A3A0A802">
      <w:numFmt w:val="decimal"/>
      <w:lvlText w:val=""/>
      <w:lvlJc w:val="left"/>
    </w:lvl>
    <w:lvl w:ilvl="5" w:tplc="FEFA6996">
      <w:numFmt w:val="decimal"/>
      <w:lvlText w:val=""/>
      <w:lvlJc w:val="left"/>
    </w:lvl>
    <w:lvl w:ilvl="6" w:tplc="0AFE1032">
      <w:numFmt w:val="decimal"/>
      <w:lvlText w:val=""/>
      <w:lvlJc w:val="left"/>
    </w:lvl>
    <w:lvl w:ilvl="7" w:tplc="9A70447A">
      <w:numFmt w:val="decimal"/>
      <w:lvlText w:val=""/>
      <w:lvlJc w:val="left"/>
    </w:lvl>
    <w:lvl w:ilvl="8" w:tplc="740C91D6">
      <w:numFmt w:val="decimal"/>
      <w:lvlText w:val=""/>
      <w:lvlJc w:val="left"/>
    </w:lvl>
  </w:abstractNum>
  <w:abstractNum w:abstractNumId="1" w15:restartNumberingAfterBreak="0">
    <w:nsid w:val="489242C2"/>
    <w:multiLevelType w:val="hybridMultilevel"/>
    <w:tmpl w:val="9D5690A0"/>
    <w:lvl w:ilvl="0" w:tplc="D92050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0C65AE">
      <w:numFmt w:val="decimal"/>
      <w:lvlText w:val=""/>
      <w:lvlJc w:val="left"/>
    </w:lvl>
    <w:lvl w:ilvl="2" w:tplc="5636B0BC">
      <w:numFmt w:val="decimal"/>
      <w:lvlText w:val=""/>
      <w:lvlJc w:val="left"/>
    </w:lvl>
    <w:lvl w:ilvl="3" w:tplc="BD94849C">
      <w:numFmt w:val="decimal"/>
      <w:lvlText w:val=""/>
      <w:lvlJc w:val="left"/>
    </w:lvl>
    <w:lvl w:ilvl="4" w:tplc="E9DAD472">
      <w:numFmt w:val="decimal"/>
      <w:lvlText w:val=""/>
      <w:lvlJc w:val="left"/>
    </w:lvl>
    <w:lvl w:ilvl="5" w:tplc="C1F45956">
      <w:numFmt w:val="decimal"/>
      <w:lvlText w:val=""/>
      <w:lvlJc w:val="left"/>
    </w:lvl>
    <w:lvl w:ilvl="6" w:tplc="C1D0D914">
      <w:numFmt w:val="decimal"/>
      <w:lvlText w:val=""/>
      <w:lvlJc w:val="left"/>
    </w:lvl>
    <w:lvl w:ilvl="7" w:tplc="6DB42CF2">
      <w:numFmt w:val="decimal"/>
      <w:lvlText w:val=""/>
      <w:lvlJc w:val="left"/>
    </w:lvl>
    <w:lvl w:ilvl="8" w:tplc="8ECA47C8">
      <w:numFmt w:val="decimal"/>
      <w:lvlText w:val=""/>
      <w:lvlJc w:val="left"/>
    </w:lvl>
  </w:abstractNum>
  <w:num w:numId="1" w16cid:durableId="1366249164">
    <w:abstractNumId w:val="0"/>
  </w:num>
  <w:num w:numId="2" w16cid:durableId="209554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473"/>
    <w:rsid w:val="00275473"/>
    <w:rsid w:val="007D0CF9"/>
    <w:rsid w:val="007D6D3F"/>
    <w:rsid w:val="00CC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E7EAD3"/>
  <w15:docId w15:val="{A01CAD01-4DF0-6944-8CA6-752F3CAB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C5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651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CC5651"/>
  </w:style>
  <w:style w:type="paragraph" w:styleId="Footer">
    <w:name w:val="footer"/>
    <w:basedOn w:val="Normal"/>
    <w:link w:val="FooterChar"/>
    <w:uiPriority w:val="99"/>
    <w:unhideWhenUsed/>
    <w:rsid w:val="00CC5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65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witek.kilarsk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Witold Kilarski</cp:lastModifiedBy>
  <cp:revision>2</cp:revision>
  <dcterms:created xsi:type="dcterms:W3CDTF">2026-04-19T11:02:00Z</dcterms:created>
  <dcterms:modified xsi:type="dcterms:W3CDTF">2026-04-19T11:08:00Z</dcterms:modified>
</cp:coreProperties>
</file>