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40"/>
        <w:jc w:val="center"/>
      </w:pPr>
      <w:r>
        <w:rPr>
          <w:rFonts w:ascii="Calibri" w:hAnsi="Calibri"/>
          <w:b/>
          <w:color w:val="0078D4"/>
          <w:sz w:val="34"/>
        </w:rPr>
        <w:t>UNIVERSIDAD TECNOLÓGICA DEL VALLE DE TOLUCA</w:t>
        <w:br/>
      </w:r>
      <w:r>
        <w:rPr>
          <w:rFonts w:ascii="Calibri" w:hAnsi="Calibri"/>
          <w:b/>
          <w:color w:val="1E293B"/>
          <w:sz w:val="25"/>
        </w:rPr>
        <w:t>DIRECCIÓN DE TECNOLOGÍAS DE LA INFORMACIÓN Y COMUNICACIÓN</w:t>
        <w:br/>
      </w:r>
      <w:r>
        <w:rPr>
          <w:rFonts w:ascii="Calibri" w:hAnsi="Calibri"/>
          <w:color w:val="64748B"/>
          <w:sz w:val="22"/>
        </w:rPr>
        <w:t>INGENIERÍA EN DESARROLLO Y GESTIÓN DE SOFTWARE</w:t>
      </w:r>
    </w:p>
    <w:p>
      <w:pPr>
        <w:spacing w:before="200" w:after="500"/>
        <w:jc w:val="center"/>
      </w:pPr>
      <w:r>
        <w:rPr>
          <w:b/>
          <w:color w:val="0078D4"/>
        </w:rPr>
        <w:t>——————————————————————————————————————</w:t>
      </w:r>
    </w:p>
    <w:p>
      <w:pPr>
        <w:spacing w:after="160"/>
        <w:jc w:val="center"/>
      </w:pPr>
      <w:r>
        <w:rPr>
          <w:rFonts w:ascii="Calibri" w:hAnsi="Calibri"/>
          <w:b/>
          <w:color w:val="1E293B"/>
          <w:sz w:val="40"/>
        </w:rPr>
        <w:t>REPORTE TÉCNICO DE PRÁCTICA</w:t>
      </w:r>
    </w:p>
    <w:p>
      <w:pPr>
        <w:spacing w:after="600"/>
        <w:jc w:val="center"/>
      </w:pPr>
      <w:r>
        <w:rPr>
          <w:rFonts w:ascii="Calibri" w:hAnsi="Calibri"/>
          <w:b/>
          <w:color w:val="0078D4"/>
          <w:sz w:val="28"/>
        </w:rPr>
        <w:t>Asignación 12: Aprovisionamiento de Azure App Service, Log Analytics</w:t>
        <w:br/>
        <w:t>y Application Insights en Microsoft Azure (Laboratorio 1)</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703"/>
        <w:gridCol w:w="4703"/>
      </w:tblGrid>
      <w:tr>
        <w:tc>
          <w:tcPr>
            <w:tcW w:type="dxa" w:w="3168"/>
            <w:shd w:fill="F1F5F9"/>
            <w:tcMar>
              <w:top w:w="90" w:type="dxa"/>
              <w:bottom w:w="90" w:type="dxa"/>
              <w:left w:w="130" w:type="dxa"/>
              <w:right w:w="130" w:type="dxa"/>
            </w:tcMar>
          </w:tcPr>
          <w:p>
            <w:pPr>
              <w:spacing w:after="0"/>
            </w:pPr>
            <w:r>
              <w:rPr>
                <w:rFonts w:ascii="Calibri" w:hAnsi="Calibri"/>
                <w:b/>
                <w:color w:val="1E293B"/>
                <w:sz w:val="20"/>
              </w:rPr>
              <w:t>Materia / Asignatura:</w:t>
            </w:r>
          </w:p>
        </w:tc>
        <w:tc>
          <w:tcPr>
            <w:tcW w:type="dxa" w:w="6192"/>
            <w:shd w:fill="FFFFFF"/>
            <w:tcMar>
              <w:top w:w="90" w:type="dxa"/>
              <w:bottom w:w="90" w:type="dxa"/>
              <w:left w:w="130" w:type="dxa"/>
              <w:right w:w="130" w:type="dxa"/>
            </w:tcMar>
          </w:tcPr>
          <w:p>
            <w:pPr>
              <w:spacing w:after="0"/>
            </w:pPr>
            <w:r>
              <w:rPr>
                <w:rFonts w:ascii="Calibri" w:hAnsi="Calibri"/>
                <w:color w:val="1E293B"/>
                <w:sz w:val="20"/>
              </w:rPr>
              <w:t>Evaluación y Mejora para el Desarrollo de Software</w:t>
            </w:r>
          </w:p>
        </w:tc>
      </w:tr>
      <w:tr>
        <w:tc>
          <w:tcPr>
            <w:tcW w:type="dxa" w:w="3168"/>
            <w:shd w:fill="F1F5F9"/>
            <w:tcMar>
              <w:top w:w="90" w:type="dxa"/>
              <w:bottom w:w="90" w:type="dxa"/>
              <w:left w:w="130" w:type="dxa"/>
              <w:right w:w="130" w:type="dxa"/>
            </w:tcMar>
          </w:tcPr>
          <w:p>
            <w:pPr>
              <w:spacing w:after="0"/>
            </w:pPr>
            <w:r>
              <w:rPr>
                <w:rFonts w:ascii="Calibri" w:hAnsi="Calibri"/>
                <w:b/>
                <w:color w:val="1E293B"/>
                <w:sz w:val="20"/>
              </w:rPr>
              <w:t>Docente:</w:t>
            </w:r>
          </w:p>
        </w:tc>
        <w:tc>
          <w:tcPr>
            <w:tcW w:type="dxa" w:w="6192"/>
            <w:shd w:fill="FFFFFF"/>
            <w:tcMar>
              <w:top w:w="90" w:type="dxa"/>
              <w:bottom w:w="90" w:type="dxa"/>
              <w:left w:w="130" w:type="dxa"/>
              <w:right w:w="130" w:type="dxa"/>
            </w:tcMar>
          </w:tcPr>
          <w:p>
            <w:pPr>
              <w:spacing w:after="0"/>
            </w:pPr>
            <w:r>
              <w:rPr>
                <w:rFonts w:ascii="Calibri" w:hAnsi="Calibri"/>
                <w:color w:val="1E293B"/>
                <w:sz w:val="20"/>
              </w:rPr>
              <w:t>Mtro. Jorge Almeida Montiel</w:t>
            </w:r>
          </w:p>
        </w:tc>
      </w:tr>
      <w:tr>
        <w:tc>
          <w:tcPr>
            <w:tcW w:type="dxa" w:w="3168"/>
            <w:shd w:fill="F1F5F9"/>
            <w:tcMar>
              <w:top w:w="90" w:type="dxa"/>
              <w:bottom w:w="90" w:type="dxa"/>
              <w:left w:w="130" w:type="dxa"/>
              <w:right w:w="130" w:type="dxa"/>
            </w:tcMar>
          </w:tcPr>
          <w:p>
            <w:pPr>
              <w:spacing w:after="0"/>
            </w:pPr>
            <w:r>
              <w:rPr>
                <w:rFonts w:ascii="Calibri" w:hAnsi="Calibri"/>
                <w:b/>
                <w:color w:val="1E293B"/>
                <w:sz w:val="20"/>
              </w:rPr>
              <w:t>Alumno:</w:t>
            </w:r>
          </w:p>
        </w:tc>
        <w:tc>
          <w:tcPr>
            <w:tcW w:type="dxa" w:w="6192"/>
            <w:shd w:fill="FFFFFF"/>
            <w:tcMar>
              <w:top w:w="90" w:type="dxa"/>
              <w:bottom w:w="90" w:type="dxa"/>
              <w:left w:w="130" w:type="dxa"/>
              <w:right w:w="130" w:type="dxa"/>
            </w:tcMar>
          </w:tcPr>
          <w:p>
            <w:pPr>
              <w:spacing w:after="0"/>
            </w:pPr>
            <w:r>
              <w:rPr>
                <w:rFonts w:ascii="Calibri" w:hAnsi="Calibri"/>
                <w:color w:val="1E293B"/>
                <w:sz w:val="20"/>
              </w:rPr>
              <w:t>Ludwin García Gaytán</w:t>
            </w:r>
          </w:p>
        </w:tc>
      </w:tr>
      <w:tr>
        <w:tc>
          <w:tcPr>
            <w:tcW w:type="dxa" w:w="3168"/>
            <w:shd w:fill="F1F5F9"/>
            <w:tcMar>
              <w:top w:w="90" w:type="dxa"/>
              <w:bottom w:w="90" w:type="dxa"/>
              <w:left w:w="130" w:type="dxa"/>
              <w:right w:w="130" w:type="dxa"/>
            </w:tcMar>
          </w:tcPr>
          <w:p>
            <w:pPr>
              <w:spacing w:after="0"/>
            </w:pPr>
            <w:r>
              <w:rPr>
                <w:rFonts w:ascii="Calibri" w:hAnsi="Calibri"/>
                <w:b/>
                <w:color w:val="1E293B"/>
                <w:sz w:val="20"/>
              </w:rPr>
              <w:t>Matrícula:</w:t>
            </w:r>
          </w:p>
        </w:tc>
        <w:tc>
          <w:tcPr>
            <w:tcW w:type="dxa" w:w="6192"/>
            <w:shd w:fill="FFFFFF"/>
            <w:tcMar>
              <w:top w:w="90" w:type="dxa"/>
              <w:bottom w:w="90" w:type="dxa"/>
              <w:left w:w="130" w:type="dxa"/>
              <w:right w:w="130" w:type="dxa"/>
            </w:tcMar>
          </w:tcPr>
          <w:p>
            <w:pPr>
              <w:spacing w:after="0"/>
            </w:pPr>
            <w:r>
              <w:rPr>
                <w:rFonts w:ascii="Calibri" w:hAnsi="Calibri"/>
                <w:color w:val="1E293B"/>
                <w:sz w:val="20"/>
              </w:rPr>
              <w:t>222310777</w:t>
            </w:r>
          </w:p>
        </w:tc>
      </w:tr>
      <w:tr>
        <w:tc>
          <w:tcPr>
            <w:tcW w:type="dxa" w:w="3168"/>
            <w:shd w:fill="F1F5F9"/>
            <w:tcMar>
              <w:top w:w="90" w:type="dxa"/>
              <w:bottom w:w="90" w:type="dxa"/>
              <w:left w:w="130" w:type="dxa"/>
              <w:right w:w="130" w:type="dxa"/>
            </w:tcMar>
          </w:tcPr>
          <w:p>
            <w:pPr>
              <w:spacing w:after="0"/>
            </w:pPr>
            <w:r>
              <w:rPr>
                <w:rFonts w:ascii="Calibri" w:hAnsi="Calibri"/>
                <w:b/>
                <w:color w:val="1E293B"/>
                <w:sz w:val="20"/>
              </w:rPr>
              <w:t>Grupo:</w:t>
            </w:r>
          </w:p>
        </w:tc>
        <w:tc>
          <w:tcPr>
            <w:tcW w:type="dxa" w:w="6192"/>
            <w:shd w:fill="FFFFFF"/>
            <w:tcMar>
              <w:top w:w="90" w:type="dxa"/>
              <w:bottom w:w="90" w:type="dxa"/>
              <w:left w:w="130" w:type="dxa"/>
              <w:right w:w="130" w:type="dxa"/>
            </w:tcMar>
          </w:tcPr>
          <w:p>
            <w:pPr>
              <w:spacing w:after="0"/>
            </w:pPr>
            <w:r>
              <w:rPr>
                <w:rFonts w:ascii="Calibri" w:hAnsi="Calibri"/>
                <w:color w:val="1E293B"/>
                <w:sz w:val="20"/>
              </w:rPr>
              <w:t>IDGS-81 (8vo Cuatrimestre)</w:t>
            </w:r>
          </w:p>
        </w:tc>
      </w:tr>
      <w:tr>
        <w:tc>
          <w:tcPr>
            <w:tcW w:type="dxa" w:w="3168"/>
            <w:shd w:fill="F1F5F9"/>
            <w:tcMar>
              <w:top w:w="90" w:type="dxa"/>
              <w:bottom w:w="90" w:type="dxa"/>
              <w:left w:w="130" w:type="dxa"/>
              <w:right w:w="130" w:type="dxa"/>
            </w:tcMar>
          </w:tcPr>
          <w:p>
            <w:pPr>
              <w:spacing w:after="0"/>
            </w:pPr>
            <w:r>
              <w:rPr>
                <w:rFonts w:ascii="Calibri" w:hAnsi="Calibri"/>
                <w:b/>
                <w:color w:val="1E293B"/>
                <w:sz w:val="20"/>
              </w:rPr>
              <w:t>Repositorio Oficial:</w:t>
            </w:r>
          </w:p>
        </w:tc>
        <w:tc>
          <w:tcPr>
            <w:tcW w:type="dxa" w:w="6192"/>
            <w:shd w:fill="FFFFFF"/>
            <w:tcMar>
              <w:top w:w="90" w:type="dxa"/>
              <w:bottom w:w="90" w:type="dxa"/>
              <w:left w:w="130" w:type="dxa"/>
              <w:right w:w="130" w:type="dxa"/>
            </w:tcMar>
          </w:tcPr>
          <w:p>
            <w:pPr>
              <w:spacing w:after="0"/>
            </w:pPr>
            <w:r>
              <w:rPr>
                <w:rFonts w:ascii="Calibri" w:hAnsi="Calibri"/>
                <w:color w:val="0078D4"/>
                <w:sz w:val="20"/>
                <w:u w:val="single"/>
              </w:rPr>
              <w:t>https://github.com/LudwinGarcia1/azure-laboratories</w:t>
            </w:r>
          </w:p>
        </w:tc>
      </w:tr>
      <w:tr>
        <w:tc>
          <w:tcPr>
            <w:tcW w:type="dxa" w:w="3168"/>
            <w:shd w:fill="F1F5F9"/>
            <w:tcMar>
              <w:top w:w="90" w:type="dxa"/>
              <w:bottom w:w="90" w:type="dxa"/>
              <w:left w:w="130" w:type="dxa"/>
              <w:right w:w="130" w:type="dxa"/>
            </w:tcMar>
          </w:tcPr>
          <w:p>
            <w:pPr>
              <w:spacing w:after="0"/>
            </w:pPr>
            <w:r>
              <w:rPr>
                <w:rFonts w:ascii="Calibri" w:hAnsi="Calibri"/>
                <w:b/>
                <w:color w:val="1E293B"/>
                <w:sz w:val="20"/>
              </w:rPr>
              <w:t>Fecha de Realización:</w:t>
            </w:r>
          </w:p>
        </w:tc>
        <w:tc>
          <w:tcPr>
            <w:tcW w:type="dxa" w:w="6192"/>
            <w:shd w:fill="FFFFFF"/>
            <w:tcMar>
              <w:top w:w="90" w:type="dxa"/>
              <w:bottom w:w="90" w:type="dxa"/>
              <w:left w:w="130" w:type="dxa"/>
              <w:right w:w="130" w:type="dxa"/>
            </w:tcMar>
          </w:tcPr>
          <w:p>
            <w:pPr>
              <w:spacing w:after="0"/>
            </w:pPr>
            <w:r>
              <w:rPr>
                <w:rFonts w:ascii="Calibri" w:hAnsi="Calibri"/>
                <w:color w:val="1E293B"/>
                <w:sz w:val="20"/>
              </w:rPr>
              <w:t>Octubre 2026</w:t>
            </w:r>
          </w:p>
        </w:tc>
      </w:tr>
    </w:tbl>
    <w:p>
      <w:r>
        <w:br w:type="page"/>
      </w:r>
    </w:p>
    <w:p>
      <w:pPr>
        <w:keepNext/>
        <w:spacing w:before="360" w:after="120"/>
      </w:pPr>
      <w:r>
        <w:rPr>
          <w:rFonts w:ascii="Calibri" w:hAnsi="Calibri"/>
          <w:b/>
          <w:color w:val="0078D4"/>
          <w:sz w:val="32"/>
        </w:rPr>
        <w:t>ÍNDICE GENERAL</w:t>
      </w:r>
    </w:p>
    <w:tbl>
      <w:tblPr>
        <w:tblW w:type="auto" w:w="0"/>
        <w:jc w:val="center"/>
        <w:tblLook w:firstColumn="1" w:firstRow="1" w:lastColumn="0" w:lastRow="0" w:noHBand="0" w:noVBand="1" w:val="04A0"/>
        <w:tblBorders>
          <w:top w:val="single" w:sz="2" w:space="0" w:color="E5E7EB"/>
          <w:bottom w:val="single" w:sz="2" w:space="0" w:color="E5E7EB"/>
          <w:insideH w:val="single" w:sz="2" w:space="0" w:color="E5E7EB"/>
          <w:insideV w:val="none"/>
          <w:left w:val="none"/>
          <w:right w:val="none"/>
        </w:tblBorders>
      </w:tblPr>
      <w:tblGrid>
        <w:gridCol w:w="4703"/>
        <w:gridCol w:w="4703"/>
      </w:tblGrid>
      <w:tr>
        <w:tc>
          <w:tcPr>
            <w:tcW w:type="dxa" w:w="8352"/>
            <w:tcMar>
              <w:top w:w="30" w:type="dxa"/>
              <w:bottom w:w="30" w:type="dxa"/>
              <w:left w:w="60" w:type="dxa"/>
              <w:right w:w="60" w:type="dxa"/>
            </w:tcMar>
          </w:tcPr>
          <w:p>
            <w:pPr>
              <w:spacing w:after="20"/>
            </w:pPr>
            <w:r>
              <w:rPr>
                <w:rFonts w:ascii="Calibri" w:hAnsi="Calibri"/>
                <w:b/>
                <w:color w:val="0078D4"/>
                <w:sz w:val="20"/>
              </w:rPr>
              <w:t>1. INTRODUCCIÓN TEÓRICA</w:t>
            </w:r>
          </w:p>
        </w:tc>
        <w:tc>
          <w:tcPr>
            <w:tcW w:type="dxa" w:w="1008"/>
            <w:tcMar>
              <w:top w:w="30" w:type="dxa"/>
              <w:bottom w:w="30" w:type="dxa"/>
              <w:left w:w="60" w:type="dxa"/>
              <w:right w:w="60" w:type="dxa"/>
            </w:tcMar>
          </w:tcPr>
          <w:p>
            <w:pPr>
              <w:spacing w:after="20"/>
              <w:jc w:val="right"/>
            </w:pPr>
            <w:r>
              <w:rPr>
                <w:rFonts w:ascii="Calibri" w:hAnsi="Calibri"/>
                <w:color w:val="64748B"/>
                <w:sz w:val="20"/>
              </w:rPr>
              <w:t>3</w:t>
            </w:r>
          </w:p>
        </w:tc>
      </w:tr>
      <w:tr>
        <w:tc>
          <w:tcPr>
            <w:tcW w:type="dxa" w:w="8352"/>
            <w:tcMar>
              <w:top w:w="30" w:type="dxa"/>
              <w:bottom w:w="30" w:type="dxa"/>
              <w:left w:w="60" w:type="dxa"/>
              <w:right w:w="60" w:type="dxa"/>
            </w:tcMar>
          </w:tcPr>
          <w:p>
            <w:pPr>
              <w:spacing w:after="20"/>
            </w:pPr>
            <w:r>
              <w:rPr>
                <w:rFonts w:ascii="Calibri" w:hAnsi="Calibri"/>
                <w:color w:val="1E293B"/>
                <w:sz w:val="20"/>
              </w:rPr>
              <w:t xml:space="preserve">    1.1 Cloud Computing y Plataforma como Servicio (PaaS)</w:t>
            </w:r>
          </w:p>
        </w:tc>
        <w:tc>
          <w:tcPr>
            <w:tcW w:type="dxa" w:w="1008"/>
            <w:tcMar>
              <w:top w:w="30" w:type="dxa"/>
              <w:bottom w:w="30" w:type="dxa"/>
              <w:left w:w="60" w:type="dxa"/>
              <w:right w:w="60" w:type="dxa"/>
            </w:tcMar>
          </w:tcPr>
          <w:p>
            <w:pPr>
              <w:spacing w:after="20"/>
              <w:jc w:val="right"/>
            </w:pPr>
            <w:r>
              <w:rPr>
                <w:rFonts w:ascii="Calibri" w:hAnsi="Calibri"/>
                <w:color w:val="64748B"/>
                <w:sz w:val="20"/>
              </w:rPr>
              <w:t>3</w:t>
            </w:r>
          </w:p>
        </w:tc>
      </w:tr>
      <w:tr>
        <w:tc>
          <w:tcPr>
            <w:tcW w:type="dxa" w:w="8352"/>
            <w:tcMar>
              <w:top w:w="30" w:type="dxa"/>
              <w:bottom w:w="30" w:type="dxa"/>
              <w:left w:w="60" w:type="dxa"/>
              <w:right w:w="60" w:type="dxa"/>
            </w:tcMar>
          </w:tcPr>
          <w:p>
            <w:pPr>
              <w:spacing w:after="20"/>
            </w:pPr>
            <w:r>
              <w:rPr>
                <w:rFonts w:ascii="Calibri" w:hAnsi="Calibri"/>
                <w:color w:val="1E293B"/>
                <w:sz w:val="20"/>
              </w:rPr>
              <w:t xml:space="preserve">    1.2 Arquitectura y Componentes de Azure App Service</w:t>
            </w:r>
          </w:p>
        </w:tc>
        <w:tc>
          <w:tcPr>
            <w:tcW w:type="dxa" w:w="1008"/>
            <w:tcMar>
              <w:top w:w="30" w:type="dxa"/>
              <w:bottom w:w="30" w:type="dxa"/>
              <w:left w:w="60" w:type="dxa"/>
              <w:right w:w="60" w:type="dxa"/>
            </w:tcMar>
          </w:tcPr>
          <w:p>
            <w:pPr>
              <w:spacing w:after="20"/>
              <w:jc w:val="right"/>
            </w:pPr>
            <w:r>
              <w:rPr>
                <w:rFonts w:ascii="Calibri" w:hAnsi="Calibri"/>
                <w:color w:val="64748B"/>
                <w:sz w:val="20"/>
              </w:rPr>
              <w:t>3</w:t>
            </w:r>
          </w:p>
        </w:tc>
      </w:tr>
      <w:tr>
        <w:tc>
          <w:tcPr>
            <w:tcW w:type="dxa" w:w="8352"/>
            <w:tcMar>
              <w:top w:w="30" w:type="dxa"/>
              <w:bottom w:w="30" w:type="dxa"/>
              <w:left w:w="60" w:type="dxa"/>
              <w:right w:w="60" w:type="dxa"/>
            </w:tcMar>
          </w:tcPr>
          <w:p>
            <w:pPr>
              <w:spacing w:after="20"/>
            </w:pPr>
            <w:r>
              <w:rPr>
                <w:rFonts w:ascii="Calibri" w:hAnsi="Calibri"/>
                <w:color w:val="1E293B"/>
                <w:sz w:val="20"/>
              </w:rPr>
              <w:t xml:space="preserve">    1.3 Observabilidad Integral: Log Analytics y Application Insights</w:t>
            </w:r>
          </w:p>
        </w:tc>
        <w:tc>
          <w:tcPr>
            <w:tcW w:type="dxa" w:w="1008"/>
            <w:tcMar>
              <w:top w:w="30" w:type="dxa"/>
              <w:bottom w:w="30" w:type="dxa"/>
              <w:left w:w="60" w:type="dxa"/>
              <w:right w:w="60" w:type="dxa"/>
            </w:tcMar>
          </w:tcPr>
          <w:p>
            <w:pPr>
              <w:spacing w:after="20"/>
              <w:jc w:val="right"/>
            </w:pPr>
            <w:r>
              <w:rPr>
                <w:rFonts w:ascii="Calibri" w:hAnsi="Calibri"/>
                <w:color w:val="64748B"/>
                <w:sz w:val="20"/>
              </w:rPr>
              <w:t>4</w:t>
            </w:r>
          </w:p>
        </w:tc>
      </w:tr>
      <w:tr>
        <w:tc>
          <w:tcPr>
            <w:tcW w:type="dxa" w:w="8352"/>
            <w:tcMar>
              <w:top w:w="30" w:type="dxa"/>
              <w:bottom w:w="30" w:type="dxa"/>
              <w:left w:w="60" w:type="dxa"/>
              <w:right w:w="60" w:type="dxa"/>
            </w:tcMar>
          </w:tcPr>
          <w:p>
            <w:pPr>
              <w:spacing w:after="20"/>
            </w:pPr>
            <w:r>
              <w:rPr>
                <w:rFonts w:ascii="Calibri" w:hAnsi="Calibri"/>
                <w:color w:val="1E293B"/>
                <w:sz w:val="20"/>
              </w:rPr>
              <w:t xml:space="preserve">    1.4 Gobernanza de Recursos y Convenciones Cloud Adoption Framework</w:t>
            </w:r>
          </w:p>
        </w:tc>
        <w:tc>
          <w:tcPr>
            <w:tcW w:type="dxa" w:w="1008"/>
            <w:tcMar>
              <w:top w:w="30" w:type="dxa"/>
              <w:bottom w:w="30" w:type="dxa"/>
              <w:left w:w="60" w:type="dxa"/>
              <w:right w:w="60" w:type="dxa"/>
            </w:tcMar>
          </w:tcPr>
          <w:p>
            <w:pPr>
              <w:spacing w:after="20"/>
              <w:jc w:val="right"/>
            </w:pPr>
            <w:r>
              <w:rPr>
                <w:rFonts w:ascii="Calibri" w:hAnsi="Calibri"/>
                <w:color w:val="64748B"/>
                <w:sz w:val="20"/>
              </w:rPr>
              <w:t>4</w:t>
            </w:r>
          </w:p>
        </w:tc>
      </w:tr>
      <w:tr>
        <w:tc>
          <w:tcPr>
            <w:tcW w:type="dxa" w:w="8352"/>
            <w:tcMar>
              <w:top w:w="30" w:type="dxa"/>
              <w:bottom w:w="30" w:type="dxa"/>
              <w:left w:w="60" w:type="dxa"/>
              <w:right w:w="60" w:type="dxa"/>
            </w:tcMar>
          </w:tcPr>
          <w:p>
            <w:pPr>
              <w:spacing w:after="20"/>
            </w:pPr>
            <w:r>
              <w:rPr>
                <w:rFonts w:ascii="Calibri" w:hAnsi="Calibri"/>
                <w:b/>
                <w:color w:val="0078D4"/>
                <w:sz w:val="20"/>
              </w:rPr>
              <w:t>2. OBJETIVOS DE LA PRÁCTICA</w:t>
            </w:r>
          </w:p>
        </w:tc>
        <w:tc>
          <w:tcPr>
            <w:tcW w:type="dxa" w:w="1008"/>
            <w:tcMar>
              <w:top w:w="30" w:type="dxa"/>
              <w:bottom w:w="30" w:type="dxa"/>
              <w:left w:w="60" w:type="dxa"/>
              <w:right w:w="60" w:type="dxa"/>
            </w:tcMar>
          </w:tcPr>
          <w:p>
            <w:pPr>
              <w:spacing w:after="20"/>
              <w:jc w:val="right"/>
            </w:pPr>
            <w:r>
              <w:rPr>
                <w:rFonts w:ascii="Calibri" w:hAnsi="Calibri"/>
                <w:color w:val="64748B"/>
                <w:sz w:val="20"/>
              </w:rPr>
              <w:t>5</w:t>
            </w:r>
          </w:p>
        </w:tc>
      </w:tr>
      <w:tr>
        <w:tc>
          <w:tcPr>
            <w:tcW w:type="dxa" w:w="8352"/>
            <w:tcMar>
              <w:top w:w="30" w:type="dxa"/>
              <w:bottom w:w="30" w:type="dxa"/>
              <w:left w:w="60" w:type="dxa"/>
              <w:right w:w="60" w:type="dxa"/>
            </w:tcMar>
          </w:tcPr>
          <w:p>
            <w:pPr>
              <w:spacing w:after="20"/>
            </w:pPr>
            <w:r>
              <w:rPr>
                <w:rFonts w:ascii="Calibri" w:hAnsi="Calibri"/>
                <w:color w:val="1E293B"/>
                <w:sz w:val="20"/>
              </w:rPr>
              <w:t xml:space="preserve">    2.1 Objetivo General</w:t>
            </w:r>
          </w:p>
        </w:tc>
        <w:tc>
          <w:tcPr>
            <w:tcW w:type="dxa" w:w="1008"/>
            <w:tcMar>
              <w:top w:w="30" w:type="dxa"/>
              <w:bottom w:w="30" w:type="dxa"/>
              <w:left w:w="60" w:type="dxa"/>
              <w:right w:w="60" w:type="dxa"/>
            </w:tcMar>
          </w:tcPr>
          <w:p>
            <w:pPr>
              <w:spacing w:after="20"/>
              <w:jc w:val="right"/>
            </w:pPr>
            <w:r>
              <w:rPr>
                <w:rFonts w:ascii="Calibri" w:hAnsi="Calibri"/>
                <w:color w:val="64748B"/>
                <w:sz w:val="20"/>
              </w:rPr>
              <w:t>5</w:t>
            </w:r>
          </w:p>
        </w:tc>
      </w:tr>
      <w:tr>
        <w:tc>
          <w:tcPr>
            <w:tcW w:type="dxa" w:w="8352"/>
            <w:tcMar>
              <w:top w:w="30" w:type="dxa"/>
              <w:bottom w:w="30" w:type="dxa"/>
              <w:left w:w="60" w:type="dxa"/>
              <w:right w:w="60" w:type="dxa"/>
            </w:tcMar>
          </w:tcPr>
          <w:p>
            <w:pPr>
              <w:spacing w:after="20"/>
            </w:pPr>
            <w:r>
              <w:rPr>
                <w:rFonts w:ascii="Calibri" w:hAnsi="Calibri"/>
                <w:color w:val="1E293B"/>
                <w:sz w:val="20"/>
              </w:rPr>
              <w:t xml:space="preserve">    2.2 Objetivos Específicos</w:t>
            </w:r>
          </w:p>
        </w:tc>
        <w:tc>
          <w:tcPr>
            <w:tcW w:type="dxa" w:w="1008"/>
            <w:tcMar>
              <w:top w:w="30" w:type="dxa"/>
              <w:bottom w:w="30" w:type="dxa"/>
              <w:left w:w="60" w:type="dxa"/>
              <w:right w:w="60" w:type="dxa"/>
            </w:tcMar>
          </w:tcPr>
          <w:p>
            <w:pPr>
              <w:spacing w:after="20"/>
              <w:jc w:val="right"/>
            </w:pPr>
            <w:r>
              <w:rPr>
                <w:rFonts w:ascii="Calibri" w:hAnsi="Calibri"/>
                <w:color w:val="64748B"/>
                <w:sz w:val="20"/>
              </w:rPr>
              <w:t>5</w:t>
            </w:r>
          </w:p>
        </w:tc>
      </w:tr>
      <w:tr>
        <w:tc>
          <w:tcPr>
            <w:tcW w:type="dxa" w:w="8352"/>
            <w:tcMar>
              <w:top w:w="30" w:type="dxa"/>
              <w:bottom w:w="30" w:type="dxa"/>
              <w:left w:w="60" w:type="dxa"/>
              <w:right w:w="60" w:type="dxa"/>
            </w:tcMar>
          </w:tcPr>
          <w:p>
            <w:pPr>
              <w:spacing w:after="20"/>
            </w:pPr>
            <w:r>
              <w:rPr>
                <w:rFonts w:ascii="Calibri" w:hAnsi="Calibri"/>
                <w:b/>
                <w:color w:val="0078D4"/>
                <w:sz w:val="20"/>
              </w:rPr>
              <w:t>3. REQUERIMIENTOS Y ENTORNO DE TRABAJO</w:t>
            </w:r>
          </w:p>
        </w:tc>
        <w:tc>
          <w:tcPr>
            <w:tcW w:type="dxa" w:w="1008"/>
            <w:tcMar>
              <w:top w:w="30" w:type="dxa"/>
              <w:bottom w:w="30" w:type="dxa"/>
              <w:left w:w="60" w:type="dxa"/>
              <w:right w:w="60" w:type="dxa"/>
            </w:tcMar>
          </w:tcPr>
          <w:p>
            <w:pPr>
              <w:spacing w:after="20"/>
              <w:jc w:val="right"/>
            </w:pPr>
            <w:r>
              <w:rPr>
                <w:rFonts w:ascii="Calibri" w:hAnsi="Calibri"/>
                <w:color w:val="64748B"/>
                <w:sz w:val="20"/>
              </w:rPr>
              <w:t>6</w:t>
            </w:r>
          </w:p>
        </w:tc>
      </w:tr>
      <w:tr>
        <w:tc>
          <w:tcPr>
            <w:tcW w:type="dxa" w:w="8352"/>
            <w:tcMar>
              <w:top w:w="30" w:type="dxa"/>
              <w:bottom w:w="30" w:type="dxa"/>
              <w:left w:w="60" w:type="dxa"/>
              <w:right w:w="60" w:type="dxa"/>
            </w:tcMar>
          </w:tcPr>
          <w:p>
            <w:pPr>
              <w:spacing w:after="20"/>
            </w:pPr>
            <w:r>
              <w:rPr>
                <w:rFonts w:ascii="Calibri" w:hAnsi="Calibri"/>
                <w:b/>
                <w:color w:val="0078D4"/>
                <w:sz w:val="20"/>
              </w:rPr>
              <w:t>4. MATRIZ DE COMPONENTES Y ARQUITECTURA DE LA SOLUCIÓN</w:t>
            </w:r>
          </w:p>
        </w:tc>
        <w:tc>
          <w:tcPr>
            <w:tcW w:type="dxa" w:w="1008"/>
            <w:tcMar>
              <w:top w:w="30" w:type="dxa"/>
              <w:bottom w:w="30" w:type="dxa"/>
              <w:left w:w="60" w:type="dxa"/>
              <w:right w:w="60" w:type="dxa"/>
            </w:tcMar>
          </w:tcPr>
          <w:p>
            <w:pPr>
              <w:spacing w:after="20"/>
              <w:jc w:val="right"/>
            </w:pPr>
            <w:r>
              <w:rPr>
                <w:rFonts w:ascii="Calibri" w:hAnsi="Calibri"/>
                <w:color w:val="64748B"/>
                <w:sz w:val="20"/>
              </w:rPr>
              <w:t>7</w:t>
            </w:r>
          </w:p>
        </w:tc>
      </w:tr>
      <w:tr>
        <w:tc>
          <w:tcPr>
            <w:tcW w:type="dxa" w:w="8352"/>
            <w:tcMar>
              <w:top w:w="30" w:type="dxa"/>
              <w:bottom w:w="30" w:type="dxa"/>
              <w:left w:w="60" w:type="dxa"/>
              <w:right w:w="60" w:type="dxa"/>
            </w:tcMar>
          </w:tcPr>
          <w:p>
            <w:pPr>
              <w:spacing w:after="20"/>
            </w:pPr>
            <w:r>
              <w:rPr>
                <w:rFonts w:ascii="Calibri" w:hAnsi="Calibri"/>
                <w:color w:val="1E293B"/>
                <w:sz w:val="20"/>
              </w:rPr>
              <w:t xml:space="preserve">    4.1 Matriz de Recursos Multientorno (dev, qa, prod)</w:t>
            </w:r>
          </w:p>
        </w:tc>
        <w:tc>
          <w:tcPr>
            <w:tcW w:type="dxa" w:w="1008"/>
            <w:tcMar>
              <w:top w:w="30" w:type="dxa"/>
              <w:bottom w:w="30" w:type="dxa"/>
              <w:left w:w="60" w:type="dxa"/>
              <w:right w:w="60" w:type="dxa"/>
            </w:tcMar>
          </w:tcPr>
          <w:p>
            <w:pPr>
              <w:spacing w:after="20"/>
              <w:jc w:val="right"/>
            </w:pPr>
            <w:r>
              <w:rPr>
                <w:rFonts w:ascii="Calibri" w:hAnsi="Calibri"/>
                <w:color w:val="64748B"/>
                <w:sz w:val="20"/>
              </w:rPr>
              <w:t>7</w:t>
            </w:r>
          </w:p>
        </w:tc>
      </w:tr>
      <w:tr>
        <w:tc>
          <w:tcPr>
            <w:tcW w:type="dxa" w:w="8352"/>
            <w:tcMar>
              <w:top w:w="30" w:type="dxa"/>
              <w:bottom w:w="30" w:type="dxa"/>
              <w:left w:w="60" w:type="dxa"/>
              <w:right w:w="60" w:type="dxa"/>
            </w:tcMar>
          </w:tcPr>
          <w:p>
            <w:pPr>
              <w:spacing w:after="20"/>
            </w:pPr>
            <w:r>
              <w:rPr>
                <w:rFonts w:ascii="Calibri" w:hAnsi="Calibri"/>
                <w:color w:val="1E293B"/>
                <w:sz w:val="20"/>
              </w:rPr>
              <w:t xml:space="preserve">    4.2 Diagrama de Flujo Arquitectónico</w:t>
            </w:r>
          </w:p>
        </w:tc>
        <w:tc>
          <w:tcPr>
            <w:tcW w:type="dxa" w:w="1008"/>
            <w:tcMar>
              <w:top w:w="30" w:type="dxa"/>
              <w:bottom w:w="30" w:type="dxa"/>
              <w:left w:w="60" w:type="dxa"/>
              <w:right w:w="60" w:type="dxa"/>
            </w:tcMar>
          </w:tcPr>
          <w:p>
            <w:pPr>
              <w:spacing w:after="20"/>
              <w:jc w:val="right"/>
            </w:pPr>
            <w:r>
              <w:rPr>
                <w:rFonts w:ascii="Calibri" w:hAnsi="Calibri"/>
                <w:color w:val="64748B"/>
                <w:sz w:val="20"/>
              </w:rPr>
              <w:t>8</w:t>
            </w:r>
          </w:p>
        </w:tc>
      </w:tr>
      <w:tr>
        <w:tc>
          <w:tcPr>
            <w:tcW w:type="dxa" w:w="8352"/>
            <w:tcMar>
              <w:top w:w="30" w:type="dxa"/>
              <w:bottom w:w="30" w:type="dxa"/>
              <w:left w:w="60" w:type="dxa"/>
              <w:right w:w="60" w:type="dxa"/>
            </w:tcMar>
          </w:tcPr>
          <w:p>
            <w:pPr>
              <w:spacing w:after="20"/>
            </w:pPr>
            <w:r>
              <w:rPr>
                <w:rFonts w:ascii="Calibri" w:hAnsi="Calibri"/>
                <w:b/>
                <w:color w:val="0078D4"/>
                <w:sz w:val="20"/>
              </w:rPr>
              <w:t>5. PROCEDIMIENTO DETALLADO Y EVIDENCIAS PASO A PASO</w:t>
            </w:r>
          </w:p>
        </w:tc>
        <w:tc>
          <w:tcPr>
            <w:tcW w:type="dxa" w:w="1008"/>
            <w:tcMar>
              <w:top w:w="30" w:type="dxa"/>
              <w:bottom w:w="30" w:type="dxa"/>
              <w:left w:w="60" w:type="dxa"/>
              <w:right w:w="60" w:type="dxa"/>
            </w:tcMar>
          </w:tcPr>
          <w:p>
            <w:pPr>
              <w:spacing w:after="20"/>
              <w:jc w:val="right"/>
            </w:pPr>
            <w:r>
              <w:rPr>
                <w:rFonts w:ascii="Calibri" w:hAnsi="Calibri"/>
                <w:color w:val="64748B"/>
                <w:sz w:val="20"/>
              </w:rPr>
              <w:t>9</w:t>
            </w:r>
          </w:p>
        </w:tc>
      </w:tr>
      <w:tr>
        <w:tc>
          <w:tcPr>
            <w:tcW w:type="dxa" w:w="8352"/>
            <w:tcMar>
              <w:top w:w="30" w:type="dxa"/>
              <w:bottom w:w="30" w:type="dxa"/>
              <w:left w:w="60" w:type="dxa"/>
              <w:right w:w="60" w:type="dxa"/>
            </w:tcMar>
          </w:tcPr>
          <w:p>
            <w:pPr>
              <w:spacing w:after="20"/>
            </w:pPr>
            <w:r>
              <w:rPr>
                <w:rFonts w:ascii="Calibri" w:hAnsi="Calibri"/>
                <w:color w:val="1E293B"/>
                <w:sz w:val="20"/>
              </w:rPr>
              <w:t xml:space="preserve">    5.1 Paso 1: Análisis de la Matriz de Recursos (Componentes a crear.xlsx)</w:t>
            </w:r>
          </w:p>
        </w:tc>
        <w:tc>
          <w:tcPr>
            <w:tcW w:type="dxa" w:w="1008"/>
            <w:tcMar>
              <w:top w:w="30" w:type="dxa"/>
              <w:bottom w:w="30" w:type="dxa"/>
              <w:left w:w="60" w:type="dxa"/>
              <w:right w:w="60" w:type="dxa"/>
            </w:tcMar>
          </w:tcPr>
          <w:p>
            <w:pPr>
              <w:spacing w:after="20"/>
              <w:jc w:val="right"/>
            </w:pPr>
            <w:r>
              <w:rPr>
                <w:rFonts w:ascii="Calibri" w:hAnsi="Calibri"/>
                <w:color w:val="64748B"/>
                <w:sz w:val="20"/>
              </w:rPr>
              <w:t>9</w:t>
            </w:r>
          </w:p>
        </w:tc>
      </w:tr>
      <w:tr>
        <w:tc>
          <w:tcPr>
            <w:tcW w:type="dxa" w:w="8352"/>
            <w:tcMar>
              <w:top w:w="30" w:type="dxa"/>
              <w:bottom w:w="30" w:type="dxa"/>
              <w:left w:w="60" w:type="dxa"/>
              <w:right w:w="60" w:type="dxa"/>
            </w:tcMar>
          </w:tcPr>
          <w:p>
            <w:pPr>
              <w:spacing w:after="20"/>
            </w:pPr>
            <w:r>
              <w:rPr>
                <w:rFonts w:ascii="Calibri" w:hAnsi="Calibri"/>
                <w:color w:val="1E293B"/>
                <w:sz w:val="20"/>
              </w:rPr>
              <w:t xml:space="preserve">    5.2 Paso 2: Creación del Grupo de Recursos (rg-utvt-integradora-dev-mxc-001)</w:t>
            </w:r>
          </w:p>
        </w:tc>
        <w:tc>
          <w:tcPr>
            <w:tcW w:type="dxa" w:w="1008"/>
            <w:tcMar>
              <w:top w:w="30" w:type="dxa"/>
              <w:bottom w:w="30" w:type="dxa"/>
              <w:left w:w="60" w:type="dxa"/>
              <w:right w:w="60" w:type="dxa"/>
            </w:tcMar>
          </w:tcPr>
          <w:p>
            <w:pPr>
              <w:spacing w:after="20"/>
              <w:jc w:val="right"/>
            </w:pPr>
            <w:r>
              <w:rPr>
                <w:rFonts w:ascii="Calibri" w:hAnsi="Calibri"/>
                <w:color w:val="64748B"/>
                <w:sz w:val="20"/>
              </w:rPr>
              <w:t>10</w:t>
            </w:r>
          </w:p>
        </w:tc>
      </w:tr>
      <w:tr>
        <w:tc>
          <w:tcPr>
            <w:tcW w:type="dxa" w:w="8352"/>
            <w:tcMar>
              <w:top w:w="30" w:type="dxa"/>
              <w:bottom w:w="30" w:type="dxa"/>
              <w:left w:w="60" w:type="dxa"/>
              <w:right w:w="60" w:type="dxa"/>
            </w:tcMar>
          </w:tcPr>
          <w:p>
            <w:pPr>
              <w:spacing w:after="20"/>
            </w:pPr>
            <w:r>
              <w:rPr>
                <w:rFonts w:ascii="Calibri" w:hAnsi="Calibri"/>
                <w:color w:val="1E293B"/>
                <w:sz w:val="20"/>
              </w:rPr>
              <w:t xml:space="preserve">    5.3 Paso 3: Aprovisionamiento de Log Analytics Workspace</w:t>
            </w:r>
          </w:p>
        </w:tc>
        <w:tc>
          <w:tcPr>
            <w:tcW w:type="dxa" w:w="1008"/>
            <w:tcMar>
              <w:top w:w="30" w:type="dxa"/>
              <w:bottom w:w="30" w:type="dxa"/>
              <w:left w:w="60" w:type="dxa"/>
              <w:right w:w="60" w:type="dxa"/>
            </w:tcMar>
          </w:tcPr>
          <w:p>
            <w:pPr>
              <w:spacing w:after="20"/>
              <w:jc w:val="right"/>
            </w:pPr>
            <w:r>
              <w:rPr>
                <w:rFonts w:ascii="Calibri" w:hAnsi="Calibri"/>
                <w:color w:val="64748B"/>
                <w:sz w:val="20"/>
              </w:rPr>
              <w:t>11</w:t>
            </w:r>
          </w:p>
        </w:tc>
      </w:tr>
      <w:tr>
        <w:tc>
          <w:tcPr>
            <w:tcW w:type="dxa" w:w="8352"/>
            <w:tcMar>
              <w:top w:w="30" w:type="dxa"/>
              <w:bottom w:w="30" w:type="dxa"/>
              <w:left w:w="60" w:type="dxa"/>
              <w:right w:w="60" w:type="dxa"/>
            </w:tcMar>
          </w:tcPr>
          <w:p>
            <w:pPr>
              <w:spacing w:after="20"/>
            </w:pPr>
            <w:r>
              <w:rPr>
                <w:rFonts w:ascii="Calibri" w:hAnsi="Calibri"/>
                <w:color w:val="1E293B"/>
                <w:sz w:val="20"/>
              </w:rPr>
              <w:t xml:space="preserve">    5.4 Paso 4: Despliegue de Application Insights en modo Workspace-based</w:t>
            </w:r>
          </w:p>
        </w:tc>
        <w:tc>
          <w:tcPr>
            <w:tcW w:type="dxa" w:w="1008"/>
            <w:tcMar>
              <w:top w:w="30" w:type="dxa"/>
              <w:bottom w:w="30" w:type="dxa"/>
              <w:left w:w="60" w:type="dxa"/>
              <w:right w:w="60" w:type="dxa"/>
            </w:tcMar>
          </w:tcPr>
          <w:p>
            <w:pPr>
              <w:spacing w:after="20"/>
              <w:jc w:val="right"/>
            </w:pPr>
            <w:r>
              <w:rPr>
                <w:rFonts w:ascii="Calibri" w:hAnsi="Calibri"/>
                <w:color w:val="64748B"/>
                <w:sz w:val="20"/>
              </w:rPr>
              <w:t>12</w:t>
            </w:r>
          </w:p>
        </w:tc>
      </w:tr>
      <w:tr>
        <w:tc>
          <w:tcPr>
            <w:tcW w:type="dxa" w:w="8352"/>
            <w:tcMar>
              <w:top w:w="30" w:type="dxa"/>
              <w:bottom w:w="30" w:type="dxa"/>
              <w:left w:w="60" w:type="dxa"/>
              <w:right w:w="60" w:type="dxa"/>
            </w:tcMar>
          </w:tcPr>
          <w:p>
            <w:pPr>
              <w:spacing w:after="20"/>
            </w:pPr>
            <w:r>
              <w:rPr>
                <w:rFonts w:ascii="Calibri" w:hAnsi="Calibri"/>
                <w:color w:val="1E293B"/>
                <w:sz w:val="20"/>
              </w:rPr>
              <w:t xml:space="preserve">    5.5 Paso 5: Creación del App Service Plan en nivel Free F1</w:t>
            </w:r>
          </w:p>
        </w:tc>
        <w:tc>
          <w:tcPr>
            <w:tcW w:type="dxa" w:w="1008"/>
            <w:tcMar>
              <w:top w:w="30" w:type="dxa"/>
              <w:bottom w:w="30" w:type="dxa"/>
              <w:left w:w="60" w:type="dxa"/>
              <w:right w:w="60" w:type="dxa"/>
            </w:tcMar>
          </w:tcPr>
          <w:p>
            <w:pPr>
              <w:spacing w:after="20"/>
              <w:jc w:val="right"/>
            </w:pPr>
            <w:r>
              <w:rPr>
                <w:rFonts w:ascii="Calibri" w:hAnsi="Calibri"/>
                <w:color w:val="64748B"/>
                <w:sz w:val="20"/>
              </w:rPr>
              <w:t>13</w:t>
            </w:r>
          </w:p>
        </w:tc>
      </w:tr>
      <w:tr>
        <w:tc>
          <w:tcPr>
            <w:tcW w:type="dxa" w:w="8352"/>
            <w:tcMar>
              <w:top w:w="30" w:type="dxa"/>
              <w:bottom w:w="30" w:type="dxa"/>
              <w:left w:w="60" w:type="dxa"/>
              <w:right w:w="60" w:type="dxa"/>
            </w:tcMar>
          </w:tcPr>
          <w:p>
            <w:pPr>
              <w:spacing w:after="20"/>
            </w:pPr>
            <w:r>
              <w:rPr>
                <w:rFonts w:ascii="Calibri" w:hAnsi="Calibri"/>
                <w:color w:val="1E293B"/>
                <w:sz w:val="20"/>
              </w:rPr>
              <w:t xml:space="preserve">    5.6 Paso 6: Aprovisionamiento de la Web App en Node.js</w:t>
            </w:r>
          </w:p>
        </w:tc>
        <w:tc>
          <w:tcPr>
            <w:tcW w:type="dxa" w:w="1008"/>
            <w:tcMar>
              <w:top w:w="30" w:type="dxa"/>
              <w:bottom w:w="30" w:type="dxa"/>
              <w:left w:w="60" w:type="dxa"/>
              <w:right w:w="60" w:type="dxa"/>
            </w:tcMar>
          </w:tcPr>
          <w:p>
            <w:pPr>
              <w:spacing w:after="20"/>
              <w:jc w:val="right"/>
            </w:pPr>
            <w:r>
              <w:rPr>
                <w:rFonts w:ascii="Calibri" w:hAnsi="Calibri"/>
                <w:color w:val="64748B"/>
                <w:sz w:val="20"/>
              </w:rPr>
              <w:t>14</w:t>
            </w:r>
          </w:p>
        </w:tc>
      </w:tr>
      <w:tr>
        <w:tc>
          <w:tcPr>
            <w:tcW w:type="dxa" w:w="8352"/>
            <w:tcMar>
              <w:top w:w="30" w:type="dxa"/>
              <w:bottom w:w="30" w:type="dxa"/>
              <w:left w:w="60" w:type="dxa"/>
              <w:right w:w="60" w:type="dxa"/>
            </w:tcMar>
          </w:tcPr>
          <w:p>
            <w:pPr>
              <w:spacing w:after="20"/>
            </w:pPr>
            <w:r>
              <w:rPr>
                <w:rFonts w:ascii="Calibri" w:hAnsi="Calibri"/>
                <w:color w:val="1E293B"/>
                <w:sz w:val="20"/>
              </w:rPr>
              <w:t xml:space="preserve">    5.7 Paso 7: Vinculación e Integración de Application Insights con Web App</w:t>
            </w:r>
          </w:p>
        </w:tc>
        <w:tc>
          <w:tcPr>
            <w:tcW w:type="dxa" w:w="1008"/>
            <w:tcMar>
              <w:top w:w="30" w:type="dxa"/>
              <w:bottom w:w="30" w:type="dxa"/>
              <w:left w:w="60" w:type="dxa"/>
              <w:right w:w="60" w:type="dxa"/>
            </w:tcMar>
          </w:tcPr>
          <w:p>
            <w:pPr>
              <w:spacing w:after="20"/>
              <w:jc w:val="right"/>
            </w:pPr>
            <w:r>
              <w:rPr>
                <w:rFonts w:ascii="Calibri" w:hAnsi="Calibri"/>
                <w:color w:val="64748B"/>
                <w:sz w:val="20"/>
              </w:rPr>
              <w:t>15</w:t>
            </w:r>
          </w:p>
        </w:tc>
      </w:tr>
      <w:tr>
        <w:tc>
          <w:tcPr>
            <w:tcW w:type="dxa" w:w="8352"/>
            <w:tcMar>
              <w:top w:w="30" w:type="dxa"/>
              <w:bottom w:w="30" w:type="dxa"/>
              <w:left w:w="60" w:type="dxa"/>
              <w:right w:w="60" w:type="dxa"/>
            </w:tcMar>
          </w:tcPr>
          <w:p>
            <w:pPr>
              <w:spacing w:after="20"/>
            </w:pPr>
            <w:r>
              <w:rPr>
                <w:rFonts w:ascii="Calibri" w:hAnsi="Calibri"/>
                <w:color w:val="1E293B"/>
                <w:sz w:val="20"/>
              </w:rPr>
              <w:t xml:space="preserve">    5.8 Paso 8: Automatización Complementaria con Azure CLI e Infraestructura como Código</w:t>
            </w:r>
          </w:p>
        </w:tc>
        <w:tc>
          <w:tcPr>
            <w:tcW w:type="dxa" w:w="1008"/>
            <w:tcMar>
              <w:top w:w="30" w:type="dxa"/>
              <w:bottom w:w="30" w:type="dxa"/>
              <w:left w:w="60" w:type="dxa"/>
              <w:right w:w="60" w:type="dxa"/>
            </w:tcMar>
          </w:tcPr>
          <w:p>
            <w:pPr>
              <w:spacing w:after="20"/>
              <w:jc w:val="right"/>
            </w:pPr>
            <w:r>
              <w:rPr>
                <w:rFonts w:ascii="Calibri" w:hAnsi="Calibri"/>
                <w:color w:val="64748B"/>
                <w:sz w:val="20"/>
              </w:rPr>
              <w:t>16</w:t>
            </w:r>
          </w:p>
        </w:tc>
      </w:tr>
      <w:tr>
        <w:tc>
          <w:tcPr>
            <w:tcW w:type="dxa" w:w="8352"/>
            <w:tcMar>
              <w:top w:w="30" w:type="dxa"/>
              <w:bottom w:w="30" w:type="dxa"/>
              <w:left w:w="60" w:type="dxa"/>
              <w:right w:w="60" w:type="dxa"/>
            </w:tcMar>
          </w:tcPr>
          <w:p>
            <w:pPr>
              <w:spacing w:after="20"/>
            </w:pPr>
            <w:r>
              <w:rPr>
                <w:rFonts w:ascii="Calibri" w:hAnsi="Calibri"/>
                <w:b/>
                <w:color w:val="0078D4"/>
                <w:sz w:val="20"/>
              </w:rPr>
              <w:t>6. RESULTADOS OBTENIDOS Y ANÁLISIS COMPARATIVO</w:t>
            </w:r>
          </w:p>
        </w:tc>
        <w:tc>
          <w:tcPr>
            <w:tcW w:type="dxa" w:w="1008"/>
            <w:tcMar>
              <w:top w:w="30" w:type="dxa"/>
              <w:bottom w:w="30" w:type="dxa"/>
              <w:left w:w="60" w:type="dxa"/>
              <w:right w:w="60" w:type="dxa"/>
            </w:tcMar>
          </w:tcPr>
          <w:p>
            <w:pPr>
              <w:spacing w:after="20"/>
              <w:jc w:val="right"/>
            </w:pPr>
            <w:r>
              <w:rPr>
                <w:rFonts w:ascii="Calibri" w:hAnsi="Calibri"/>
                <w:color w:val="64748B"/>
                <w:sz w:val="20"/>
              </w:rPr>
              <w:t>17</w:t>
            </w:r>
          </w:p>
        </w:tc>
      </w:tr>
      <w:tr>
        <w:tc>
          <w:tcPr>
            <w:tcW w:type="dxa" w:w="8352"/>
            <w:tcMar>
              <w:top w:w="30" w:type="dxa"/>
              <w:bottom w:w="30" w:type="dxa"/>
              <w:left w:w="60" w:type="dxa"/>
              <w:right w:w="60" w:type="dxa"/>
            </w:tcMar>
          </w:tcPr>
          <w:p>
            <w:pPr>
              <w:spacing w:after="20"/>
            </w:pPr>
            <w:r>
              <w:rPr>
                <w:rFonts w:ascii="Calibri" w:hAnsi="Calibri"/>
                <w:b/>
                <w:color w:val="0078D4"/>
                <w:sz w:val="20"/>
              </w:rPr>
              <w:t>7. CONCLUSIONES INDIVIDUALES</w:t>
            </w:r>
          </w:p>
        </w:tc>
        <w:tc>
          <w:tcPr>
            <w:tcW w:type="dxa" w:w="1008"/>
            <w:tcMar>
              <w:top w:w="30" w:type="dxa"/>
              <w:bottom w:w="30" w:type="dxa"/>
              <w:left w:w="60" w:type="dxa"/>
              <w:right w:w="60" w:type="dxa"/>
            </w:tcMar>
          </w:tcPr>
          <w:p>
            <w:pPr>
              <w:spacing w:after="20"/>
              <w:jc w:val="right"/>
            </w:pPr>
            <w:r>
              <w:rPr>
                <w:rFonts w:ascii="Calibri" w:hAnsi="Calibri"/>
                <w:color w:val="64748B"/>
                <w:sz w:val="20"/>
              </w:rPr>
              <w:t>18</w:t>
            </w:r>
          </w:p>
        </w:tc>
      </w:tr>
      <w:tr>
        <w:tc>
          <w:tcPr>
            <w:tcW w:type="dxa" w:w="8352"/>
            <w:tcMar>
              <w:top w:w="30" w:type="dxa"/>
              <w:bottom w:w="30" w:type="dxa"/>
              <w:left w:w="60" w:type="dxa"/>
              <w:right w:w="60" w:type="dxa"/>
            </w:tcMar>
          </w:tcPr>
          <w:p>
            <w:pPr>
              <w:spacing w:after="20"/>
            </w:pPr>
            <w:r>
              <w:rPr>
                <w:rFonts w:ascii="Calibri" w:hAnsi="Calibri"/>
                <w:b/>
                <w:color w:val="0078D4"/>
                <w:sz w:val="20"/>
              </w:rPr>
              <w:t>8. REFERENCIAS BIBLIOGRÁFICAS (APA 7)</w:t>
            </w:r>
          </w:p>
        </w:tc>
        <w:tc>
          <w:tcPr>
            <w:tcW w:type="dxa" w:w="1008"/>
            <w:tcMar>
              <w:top w:w="30" w:type="dxa"/>
              <w:bottom w:w="30" w:type="dxa"/>
              <w:left w:w="60" w:type="dxa"/>
              <w:right w:w="60" w:type="dxa"/>
            </w:tcMar>
          </w:tcPr>
          <w:p>
            <w:pPr>
              <w:spacing w:after="20"/>
              <w:jc w:val="right"/>
            </w:pPr>
            <w:r>
              <w:rPr>
                <w:rFonts w:ascii="Calibri" w:hAnsi="Calibri"/>
                <w:color w:val="64748B"/>
                <w:sz w:val="20"/>
              </w:rPr>
              <w:t>19</w:t>
            </w:r>
          </w:p>
        </w:tc>
      </w:tr>
    </w:tbl>
    <w:p>
      <w:r>
        <w:br w:type="page"/>
      </w:r>
    </w:p>
    <w:p>
      <w:pPr>
        <w:keepNext/>
        <w:spacing w:before="360" w:after="120"/>
      </w:pPr>
      <w:r>
        <w:rPr>
          <w:rFonts w:ascii="Calibri" w:hAnsi="Calibri"/>
          <w:b/>
          <w:color w:val="0078D4"/>
          <w:sz w:val="32"/>
        </w:rPr>
        <w:t>1. INTRODUCCIÓN TEÓRICA</w:t>
      </w:r>
    </w:p>
    <w:p>
      <w:pPr>
        <w:spacing w:before="0" w:after="120" w:line="276" w:lineRule="auto"/>
      </w:pPr>
      <w:r>
        <w:rPr>
          <w:rFonts w:ascii="Calibri" w:hAnsi="Calibri"/>
          <w:b/>
          <w:color w:val="1E293B"/>
          <w:sz w:val="22"/>
        </w:rPr>
        <w:t xml:space="preserve">Evolución hacia PaaS y Computación en la Nube: </w:t>
      </w:r>
      <w:r>
        <w:rPr>
          <w:rFonts w:ascii="Calibri" w:hAnsi="Calibri"/>
          <w:color w:val="1E293B"/>
          <w:sz w:val="22"/>
        </w:rPr>
        <w:t>La transformación digital y la evolución de las arquitecturas de software hacia la nube han transformado la manera en que se conciben, despliegan y operan los sistemas informáticos. En lugar de gestionar servidores físicos o máquinas virtuales tradicionales (Infraestructura como Servicio - IaaS), las organizaciones adoptan de manera predominante el modelo de Plataforma como Servicio (Platform as a Service - PaaS) para abstraer la complejidad operativa del sistema operativo, la gestión de parches de seguridad y el balanceo de carga, permitiendo a los ingenieros de software enfocarse primordialmente en la lógica del negocio y la entrega continua de valor.</w:t>
      </w:r>
    </w:p>
    <w:p>
      <w:pPr>
        <w:keepNext/>
        <w:spacing w:before="280" w:after="80"/>
      </w:pPr>
      <w:r>
        <w:rPr>
          <w:rFonts w:ascii="Calibri" w:hAnsi="Calibri"/>
          <w:b/>
          <w:color w:val="1E293B"/>
          <w:sz w:val="26"/>
        </w:rPr>
        <w:t>1.1 Cloud Computing y Plataforma como Servicio (PaaS)</w:t>
      </w:r>
    </w:p>
    <w:p>
      <w:pPr>
        <w:spacing w:before="0" w:after="120" w:line="276" w:lineRule="auto"/>
      </w:pPr>
      <w:r>
        <w:rPr>
          <w:rFonts w:ascii="Calibri" w:hAnsi="Calibri"/>
          <w:color w:val="1E293B"/>
          <w:sz w:val="22"/>
        </w:rPr>
        <w:t>Microsoft Azure es una de las plataformas de computación en la nube líderes a nivel global, ofreciendo más de doscientos servicios integrados. Dentro de su catálogo PaaS, Azure App Service destaca como una solución totalmente administrada para hospedar aplicaciones web, APIs REST y backends móviles. En el modelo de responsabilidad compartida de la nube, Microsoft asume el mantenimiento del hardware subyacente, la virtualización, la alta disponibilidad del sistema operativo y las actualizaciones del runtime de ejecución, mientras que el desarrollador gestiona el código de la aplicación y las configuraciones específicas del entorno.</w:t>
      </w:r>
    </w:p>
    <w:p>
      <w:pPr>
        <w:keepNext/>
        <w:spacing w:before="280" w:after="80"/>
      </w:pPr>
      <w:r>
        <w:rPr>
          <w:rFonts w:ascii="Calibri" w:hAnsi="Calibri"/>
          <w:b/>
          <w:color w:val="1E293B"/>
          <w:sz w:val="26"/>
        </w:rPr>
        <w:t>1.2 Arquitectura y Componentes de Azure App Service</w:t>
      </w:r>
    </w:p>
    <w:p>
      <w:pPr>
        <w:spacing w:before="0" w:after="120" w:line="276" w:lineRule="auto"/>
      </w:pPr>
      <w:r>
        <w:rPr>
          <w:rFonts w:ascii="Calibri" w:hAnsi="Calibri"/>
          <w:b/>
          <w:color w:val="1E293B"/>
          <w:sz w:val="22"/>
        </w:rPr>
        <w:t xml:space="preserve">Desacoplamiento Cómputo / Aplicación: </w:t>
      </w:r>
      <w:r>
        <w:rPr>
          <w:rFonts w:ascii="Calibri" w:hAnsi="Calibri"/>
          <w:color w:val="1E293B"/>
          <w:sz w:val="22"/>
        </w:rPr>
        <w:t>La arquitectura de Azure App Service se fundamenta en dos componentes complementarios e indisolubles:</w:t>
      </w:r>
    </w:p>
    <w:p>
      <w:pPr>
        <w:pStyle w:val="ListBullet"/>
        <w:spacing w:before="0" w:after="60" w:line="276" w:lineRule="auto"/>
      </w:pPr>
      <w:r>
        <w:rPr>
          <w:rFonts w:ascii="Calibri" w:hAnsi="Calibri"/>
          <w:b/>
          <w:color w:val="1E293B"/>
          <w:sz w:val="22"/>
        </w:rPr>
        <w:t xml:space="preserve">App Service Plan (Plan de Hospedaje): </w:t>
      </w:r>
      <w:r>
        <w:rPr>
          <w:rFonts w:ascii="Calibri" w:hAnsi="Calibri"/>
          <w:color w:val="1E293B"/>
          <w:sz w:val="22"/>
        </w:rPr>
        <w:t>Representa la granja de servidores virtuales administrados (Server Farm) y define el conjunto de recursos de cómputo dedicados (CPU, memoria RAM, almacenamiento en disco y capacidades de escalado vertical u horizontal) asignados a una región específica. Los planes van desde el nivel gratuito (Free F1 / Shared D1) para desarrollo y experimentación académica, hasta niveles Básico (Basic B1), Estándar (Standard S1) y Premium (Premium v3) para cargas de producción con balanceo automático y ranuras de implementación (Deployment Slots).</w:t>
      </w:r>
    </w:p>
    <w:p>
      <w:pPr>
        <w:pStyle w:val="ListBullet"/>
        <w:spacing w:before="0" w:after="60" w:line="276" w:lineRule="auto"/>
      </w:pPr>
      <w:r>
        <w:rPr>
          <w:rFonts w:ascii="Calibri" w:hAnsi="Calibri"/>
          <w:b/>
          <w:color w:val="1E293B"/>
          <w:sz w:val="22"/>
        </w:rPr>
        <w:t xml:space="preserve">Azure Web App (Aplicación Web): </w:t>
      </w:r>
      <w:r>
        <w:rPr>
          <w:rFonts w:ascii="Calibri" w:hAnsi="Calibri"/>
          <w:color w:val="1E293B"/>
          <w:sz w:val="22"/>
        </w:rPr>
        <w:t>Es la instancia de software que se ejecuta sobre los recursos aprovisionados por el App Service Plan. Puede albergar aplicaciones desarrolladas en diversos stacks tecnológicos (.NET, Java, Node.js, Python, PHP) ejecutándose sobre sistemas operativos Windows o Linux, proporcionando nombres de dominio totalmente calificados (*.azurewebsites.net), certificados SSL/TLS automáticos y aislamiento de procesos.</w:t>
      </w:r>
    </w:p>
    <w:p>
      <w:pPr>
        <w:keepNext/>
        <w:spacing w:before="280" w:after="80"/>
      </w:pPr>
      <w:r>
        <w:rPr>
          <w:rFonts w:ascii="Calibri" w:hAnsi="Calibri"/>
          <w:b/>
          <w:color w:val="1E293B"/>
          <w:sz w:val="26"/>
        </w:rPr>
        <w:t>1.3 Observabilidad Integral: Log Analytics y Application Insights</w:t>
      </w:r>
    </w:p>
    <w:p>
      <w:pPr>
        <w:spacing w:before="0" w:after="120" w:line="276" w:lineRule="auto"/>
      </w:pPr>
      <w:r>
        <w:rPr>
          <w:rFonts w:ascii="Calibri" w:hAnsi="Calibri"/>
          <w:b/>
          <w:color w:val="1E293B"/>
          <w:sz w:val="22"/>
        </w:rPr>
        <w:t xml:space="preserve">Monitoreo Centralizado y APM: </w:t>
      </w:r>
      <w:r>
        <w:rPr>
          <w:rFonts w:ascii="Calibri" w:hAnsi="Calibri"/>
          <w:color w:val="1E293B"/>
          <w:sz w:val="22"/>
        </w:rPr>
        <w:t>La evaluación y mejora continua del software exige visibilidad en tiempo real sobre el rendimiento, la disponibilidad y los fallos de las aplicaciones. Microsoft Azure estructura su ecosistema de observabilidad a través de Azure Monitor, articulado en dos pilares:</w:t>
      </w:r>
    </w:p>
    <w:p>
      <w:pPr>
        <w:pStyle w:val="ListBullet"/>
        <w:spacing w:before="0" w:after="60" w:line="276" w:lineRule="auto"/>
      </w:pPr>
      <w:r>
        <w:rPr>
          <w:rFonts w:ascii="Calibri" w:hAnsi="Calibri"/>
          <w:b/>
          <w:color w:val="1E293B"/>
          <w:sz w:val="22"/>
        </w:rPr>
        <w:t xml:space="preserve">Log Analytics Workspace: </w:t>
      </w:r>
      <w:r>
        <w:rPr>
          <w:rFonts w:ascii="Calibri" w:hAnsi="Calibri"/>
          <w:color w:val="1E293B"/>
          <w:sz w:val="22"/>
        </w:rPr>
        <w:t>Es un repositorio de almacenamiento centralizado y motor de indexación de telemetría de alto rendimiento en la nube. Permite consolidar registros de diagnóstico (logs), trazas de auditoría y métricas de rendimiento procedentes de múltiples recursos de Azure, facilitando su consulta avanzada mediante el lenguaje Kusto Query Language (KQL).</w:t>
      </w:r>
    </w:p>
    <w:p>
      <w:pPr>
        <w:pStyle w:val="ListBullet"/>
        <w:spacing w:before="0" w:after="60" w:line="276" w:lineRule="auto"/>
      </w:pPr>
      <w:r>
        <w:rPr>
          <w:rFonts w:ascii="Calibri" w:hAnsi="Calibri"/>
          <w:b/>
          <w:color w:val="1E293B"/>
          <w:sz w:val="22"/>
        </w:rPr>
        <w:t xml:space="preserve">Application Insights: </w:t>
      </w:r>
      <w:r>
        <w:rPr>
          <w:rFonts w:ascii="Calibri" w:hAnsi="Calibri"/>
          <w:color w:val="1E293B"/>
          <w:sz w:val="22"/>
        </w:rPr>
        <w:t>Es una solución de Gestión del Rendimiento de Aplicaciones (Application Performance Management - APM). Mediante instrumentación sin código (auto-instrumentation) o mediante bibliotecas SDK, recopila automáticamente tasas de solicitudes HTTP, tiempos de respuesta del servidor, excepciones no controladas, llamadas a dependencias externas (bases de datos, APIs de terceros) y telemetría de usuarios finales, vinculándose de forma nativa a un Log Analytics Workspace en el estándar moderno 'Workspace-based'.</w:t>
      </w:r>
    </w:p>
    <w:p>
      <w:pPr>
        <w:keepNext/>
        <w:spacing w:before="280" w:after="80"/>
      </w:pPr>
      <w:r>
        <w:rPr>
          <w:rFonts w:ascii="Calibri" w:hAnsi="Calibri"/>
          <w:b/>
          <w:color w:val="1E293B"/>
          <w:sz w:val="26"/>
        </w:rPr>
        <w:t>1.4 Gobernanza de Recursos y Cloud Adoption Framework (CAF)</w:t>
      </w:r>
    </w:p>
    <w:p>
      <w:pPr>
        <w:spacing w:before="0" w:after="120" w:line="276" w:lineRule="auto"/>
      </w:pPr>
      <w:r>
        <w:rPr>
          <w:rFonts w:ascii="Calibri" w:hAnsi="Calibri"/>
          <w:b/>
          <w:color w:val="1E293B"/>
          <w:sz w:val="22"/>
        </w:rPr>
        <w:t xml:space="preserve">Estándar Corporativo de Nombres: </w:t>
      </w:r>
      <w:r>
        <w:rPr>
          <w:rFonts w:ascii="Calibri" w:hAnsi="Calibri"/>
          <w:color w:val="1E293B"/>
          <w:sz w:val="22"/>
        </w:rPr>
        <w:t>En proyectos de nivel empresarial o integradores, la nomenclatura inconsistente de recursos genera caos operativo, dificultades de asignación de costos y brechas de seguridad. El marco Cloud Adoption Framework (CAF) de Microsoft establece directivas rigurosas de nomenclatura estructurada bajo el formato [TipoRecurso]-[Organización/Proyecto]-[Entorno]-[Región]-[Instancia]. En esta práctica se analiza y aplica la convención definida por el docente para separar entornos de Desarrollo (dev), Pruebas (qa) y Producción (prod) en la región Mexico Central (mxc).</w:t>
      </w:r>
    </w:p>
    <w:tbl>
      <w:tblPr>
        <w:tblW w:type="auto" w:w="0"/>
        <w:jc w:val="center"/>
        <w:tblLook w:firstColumn="1" w:firstRow="1" w:lastColumn="0" w:lastRow="0" w:noHBand="0" w:noVBand="1" w:val="04A0"/>
      </w:tblPr>
      <w:tblGrid>
        <w:gridCol w:w="9406"/>
      </w:tblGrid>
      <w:tr>
        <w:tc>
          <w:tcPr>
            <w:tcW w:type="dxa" w:w="9406"/>
            <w:shd w:fill="F1F5F9"/>
            <w:tcMar>
              <w:top w:w="160" w:type="dxa"/>
              <w:bottom w:w="160" w:type="dxa"/>
              <w:left w:w="220" w:type="dxa"/>
              <w:right w:w="200" w:type="dxa"/>
            </w:tcMar>
            <w:tcBorders>
              <w:top w:val="none"/>
              <w:left w:val="single" w:sz="24" w:color="0078D4"/>
              <w:bottom w:val="none"/>
              <w:right w:val="none"/>
            </w:tcBorders>
          </w:tcPr>
          <w:p>
            <w:pPr>
              <w:spacing w:before="0" w:after="60" w:line="276" w:lineRule="auto"/>
            </w:pPr>
            <w:r>
              <w:rPr>
                <w:rFonts w:ascii="Calibri" w:hAnsi="Calibri"/>
                <w:b/>
                <w:color w:val="0078D4"/>
                <w:sz w:val="21"/>
              </w:rPr>
              <w:t xml:space="preserve">📌 Propósito en la Asignatura: </w:t>
            </w:r>
            <w:r>
              <w:rPr>
                <w:rFonts w:ascii="Calibri" w:hAnsi="Calibri"/>
                <w:color w:val="1E293B"/>
                <w:sz w:val="20"/>
              </w:rPr>
              <w:t>En la materia 'Evaluación y Mejora para el Desarrollo de Software', esta práctica permite a los estudiantes de la UTVT comprender la infraestructura en la nube requerida para desplegar proyectos de software medibles, correlacionando el código de aplicación con métricas cuantitativas de rendimiento y disponibilidad.</w:t>
            </w:r>
          </w:p>
        </w:tc>
      </w:tr>
    </w:tbl>
    <w:p>
      <w:pPr>
        <w:spacing w:after="80"/>
      </w:pPr>
    </w:p>
    <w:p>
      <w:pPr>
        <w:keepNext/>
        <w:spacing w:before="360" w:after="120"/>
      </w:pPr>
      <w:r>
        <w:rPr>
          <w:rFonts w:ascii="Calibri" w:hAnsi="Calibri"/>
          <w:b/>
          <w:color w:val="0078D4"/>
          <w:sz w:val="32"/>
        </w:rPr>
        <w:t>2. OBJETIVOS DE LA PRÁCTICA</w:t>
      </w:r>
    </w:p>
    <w:p>
      <w:pPr>
        <w:keepNext/>
        <w:spacing w:before="280" w:after="80"/>
      </w:pPr>
      <w:r>
        <w:rPr>
          <w:rFonts w:ascii="Calibri" w:hAnsi="Calibri"/>
          <w:b/>
          <w:color w:val="1E293B"/>
          <w:sz w:val="26"/>
        </w:rPr>
        <w:t>2.1 Objetivo General</w:t>
      </w:r>
    </w:p>
    <w:p>
      <w:pPr>
        <w:spacing w:before="0" w:after="120" w:line="276" w:lineRule="auto"/>
      </w:pPr>
      <w:r>
        <w:rPr>
          <w:rFonts w:ascii="Calibri" w:hAnsi="Calibri"/>
          <w:color w:val="1E293B"/>
          <w:sz w:val="22"/>
        </w:rPr>
        <w:t>Diseñar, aprovisionar y configurar una arquitectura completa de hospedaje y observabilidad en Microsoft Azure mediante el portal web de administración, creando un Grupo de Recursos, un área de trabajo de Log Analytics, un componente APM de Application Insights, un App Service Plan y una Web App en Node.js para el entorno de desarrollo (dev), verificando la correcta integración de telemetría y documentando la convención multientorno establecida en el proyecto integrador.</w:t>
      </w:r>
    </w:p>
    <w:p>
      <w:pPr>
        <w:keepNext/>
        <w:spacing w:before="280" w:after="80"/>
      </w:pPr>
      <w:r>
        <w:rPr>
          <w:rFonts w:ascii="Calibri" w:hAnsi="Calibri"/>
          <w:b/>
          <w:color w:val="1E293B"/>
          <w:sz w:val="26"/>
        </w:rPr>
        <w:t>2.2 Objetivos Específicos</w:t>
      </w:r>
    </w:p>
    <w:p>
      <w:pPr>
        <w:pStyle w:val="ListBullet"/>
        <w:spacing w:before="0" w:after="60" w:line="276" w:lineRule="auto"/>
      </w:pPr>
      <w:r>
        <w:rPr>
          <w:rFonts w:ascii="Calibri" w:hAnsi="Calibri"/>
          <w:b/>
          <w:color w:val="1E293B"/>
          <w:sz w:val="22"/>
        </w:rPr>
        <w:t xml:space="preserve">1. Analizar la matriz de componentes: </w:t>
      </w:r>
      <w:r>
        <w:rPr>
          <w:rFonts w:ascii="Calibri" w:hAnsi="Calibri"/>
          <w:color w:val="1E293B"/>
          <w:sz w:val="22"/>
        </w:rPr>
        <w:t>Interpretar la estructura de nomenclatura definida en el archivo oficial 'Componentes a crear.xlsx' para los tres ciclos de despliegue (dev, qa, prod).</w:t>
      </w:r>
    </w:p>
    <w:p>
      <w:pPr>
        <w:pStyle w:val="ListBullet"/>
        <w:spacing w:before="0" w:after="60" w:line="276" w:lineRule="auto"/>
      </w:pPr>
      <w:r>
        <w:rPr>
          <w:rFonts w:ascii="Calibri" w:hAnsi="Calibri"/>
          <w:b/>
          <w:color w:val="1E293B"/>
          <w:sz w:val="22"/>
        </w:rPr>
        <w:t xml:space="preserve">2. Aprovisionar el contenedor lógico: </w:t>
      </w:r>
      <w:r>
        <w:rPr>
          <w:rFonts w:ascii="Calibri" w:hAnsi="Calibri"/>
          <w:color w:val="1E293B"/>
          <w:sz w:val="22"/>
        </w:rPr>
        <w:t>Crear el Grupo de Recursos 'rg-utvt-integradora-dev-mxc-001' en la región geográfica Mexico Central.</w:t>
      </w:r>
    </w:p>
    <w:p>
      <w:pPr>
        <w:pStyle w:val="ListBullet"/>
        <w:spacing w:before="0" w:after="60" w:line="276" w:lineRule="auto"/>
      </w:pPr>
      <w:r>
        <w:rPr>
          <w:rFonts w:ascii="Calibri" w:hAnsi="Calibri"/>
          <w:b/>
          <w:color w:val="1E293B"/>
          <w:sz w:val="22"/>
        </w:rPr>
        <w:t xml:space="preserve">3. Configurar la persistencia de telemetría: </w:t>
      </w:r>
      <w:r>
        <w:rPr>
          <w:rFonts w:ascii="Calibri" w:hAnsi="Calibri"/>
          <w:color w:val="1E293B"/>
          <w:sz w:val="22"/>
        </w:rPr>
        <w:t>Desplegar el Log Analytics Workspace 'log-utvt-integradora-dev-mxc-001' con retención de 30 días.</w:t>
      </w:r>
    </w:p>
    <w:p>
      <w:pPr>
        <w:pStyle w:val="ListBullet"/>
        <w:spacing w:before="0" w:after="60" w:line="276" w:lineRule="auto"/>
      </w:pPr>
      <w:r>
        <w:rPr>
          <w:rFonts w:ascii="Calibri" w:hAnsi="Calibri"/>
          <w:b/>
          <w:color w:val="1E293B"/>
          <w:sz w:val="22"/>
        </w:rPr>
        <w:t xml:space="preserve">4. Integrar la solución APM: </w:t>
      </w:r>
      <w:r>
        <w:rPr>
          <w:rFonts w:ascii="Calibri" w:hAnsi="Calibri"/>
          <w:color w:val="1E293B"/>
          <w:sz w:val="22"/>
        </w:rPr>
        <w:t>Crear el componente Application Insights 'appi-utvt-integradora-dev-mxc-001' en modalidad basada en área de trabajo.</w:t>
      </w:r>
    </w:p>
    <w:p>
      <w:pPr>
        <w:pStyle w:val="ListBullet"/>
        <w:spacing w:before="0" w:after="60" w:line="276" w:lineRule="auto"/>
      </w:pPr>
      <w:r>
        <w:rPr>
          <w:rFonts w:ascii="Calibri" w:hAnsi="Calibri"/>
          <w:b/>
          <w:color w:val="1E293B"/>
          <w:sz w:val="22"/>
        </w:rPr>
        <w:t xml:space="preserve">5. Configurar la infraestructura de cómputo: </w:t>
      </w:r>
      <w:r>
        <w:rPr>
          <w:rFonts w:ascii="Calibri" w:hAnsi="Calibri"/>
          <w:color w:val="1E293B"/>
          <w:sz w:val="22"/>
        </w:rPr>
        <w:t>Crear el App Service Plan 'asp-utvt-integradora-dev-mxc-001' en nivel Free F1 bajo sistema operativo Windows.</w:t>
      </w:r>
    </w:p>
    <w:p>
      <w:pPr>
        <w:pStyle w:val="ListBullet"/>
        <w:spacing w:before="0" w:after="60" w:line="276" w:lineRule="auto"/>
      </w:pPr>
      <w:r>
        <w:rPr>
          <w:rFonts w:ascii="Calibri" w:hAnsi="Calibri"/>
          <w:b/>
          <w:color w:val="1E293B"/>
          <w:sz w:val="22"/>
        </w:rPr>
        <w:t xml:space="preserve">6. Desplegar y publicar la aplicación web: </w:t>
      </w:r>
      <w:r>
        <w:rPr>
          <w:rFonts w:ascii="Calibri" w:hAnsi="Calibri"/>
          <w:color w:val="1E293B"/>
          <w:sz w:val="22"/>
        </w:rPr>
        <w:t>Crear la Web App 'app-utvt-integradora-web-dev-mxc-001' con runtime stack Node 20 LTS y validar su estado activo.</w:t>
      </w:r>
    </w:p>
    <w:p>
      <w:pPr>
        <w:pStyle w:val="ListBullet"/>
        <w:spacing w:before="0" w:after="60" w:line="276" w:lineRule="auto"/>
      </w:pPr>
      <w:r>
        <w:rPr>
          <w:rFonts w:ascii="Calibri" w:hAnsi="Calibri"/>
          <w:b/>
          <w:color w:val="1E293B"/>
          <w:sz w:val="22"/>
        </w:rPr>
        <w:t xml:space="preserve">7. Vincular la observabilidad: </w:t>
      </w:r>
      <w:r>
        <w:rPr>
          <w:rFonts w:ascii="Calibri" w:hAnsi="Calibri"/>
          <w:color w:val="1E293B"/>
          <w:sz w:val="22"/>
        </w:rPr>
        <w:t>Habilitar e interconectar Application Insights con la Web App a través de la cadena de conexión de telemetría.</w:t>
      </w:r>
    </w:p>
    <w:p>
      <w:pPr>
        <w:pStyle w:val="ListBullet"/>
        <w:spacing w:before="0" w:after="60" w:line="276" w:lineRule="auto"/>
      </w:pPr>
      <w:r>
        <w:rPr>
          <w:rFonts w:ascii="Calibri" w:hAnsi="Calibri"/>
          <w:b/>
          <w:color w:val="1E293B"/>
          <w:sz w:val="22"/>
        </w:rPr>
        <w:t xml:space="preserve">8. Implementar automatización complementaria: </w:t>
      </w:r>
      <w:r>
        <w:rPr>
          <w:rFonts w:ascii="Calibri" w:hAnsi="Calibri"/>
          <w:color w:val="1E293B"/>
          <w:sz w:val="22"/>
        </w:rPr>
        <w:t>Codificar scripts en Azure CLI (PowerShell/Bash) y plantillas declarativas en Terraform y Bicep para garantizar reproducibilidad.</w:t>
      </w:r>
    </w:p>
    <w:p>
      <w:r>
        <w:br w:type="page"/>
      </w:r>
    </w:p>
    <w:p>
      <w:pPr>
        <w:keepNext/>
        <w:spacing w:before="360" w:after="120"/>
      </w:pPr>
      <w:r>
        <w:rPr>
          <w:rFonts w:ascii="Calibri" w:hAnsi="Calibri"/>
          <w:b/>
          <w:color w:val="0078D4"/>
          <w:sz w:val="32"/>
        </w:rPr>
        <w:t>3. REQUERIMIENTOS Y ENTORNO DE TRABAJO</w:t>
      </w:r>
    </w:p>
    <w:p>
      <w:pPr>
        <w:spacing w:before="0" w:after="120" w:line="276" w:lineRule="auto"/>
      </w:pPr>
      <w:r>
        <w:rPr>
          <w:rFonts w:ascii="Calibri" w:hAnsi="Calibri"/>
          <w:color w:val="1E293B"/>
          <w:sz w:val="22"/>
        </w:rPr>
        <w:t>A continuación se detallan las especificaciones técnicas del entorno de trabajo, suscripción de nube y herramientas utilizadas durante la ejecución de la práctica:</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35"/>
        <w:gridCol w:w="3135"/>
        <w:gridCol w:w="3135"/>
      </w:tblGrid>
      <w:tr>
        <w:tc>
          <w:tcPr>
            <w:tcW w:type="dxa" w:w="3135"/>
            <w:shd w:fill="0078D4"/>
          </w:tcPr>
          <w:p>
            <w:pPr>
              <w:spacing w:after="40"/>
            </w:pPr>
            <w:r>
              <w:rPr>
                <w:rFonts w:ascii="Calibri" w:hAnsi="Calibri"/>
                <w:b/>
                <w:color w:val="FFFFFF"/>
                <w:sz w:val="20"/>
              </w:rPr>
              <w:t>Componente / Entorno</w:t>
            </w:r>
          </w:p>
        </w:tc>
        <w:tc>
          <w:tcPr>
            <w:tcW w:type="dxa" w:w="3135"/>
            <w:shd w:fill="0078D4"/>
          </w:tcPr>
          <w:p>
            <w:pPr>
              <w:spacing w:after="40"/>
            </w:pPr>
            <w:r>
              <w:rPr>
                <w:rFonts w:ascii="Calibri" w:hAnsi="Calibri"/>
                <w:b/>
                <w:color w:val="FFFFFF"/>
                <w:sz w:val="20"/>
              </w:rPr>
              <w:t>Especificación / Versión</w:t>
            </w:r>
          </w:p>
        </w:tc>
        <w:tc>
          <w:tcPr>
            <w:tcW w:type="dxa" w:w="3135"/>
            <w:shd w:fill="0078D4"/>
          </w:tcPr>
          <w:p>
            <w:pPr>
              <w:spacing w:after="40"/>
            </w:pPr>
            <w:r>
              <w:rPr>
                <w:rFonts w:ascii="Calibri" w:hAnsi="Calibri"/>
                <w:b/>
                <w:color w:val="FFFFFF"/>
                <w:sz w:val="20"/>
              </w:rPr>
              <w:t>Función en la Práctica</w:t>
            </w:r>
          </w:p>
        </w:tc>
      </w:tr>
      <w:tr>
        <w:tc>
          <w:tcPr>
            <w:tcW w:type="dxa" w:w="3135"/>
            <w:tcMar>
              <w:top w:w="60" w:type="dxa"/>
              <w:bottom w:w="60" w:type="dxa"/>
              <w:left w:w="100" w:type="dxa"/>
              <w:right w:w="100" w:type="dxa"/>
            </w:tcMar>
            <w:shd w:fill="F1F5F9"/>
          </w:tcPr>
          <w:p>
            <w:pPr>
              <w:spacing w:after="20"/>
            </w:pPr>
            <w:r>
              <w:rPr>
                <w:rFonts w:ascii="Calibri" w:hAnsi="Calibri"/>
                <w:b/>
                <w:color w:val="1E293B"/>
                <w:sz w:val="19"/>
              </w:rPr>
              <w:t>Proveedor de Nube Pública</w:t>
            </w:r>
          </w:p>
        </w:tc>
        <w:tc>
          <w:tcPr>
            <w:tcW w:type="dxa" w:w="3135"/>
            <w:tcMar>
              <w:top w:w="60" w:type="dxa"/>
              <w:bottom w:w="60" w:type="dxa"/>
              <w:left w:w="100" w:type="dxa"/>
              <w:right w:w="100" w:type="dxa"/>
            </w:tcMar>
            <w:shd w:fill="F1F5F9"/>
          </w:tcPr>
          <w:p>
            <w:pPr>
              <w:spacing w:after="20"/>
            </w:pPr>
            <w:r>
              <w:rPr>
                <w:rFonts w:ascii="Consolas" w:hAnsi="Consolas"/>
                <w:color w:val="0078D4"/>
                <w:sz w:val="19"/>
              </w:rPr>
              <w:t>Microsoft Azure (Cloud Global)</w:t>
            </w:r>
          </w:p>
        </w:tc>
        <w:tc>
          <w:tcPr>
            <w:tcW w:type="dxa" w:w="3135"/>
            <w:tcMar>
              <w:top w:w="60" w:type="dxa"/>
              <w:bottom w:w="60" w:type="dxa"/>
              <w:left w:w="100" w:type="dxa"/>
              <w:right w:w="100" w:type="dxa"/>
            </w:tcMar>
            <w:shd w:fill="F1F5F9"/>
          </w:tcPr>
          <w:p>
            <w:pPr>
              <w:spacing w:after="20"/>
            </w:pPr>
            <w:r>
              <w:rPr>
                <w:rFonts w:ascii="Calibri" w:hAnsi="Calibri"/>
                <w:color w:val="1E293B"/>
                <w:sz w:val="19"/>
              </w:rPr>
              <w:t>Plataforma de infraestructura y servicios PaaS</w:t>
            </w:r>
          </w:p>
        </w:tc>
      </w:tr>
      <w:tr>
        <w:tc>
          <w:tcPr>
            <w:tcW w:type="dxa" w:w="3135"/>
            <w:tcMar>
              <w:top w:w="60" w:type="dxa"/>
              <w:bottom w:w="60" w:type="dxa"/>
              <w:left w:w="100" w:type="dxa"/>
              <w:right w:w="100" w:type="dxa"/>
            </w:tcMar>
            <w:shd w:fill="FFFFFF"/>
          </w:tcPr>
          <w:p>
            <w:pPr>
              <w:spacing w:after="20"/>
            </w:pPr>
            <w:r>
              <w:rPr>
                <w:rFonts w:ascii="Calibri" w:hAnsi="Calibri"/>
                <w:b/>
                <w:color w:val="1E293B"/>
                <w:sz w:val="19"/>
              </w:rPr>
              <w:t>Suscripción Académica</w:t>
            </w:r>
          </w:p>
        </w:tc>
        <w:tc>
          <w:tcPr>
            <w:tcW w:type="dxa" w:w="3135"/>
            <w:tcMar>
              <w:top w:w="60" w:type="dxa"/>
              <w:bottom w:w="60" w:type="dxa"/>
              <w:left w:w="100" w:type="dxa"/>
              <w:right w:w="100" w:type="dxa"/>
            </w:tcMar>
            <w:shd w:fill="FFFFFF"/>
          </w:tcPr>
          <w:p>
            <w:pPr>
              <w:spacing w:after="20"/>
            </w:pPr>
            <w:r>
              <w:rPr>
                <w:rFonts w:ascii="Consolas" w:hAnsi="Consolas"/>
                <w:color w:val="0078D4"/>
                <w:sz w:val="19"/>
              </w:rPr>
              <w:t>Azure for Students (Sub ID: 20527a7a-...)</w:t>
            </w:r>
          </w:p>
        </w:tc>
        <w:tc>
          <w:tcPr>
            <w:tcW w:type="dxa" w:w="3135"/>
            <w:tcMar>
              <w:top w:w="60" w:type="dxa"/>
              <w:bottom w:w="60" w:type="dxa"/>
              <w:left w:w="100" w:type="dxa"/>
              <w:right w:w="100" w:type="dxa"/>
            </w:tcMar>
            <w:shd w:fill="FFFFFF"/>
          </w:tcPr>
          <w:p>
            <w:pPr>
              <w:spacing w:after="20"/>
            </w:pPr>
            <w:r>
              <w:rPr>
                <w:rFonts w:ascii="Calibri" w:hAnsi="Calibri"/>
                <w:color w:val="1E293B"/>
                <w:sz w:val="19"/>
              </w:rPr>
              <w:t>Suscripción institucional UTVT vinculada al alumno</w:t>
            </w:r>
          </w:p>
        </w:tc>
      </w:tr>
      <w:tr>
        <w:tc>
          <w:tcPr>
            <w:tcW w:type="dxa" w:w="3135"/>
            <w:tcMar>
              <w:top w:w="60" w:type="dxa"/>
              <w:bottom w:w="60" w:type="dxa"/>
              <w:left w:w="100" w:type="dxa"/>
              <w:right w:w="100" w:type="dxa"/>
            </w:tcMar>
            <w:shd w:fill="F1F5F9"/>
          </w:tcPr>
          <w:p>
            <w:pPr>
              <w:spacing w:after="20"/>
            </w:pPr>
            <w:r>
              <w:rPr>
                <w:rFonts w:ascii="Calibri" w:hAnsi="Calibri"/>
                <w:b/>
                <w:color w:val="1E293B"/>
                <w:sz w:val="19"/>
              </w:rPr>
              <w:t>Inquilino / Tenant</w:t>
            </w:r>
          </w:p>
        </w:tc>
        <w:tc>
          <w:tcPr>
            <w:tcW w:type="dxa" w:w="3135"/>
            <w:tcMar>
              <w:top w:w="60" w:type="dxa"/>
              <w:bottom w:w="60" w:type="dxa"/>
              <w:left w:w="100" w:type="dxa"/>
              <w:right w:w="100" w:type="dxa"/>
            </w:tcMar>
            <w:shd w:fill="F1F5F9"/>
          </w:tcPr>
          <w:p>
            <w:pPr>
              <w:spacing w:after="20"/>
            </w:pPr>
            <w:r>
              <w:rPr>
                <w:rFonts w:ascii="Consolas" w:hAnsi="Consolas"/>
                <w:color w:val="0078D4"/>
                <w:sz w:val="19"/>
              </w:rPr>
              <w:t>utvtol.edu.mx (Universidad Tecnológica)</w:t>
            </w:r>
          </w:p>
        </w:tc>
        <w:tc>
          <w:tcPr>
            <w:tcW w:type="dxa" w:w="3135"/>
            <w:tcMar>
              <w:top w:w="60" w:type="dxa"/>
              <w:bottom w:w="60" w:type="dxa"/>
              <w:left w:w="100" w:type="dxa"/>
              <w:right w:w="100" w:type="dxa"/>
            </w:tcMar>
            <w:shd w:fill="F1F5F9"/>
          </w:tcPr>
          <w:p>
            <w:pPr>
              <w:spacing w:after="20"/>
            </w:pPr>
            <w:r>
              <w:rPr>
                <w:rFonts w:ascii="Calibri" w:hAnsi="Calibri"/>
                <w:color w:val="1E293B"/>
                <w:sz w:val="19"/>
              </w:rPr>
              <w:t>Directorio activo Azure AD institucional</w:t>
            </w:r>
          </w:p>
        </w:tc>
      </w:tr>
      <w:tr>
        <w:tc>
          <w:tcPr>
            <w:tcW w:type="dxa" w:w="3135"/>
            <w:tcMar>
              <w:top w:w="60" w:type="dxa"/>
              <w:bottom w:w="60" w:type="dxa"/>
              <w:left w:w="100" w:type="dxa"/>
              <w:right w:w="100" w:type="dxa"/>
            </w:tcMar>
            <w:shd w:fill="FFFFFF"/>
          </w:tcPr>
          <w:p>
            <w:pPr>
              <w:spacing w:after="20"/>
            </w:pPr>
            <w:r>
              <w:rPr>
                <w:rFonts w:ascii="Calibri" w:hAnsi="Calibri"/>
                <w:b/>
                <w:color w:val="1E293B"/>
                <w:sz w:val="19"/>
              </w:rPr>
              <w:t>Interfaz Gráfica Principal</w:t>
            </w:r>
          </w:p>
        </w:tc>
        <w:tc>
          <w:tcPr>
            <w:tcW w:type="dxa" w:w="3135"/>
            <w:tcMar>
              <w:top w:w="60" w:type="dxa"/>
              <w:bottom w:w="60" w:type="dxa"/>
              <w:left w:w="100" w:type="dxa"/>
              <w:right w:w="100" w:type="dxa"/>
            </w:tcMar>
            <w:shd w:fill="FFFFFF"/>
          </w:tcPr>
          <w:p>
            <w:pPr>
              <w:spacing w:after="20"/>
            </w:pPr>
            <w:r>
              <w:rPr>
                <w:rFonts w:ascii="Consolas" w:hAnsi="Consolas"/>
                <w:color w:val="0078D4"/>
                <w:sz w:val="19"/>
              </w:rPr>
              <w:t>Azure Portal (portal.azure.com)</w:t>
            </w:r>
          </w:p>
        </w:tc>
        <w:tc>
          <w:tcPr>
            <w:tcW w:type="dxa" w:w="3135"/>
            <w:tcMar>
              <w:top w:w="60" w:type="dxa"/>
              <w:bottom w:w="60" w:type="dxa"/>
              <w:left w:w="100" w:type="dxa"/>
              <w:right w:w="100" w:type="dxa"/>
            </w:tcMar>
            <w:shd w:fill="FFFFFF"/>
          </w:tcPr>
          <w:p>
            <w:pPr>
              <w:spacing w:after="20"/>
            </w:pPr>
            <w:r>
              <w:rPr>
                <w:rFonts w:ascii="Calibri" w:hAnsi="Calibri"/>
                <w:color w:val="1E293B"/>
                <w:sz w:val="19"/>
              </w:rPr>
              <w:t>Consola web de administración y despliegue</w:t>
            </w:r>
          </w:p>
        </w:tc>
      </w:tr>
      <w:tr>
        <w:tc>
          <w:tcPr>
            <w:tcW w:type="dxa" w:w="3135"/>
            <w:tcMar>
              <w:top w:w="60" w:type="dxa"/>
              <w:bottom w:w="60" w:type="dxa"/>
              <w:left w:w="100" w:type="dxa"/>
              <w:right w:w="100" w:type="dxa"/>
            </w:tcMar>
            <w:shd w:fill="F1F5F9"/>
          </w:tcPr>
          <w:p>
            <w:pPr>
              <w:spacing w:after="20"/>
            </w:pPr>
            <w:r>
              <w:rPr>
                <w:rFonts w:ascii="Calibri" w:hAnsi="Calibri"/>
                <w:b/>
                <w:color w:val="1E293B"/>
                <w:sz w:val="19"/>
              </w:rPr>
              <w:t>Interfaz de Línea de Comandos</w:t>
            </w:r>
          </w:p>
        </w:tc>
        <w:tc>
          <w:tcPr>
            <w:tcW w:type="dxa" w:w="3135"/>
            <w:tcMar>
              <w:top w:w="60" w:type="dxa"/>
              <w:bottom w:w="60" w:type="dxa"/>
              <w:left w:w="100" w:type="dxa"/>
              <w:right w:w="100" w:type="dxa"/>
            </w:tcMar>
            <w:shd w:fill="F1F5F9"/>
          </w:tcPr>
          <w:p>
            <w:pPr>
              <w:spacing w:after="20"/>
            </w:pPr>
            <w:r>
              <w:rPr>
                <w:rFonts w:ascii="Consolas" w:hAnsi="Consolas"/>
                <w:color w:val="0078D4"/>
                <w:sz w:val="19"/>
              </w:rPr>
              <w:t>Azure CLI 2.90.0 en Windows 11</w:t>
            </w:r>
          </w:p>
        </w:tc>
        <w:tc>
          <w:tcPr>
            <w:tcW w:type="dxa" w:w="3135"/>
            <w:tcMar>
              <w:top w:w="60" w:type="dxa"/>
              <w:bottom w:w="60" w:type="dxa"/>
              <w:left w:w="100" w:type="dxa"/>
              <w:right w:w="100" w:type="dxa"/>
            </w:tcMar>
            <w:shd w:fill="F1F5F9"/>
          </w:tcPr>
          <w:p>
            <w:pPr>
              <w:spacing w:after="20"/>
            </w:pPr>
            <w:r>
              <w:rPr>
                <w:rFonts w:ascii="Calibri" w:hAnsi="Calibri"/>
                <w:color w:val="1E293B"/>
                <w:sz w:val="19"/>
              </w:rPr>
              <w:t>Herramienta de automatización y verificación</w:t>
            </w:r>
          </w:p>
        </w:tc>
      </w:tr>
      <w:tr>
        <w:tc>
          <w:tcPr>
            <w:tcW w:type="dxa" w:w="3135"/>
            <w:tcMar>
              <w:top w:w="60" w:type="dxa"/>
              <w:bottom w:w="60" w:type="dxa"/>
              <w:left w:w="100" w:type="dxa"/>
              <w:right w:w="100" w:type="dxa"/>
            </w:tcMar>
            <w:shd w:fill="FFFFFF"/>
          </w:tcPr>
          <w:p>
            <w:pPr>
              <w:spacing w:after="20"/>
            </w:pPr>
            <w:r>
              <w:rPr>
                <w:rFonts w:ascii="Calibri" w:hAnsi="Calibri"/>
                <w:b/>
                <w:color w:val="1E293B"/>
                <w:sz w:val="19"/>
              </w:rPr>
              <w:t>Herramienta de IaC</w:t>
            </w:r>
          </w:p>
        </w:tc>
        <w:tc>
          <w:tcPr>
            <w:tcW w:type="dxa" w:w="3135"/>
            <w:tcMar>
              <w:top w:w="60" w:type="dxa"/>
              <w:bottom w:w="60" w:type="dxa"/>
              <w:left w:w="100" w:type="dxa"/>
              <w:right w:w="100" w:type="dxa"/>
            </w:tcMar>
            <w:shd w:fill="FFFFFF"/>
          </w:tcPr>
          <w:p>
            <w:pPr>
              <w:spacing w:after="20"/>
            </w:pPr>
            <w:r>
              <w:rPr>
                <w:rFonts w:ascii="Consolas" w:hAnsi="Consolas"/>
                <w:color w:val="0078D4"/>
                <w:sz w:val="19"/>
              </w:rPr>
              <w:t>HashiCorp Terraform v1.16.2 / Bicep v0.25</w:t>
            </w:r>
          </w:p>
        </w:tc>
        <w:tc>
          <w:tcPr>
            <w:tcW w:type="dxa" w:w="3135"/>
            <w:tcMar>
              <w:top w:w="60" w:type="dxa"/>
              <w:bottom w:w="60" w:type="dxa"/>
              <w:left w:w="100" w:type="dxa"/>
              <w:right w:w="100" w:type="dxa"/>
            </w:tcMar>
            <w:shd w:fill="FFFFFF"/>
          </w:tcPr>
          <w:p>
            <w:pPr>
              <w:spacing w:after="20"/>
            </w:pPr>
            <w:r>
              <w:rPr>
                <w:rFonts w:ascii="Calibri" w:hAnsi="Calibri"/>
                <w:color w:val="1E293B"/>
                <w:sz w:val="19"/>
              </w:rPr>
              <w:t>Infraestructura como Código complementaria</w:t>
            </w:r>
          </w:p>
        </w:tc>
      </w:tr>
      <w:tr>
        <w:tc>
          <w:tcPr>
            <w:tcW w:type="dxa" w:w="3135"/>
            <w:tcMar>
              <w:top w:w="60" w:type="dxa"/>
              <w:bottom w:w="60" w:type="dxa"/>
              <w:left w:w="100" w:type="dxa"/>
              <w:right w:w="100" w:type="dxa"/>
            </w:tcMar>
            <w:shd w:fill="F1F5F9"/>
          </w:tcPr>
          <w:p>
            <w:pPr>
              <w:spacing w:after="20"/>
            </w:pPr>
            <w:r>
              <w:rPr>
                <w:rFonts w:ascii="Calibri" w:hAnsi="Calibri"/>
                <w:b/>
                <w:color w:val="1E293B"/>
                <w:sz w:val="19"/>
              </w:rPr>
              <w:t>Runtime de la Aplicación</w:t>
            </w:r>
          </w:p>
        </w:tc>
        <w:tc>
          <w:tcPr>
            <w:tcW w:type="dxa" w:w="3135"/>
            <w:tcMar>
              <w:top w:w="60" w:type="dxa"/>
              <w:bottom w:w="60" w:type="dxa"/>
              <w:left w:w="100" w:type="dxa"/>
              <w:right w:w="100" w:type="dxa"/>
            </w:tcMar>
            <w:shd w:fill="F1F5F9"/>
          </w:tcPr>
          <w:p>
            <w:pPr>
              <w:spacing w:after="20"/>
            </w:pPr>
            <w:r>
              <w:rPr>
                <w:rFonts w:ascii="Consolas" w:hAnsi="Consolas"/>
                <w:color w:val="0078D4"/>
                <w:sz w:val="19"/>
              </w:rPr>
              <w:t>Node.js v20.x LTS / Express 4.19</w:t>
            </w:r>
          </w:p>
        </w:tc>
        <w:tc>
          <w:tcPr>
            <w:tcW w:type="dxa" w:w="3135"/>
            <w:tcMar>
              <w:top w:w="60" w:type="dxa"/>
              <w:bottom w:w="60" w:type="dxa"/>
              <w:left w:w="100" w:type="dxa"/>
              <w:right w:w="100" w:type="dxa"/>
            </w:tcMar>
            <w:shd w:fill="F1F5F9"/>
          </w:tcPr>
          <w:p>
            <w:pPr>
              <w:spacing w:after="20"/>
            </w:pPr>
            <w:r>
              <w:rPr>
                <w:rFonts w:ascii="Calibri" w:hAnsi="Calibri"/>
                <w:color w:val="1E293B"/>
                <w:sz w:val="19"/>
              </w:rPr>
              <w:t>Pila de ejecución de la Web App en Azure</w:t>
            </w:r>
          </w:p>
        </w:tc>
      </w:tr>
    </w:tbl>
    <w:p>
      <w:pPr>
        <w:keepNext/>
        <w:spacing w:before="360" w:after="120"/>
      </w:pPr>
      <w:r>
        <w:rPr>
          <w:rFonts w:ascii="Calibri" w:hAnsi="Calibri"/>
          <w:b/>
          <w:color w:val="0078D4"/>
          <w:sz w:val="32"/>
        </w:rPr>
        <w:t>4. MATRIZ DE COMPONENTES Y ARQUITECTURA DE LA SOLUCIÓN</w:t>
      </w:r>
    </w:p>
    <w:p>
      <w:pPr>
        <w:spacing w:before="0" w:after="120" w:line="276" w:lineRule="auto"/>
      </w:pPr>
      <w:r>
        <w:rPr>
          <w:rFonts w:ascii="Calibri" w:hAnsi="Calibri"/>
          <w:b/>
          <w:color w:val="1E293B"/>
          <w:sz w:val="22"/>
        </w:rPr>
        <w:t xml:space="preserve">Alineación con el Estándar Institucional: </w:t>
      </w:r>
      <w:r>
        <w:rPr>
          <w:rFonts w:ascii="Calibri" w:hAnsi="Calibri"/>
          <w:color w:val="1E293B"/>
          <w:sz w:val="22"/>
        </w:rPr>
        <w:t>El laboratorio se estructura a partir de la hoja de cálculo oficial 'Componentes a crear.xlsx' suministrada en el repositorio del docente. Dicha matriz define la topología de recursos requerida para soportar el proyecto integrador a través de sus tres etapas de ciclo de vida (Desarrollo, Pruebas y Producción).</w:t>
      </w:r>
    </w:p>
    <w:p>
      <w:pPr>
        <w:keepNext/>
        <w:spacing w:before="280" w:after="80"/>
      </w:pPr>
      <w:r>
        <w:rPr>
          <w:rFonts w:ascii="Calibri" w:hAnsi="Calibri"/>
          <w:b/>
          <w:color w:val="1E293B"/>
          <w:sz w:val="26"/>
        </w:rPr>
        <w:t>4.1 Matriz de Recursos Multientorno (dev, qa, prod)</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351"/>
            <w:shd w:fill="0078D4"/>
          </w:tcPr>
          <w:p>
            <w:pPr>
              <w:spacing w:after="40"/>
            </w:pPr>
            <w:r>
              <w:rPr>
                <w:rFonts w:ascii="Calibri" w:hAnsi="Calibri"/>
                <w:b/>
                <w:color w:val="FFFFFF"/>
                <w:sz w:val="19"/>
              </w:rPr>
              <w:t>Tipo de Recurso Azure</w:t>
            </w:r>
          </w:p>
        </w:tc>
        <w:tc>
          <w:tcPr>
            <w:tcW w:type="dxa" w:w="2351"/>
            <w:shd w:fill="0078D4"/>
          </w:tcPr>
          <w:p>
            <w:pPr>
              <w:spacing w:after="40"/>
            </w:pPr>
            <w:r>
              <w:rPr>
                <w:rFonts w:ascii="Calibri" w:hAnsi="Calibri"/>
                <w:b/>
                <w:color w:val="FFFFFF"/>
                <w:sz w:val="19"/>
              </w:rPr>
              <w:t>Desarrollo (dev)</w:t>
            </w:r>
          </w:p>
        </w:tc>
        <w:tc>
          <w:tcPr>
            <w:tcW w:type="dxa" w:w="2351"/>
            <w:shd w:fill="0078D4"/>
          </w:tcPr>
          <w:p>
            <w:pPr>
              <w:spacing w:after="40"/>
            </w:pPr>
            <w:r>
              <w:rPr>
                <w:rFonts w:ascii="Calibri" w:hAnsi="Calibri"/>
                <w:b/>
                <w:color w:val="FFFFFF"/>
                <w:sz w:val="19"/>
              </w:rPr>
              <w:t>Pruebas (qa)</w:t>
            </w:r>
          </w:p>
        </w:tc>
        <w:tc>
          <w:tcPr>
            <w:tcW w:type="dxa" w:w="2351"/>
            <w:shd w:fill="0078D4"/>
          </w:tcPr>
          <w:p>
            <w:pPr>
              <w:spacing w:after="40"/>
            </w:pPr>
            <w:r>
              <w:rPr>
                <w:rFonts w:ascii="Calibri" w:hAnsi="Calibri"/>
                <w:b/>
                <w:color w:val="FFFFFF"/>
                <w:sz w:val="19"/>
              </w:rPr>
              <w:t>Producción (prod)</w:t>
            </w:r>
          </w:p>
        </w:tc>
      </w:tr>
      <w:tr>
        <w:tc>
          <w:tcPr>
            <w:tcW w:type="dxa" w:w="2351"/>
            <w:tcMar>
              <w:top w:w="50" w:type="dxa"/>
              <w:bottom w:w="50" w:type="dxa"/>
              <w:left w:w="80" w:type="dxa"/>
              <w:right w:w="80" w:type="dxa"/>
            </w:tcMar>
            <w:shd w:fill="F1F5F9"/>
          </w:tcPr>
          <w:p>
            <w:pPr>
              <w:spacing w:after="20"/>
            </w:pPr>
            <w:r>
              <w:rPr>
                <w:rFonts w:ascii="Calibri" w:hAnsi="Calibri"/>
                <w:b/>
                <w:color w:val="1E293B"/>
                <w:sz w:val="17"/>
              </w:rPr>
              <w:t>Resource Group</w:t>
            </w:r>
          </w:p>
        </w:tc>
        <w:tc>
          <w:tcPr>
            <w:tcW w:type="dxa" w:w="2351"/>
            <w:tcMar>
              <w:top w:w="50" w:type="dxa"/>
              <w:bottom w:w="50" w:type="dxa"/>
              <w:left w:w="80" w:type="dxa"/>
              <w:right w:w="80" w:type="dxa"/>
            </w:tcMar>
            <w:shd w:fill="F1F5F9"/>
          </w:tcPr>
          <w:p>
            <w:pPr>
              <w:spacing w:after="20"/>
            </w:pPr>
            <w:r>
              <w:rPr>
                <w:rFonts w:ascii="Consolas" w:hAnsi="Consolas"/>
                <w:color w:val="0078D4"/>
                <w:sz w:val="17"/>
              </w:rPr>
              <w:t>rg-utvt-integradora-dev-mxc-001</w:t>
            </w:r>
          </w:p>
        </w:tc>
        <w:tc>
          <w:tcPr>
            <w:tcW w:type="dxa" w:w="2351"/>
            <w:tcMar>
              <w:top w:w="50" w:type="dxa"/>
              <w:bottom w:w="50" w:type="dxa"/>
              <w:left w:w="80" w:type="dxa"/>
              <w:right w:w="80" w:type="dxa"/>
            </w:tcMar>
            <w:shd w:fill="F1F5F9"/>
          </w:tcPr>
          <w:p>
            <w:pPr>
              <w:spacing w:after="20"/>
            </w:pPr>
            <w:r>
              <w:rPr>
                <w:rFonts w:ascii="Consolas" w:hAnsi="Consolas"/>
                <w:color w:val="1E293B"/>
                <w:sz w:val="17"/>
              </w:rPr>
              <w:t>rg-utvt-integradora-qa-mxc-001</w:t>
            </w:r>
          </w:p>
        </w:tc>
        <w:tc>
          <w:tcPr>
            <w:tcW w:type="dxa" w:w="2351"/>
            <w:tcMar>
              <w:top w:w="50" w:type="dxa"/>
              <w:bottom w:w="50" w:type="dxa"/>
              <w:left w:w="80" w:type="dxa"/>
              <w:right w:w="80" w:type="dxa"/>
            </w:tcMar>
            <w:shd w:fill="F1F5F9"/>
          </w:tcPr>
          <w:p>
            <w:pPr>
              <w:spacing w:after="20"/>
            </w:pPr>
            <w:r>
              <w:rPr>
                <w:rFonts w:ascii="Consolas" w:hAnsi="Consolas"/>
                <w:color w:val="1E293B"/>
                <w:sz w:val="17"/>
              </w:rPr>
              <w:t>rg-utvt-integradora-prod-mxc-001</w:t>
            </w:r>
          </w:p>
        </w:tc>
      </w:tr>
      <w:tr>
        <w:tc>
          <w:tcPr>
            <w:tcW w:type="dxa" w:w="2351"/>
            <w:tcMar>
              <w:top w:w="50" w:type="dxa"/>
              <w:bottom w:w="50" w:type="dxa"/>
              <w:left w:w="80" w:type="dxa"/>
              <w:right w:w="80" w:type="dxa"/>
            </w:tcMar>
            <w:shd w:fill="FFFFFF"/>
          </w:tcPr>
          <w:p>
            <w:pPr>
              <w:spacing w:after="20"/>
            </w:pPr>
            <w:r>
              <w:rPr>
                <w:rFonts w:ascii="Calibri" w:hAnsi="Calibri"/>
                <w:b/>
                <w:color w:val="1E293B"/>
                <w:sz w:val="17"/>
              </w:rPr>
              <w:t>App Service Plan</w:t>
            </w:r>
          </w:p>
        </w:tc>
        <w:tc>
          <w:tcPr>
            <w:tcW w:type="dxa" w:w="2351"/>
            <w:tcMar>
              <w:top w:w="50" w:type="dxa"/>
              <w:bottom w:w="50" w:type="dxa"/>
              <w:left w:w="80" w:type="dxa"/>
              <w:right w:w="80" w:type="dxa"/>
            </w:tcMar>
            <w:shd w:fill="FFFFFF"/>
          </w:tcPr>
          <w:p>
            <w:pPr>
              <w:spacing w:after="20"/>
            </w:pPr>
            <w:r>
              <w:rPr>
                <w:rFonts w:ascii="Consolas" w:hAnsi="Consolas"/>
                <w:color w:val="0078D4"/>
                <w:sz w:val="17"/>
              </w:rPr>
              <w:t>asp-utvt-integradora-dev-mxc-001</w:t>
            </w:r>
          </w:p>
        </w:tc>
        <w:tc>
          <w:tcPr>
            <w:tcW w:type="dxa" w:w="2351"/>
            <w:tcMar>
              <w:top w:w="50" w:type="dxa"/>
              <w:bottom w:w="50" w:type="dxa"/>
              <w:left w:w="80" w:type="dxa"/>
              <w:right w:w="80" w:type="dxa"/>
            </w:tcMar>
            <w:shd w:fill="FFFFFF"/>
          </w:tcPr>
          <w:p>
            <w:pPr>
              <w:spacing w:after="20"/>
            </w:pPr>
            <w:r>
              <w:rPr>
                <w:rFonts w:ascii="Consolas" w:hAnsi="Consolas"/>
                <w:color w:val="1E293B"/>
                <w:sz w:val="17"/>
              </w:rPr>
              <w:t>asp-utvt-integradora-qa-mxc-001</w:t>
            </w:r>
          </w:p>
        </w:tc>
        <w:tc>
          <w:tcPr>
            <w:tcW w:type="dxa" w:w="2351"/>
            <w:tcMar>
              <w:top w:w="50" w:type="dxa"/>
              <w:bottom w:w="50" w:type="dxa"/>
              <w:left w:w="80" w:type="dxa"/>
              <w:right w:w="80" w:type="dxa"/>
            </w:tcMar>
            <w:shd w:fill="FFFFFF"/>
          </w:tcPr>
          <w:p>
            <w:pPr>
              <w:spacing w:after="20"/>
            </w:pPr>
            <w:r>
              <w:rPr>
                <w:rFonts w:ascii="Consolas" w:hAnsi="Consolas"/>
                <w:color w:val="1E293B"/>
                <w:sz w:val="17"/>
              </w:rPr>
              <w:t>asp-utvt-integradora-prod-mxc-001</w:t>
            </w:r>
          </w:p>
        </w:tc>
      </w:tr>
      <w:tr>
        <w:tc>
          <w:tcPr>
            <w:tcW w:type="dxa" w:w="2351"/>
            <w:tcMar>
              <w:top w:w="50" w:type="dxa"/>
              <w:bottom w:w="50" w:type="dxa"/>
              <w:left w:w="80" w:type="dxa"/>
              <w:right w:w="80" w:type="dxa"/>
            </w:tcMar>
            <w:shd w:fill="F1F5F9"/>
          </w:tcPr>
          <w:p>
            <w:pPr>
              <w:spacing w:after="20"/>
            </w:pPr>
            <w:r>
              <w:rPr>
                <w:rFonts w:ascii="Calibri" w:hAnsi="Calibri"/>
                <w:b/>
                <w:color w:val="1E293B"/>
                <w:sz w:val="17"/>
              </w:rPr>
              <w:t>Web App</w:t>
            </w:r>
          </w:p>
        </w:tc>
        <w:tc>
          <w:tcPr>
            <w:tcW w:type="dxa" w:w="2351"/>
            <w:tcMar>
              <w:top w:w="50" w:type="dxa"/>
              <w:bottom w:w="50" w:type="dxa"/>
              <w:left w:w="80" w:type="dxa"/>
              <w:right w:w="80" w:type="dxa"/>
            </w:tcMar>
            <w:shd w:fill="F1F5F9"/>
          </w:tcPr>
          <w:p>
            <w:pPr>
              <w:spacing w:after="20"/>
            </w:pPr>
            <w:r>
              <w:rPr>
                <w:rFonts w:ascii="Consolas" w:hAnsi="Consolas"/>
                <w:color w:val="0078D4"/>
                <w:sz w:val="17"/>
              </w:rPr>
              <w:t>app-utvt-integradora-web-dev-mxc-001</w:t>
            </w:r>
          </w:p>
        </w:tc>
        <w:tc>
          <w:tcPr>
            <w:tcW w:type="dxa" w:w="2351"/>
            <w:tcMar>
              <w:top w:w="50" w:type="dxa"/>
              <w:bottom w:w="50" w:type="dxa"/>
              <w:left w:w="80" w:type="dxa"/>
              <w:right w:w="80" w:type="dxa"/>
            </w:tcMar>
            <w:shd w:fill="F1F5F9"/>
          </w:tcPr>
          <w:p>
            <w:pPr>
              <w:spacing w:after="20"/>
            </w:pPr>
            <w:r>
              <w:rPr>
                <w:rFonts w:ascii="Consolas" w:hAnsi="Consolas"/>
                <w:color w:val="1E293B"/>
                <w:sz w:val="17"/>
              </w:rPr>
              <w:t>app-utvt-integradora-web-qa-mxc-001</w:t>
            </w:r>
          </w:p>
        </w:tc>
        <w:tc>
          <w:tcPr>
            <w:tcW w:type="dxa" w:w="2351"/>
            <w:tcMar>
              <w:top w:w="50" w:type="dxa"/>
              <w:bottom w:w="50" w:type="dxa"/>
              <w:left w:w="80" w:type="dxa"/>
              <w:right w:w="80" w:type="dxa"/>
            </w:tcMar>
            <w:shd w:fill="F1F5F9"/>
          </w:tcPr>
          <w:p>
            <w:pPr>
              <w:spacing w:after="20"/>
            </w:pPr>
            <w:r>
              <w:rPr>
                <w:rFonts w:ascii="Consolas" w:hAnsi="Consolas"/>
                <w:color w:val="1E293B"/>
                <w:sz w:val="17"/>
              </w:rPr>
              <w:t>app-utvt-integradora-web-prod-mxc-001</w:t>
            </w:r>
          </w:p>
        </w:tc>
      </w:tr>
      <w:tr>
        <w:tc>
          <w:tcPr>
            <w:tcW w:type="dxa" w:w="2351"/>
            <w:tcMar>
              <w:top w:w="50" w:type="dxa"/>
              <w:bottom w:w="50" w:type="dxa"/>
              <w:left w:w="80" w:type="dxa"/>
              <w:right w:w="80" w:type="dxa"/>
            </w:tcMar>
            <w:shd w:fill="FFFFFF"/>
          </w:tcPr>
          <w:p>
            <w:pPr>
              <w:spacing w:after="20"/>
            </w:pPr>
            <w:r>
              <w:rPr>
                <w:rFonts w:ascii="Calibri" w:hAnsi="Calibri"/>
                <w:b/>
                <w:color w:val="1E293B"/>
                <w:sz w:val="17"/>
              </w:rPr>
              <w:t>Key Vault (Opcional)</w:t>
            </w:r>
          </w:p>
        </w:tc>
        <w:tc>
          <w:tcPr>
            <w:tcW w:type="dxa" w:w="2351"/>
            <w:tcMar>
              <w:top w:w="50" w:type="dxa"/>
              <w:bottom w:w="50" w:type="dxa"/>
              <w:left w:w="80" w:type="dxa"/>
              <w:right w:w="80" w:type="dxa"/>
            </w:tcMar>
            <w:shd w:fill="FFFFFF"/>
          </w:tcPr>
          <w:p>
            <w:pPr>
              <w:spacing w:after="20"/>
            </w:pPr>
            <w:r>
              <w:rPr>
                <w:rFonts w:ascii="Consolas" w:hAnsi="Consolas"/>
                <w:color w:val="0078D4"/>
                <w:sz w:val="17"/>
              </w:rPr>
              <w:t>kv-utvt-int-dev-mxc-001</w:t>
            </w:r>
          </w:p>
        </w:tc>
        <w:tc>
          <w:tcPr>
            <w:tcW w:type="dxa" w:w="2351"/>
            <w:tcMar>
              <w:top w:w="50" w:type="dxa"/>
              <w:bottom w:w="50" w:type="dxa"/>
              <w:left w:w="80" w:type="dxa"/>
              <w:right w:w="80" w:type="dxa"/>
            </w:tcMar>
            <w:shd w:fill="FFFFFF"/>
          </w:tcPr>
          <w:p>
            <w:pPr>
              <w:spacing w:after="20"/>
            </w:pPr>
            <w:r>
              <w:rPr>
                <w:rFonts w:ascii="Consolas" w:hAnsi="Consolas"/>
                <w:color w:val="1E293B"/>
                <w:sz w:val="17"/>
              </w:rPr>
              <w:t>kv-utvt-int-qa-mxc-001</w:t>
            </w:r>
          </w:p>
        </w:tc>
        <w:tc>
          <w:tcPr>
            <w:tcW w:type="dxa" w:w="2351"/>
            <w:tcMar>
              <w:top w:w="50" w:type="dxa"/>
              <w:bottom w:w="50" w:type="dxa"/>
              <w:left w:w="80" w:type="dxa"/>
              <w:right w:w="80" w:type="dxa"/>
            </w:tcMar>
            <w:shd w:fill="FFFFFF"/>
          </w:tcPr>
          <w:p>
            <w:pPr>
              <w:spacing w:after="20"/>
            </w:pPr>
            <w:r>
              <w:rPr>
                <w:rFonts w:ascii="Consolas" w:hAnsi="Consolas"/>
                <w:color w:val="1E293B"/>
                <w:sz w:val="17"/>
              </w:rPr>
              <w:t>kv-utvt-int-prod-mxc-001</w:t>
            </w:r>
          </w:p>
        </w:tc>
      </w:tr>
      <w:tr>
        <w:tc>
          <w:tcPr>
            <w:tcW w:type="dxa" w:w="2351"/>
            <w:tcMar>
              <w:top w:w="50" w:type="dxa"/>
              <w:bottom w:w="50" w:type="dxa"/>
              <w:left w:w="80" w:type="dxa"/>
              <w:right w:w="80" w:type="dxa"/>
            </w:tcMar>
            <w:shd w:fill="F1F5F9"/>
          </w:tcPr>
          <w:p>
            <w:pPr>
              <w:spacing w:after="20"/>
            </w:pPr>
            <w:r>
              <w:rPr>
                <w:rFonts w:ascii="Calibri" w:hAnsi="Calibri"/>
                <w:b/>
                <w:color w:val="1E293B"/>
                <w:sz w:val="17"/>
              </w:rPr>
              <w:t>Application Insights</w:t>
            </w:r>
          </w:p>
        </w:tc>
        <w:tc>
          <w:tcPr>
            <w:tcW w:type="dxa" w:w="2351"/>
            <w:tcMar>
              <w:top w:w="50" w:type="dxa"/>
              <w:bottom w:w="50" w:type="dxa"/>
              <w:left w:w="80" w:type="dxa"/>
              <w:right w:w="80" w:type="dxa"/>
            </w:tcMar>
            <w:shd w:fill="F1F5F9"/>
          </w:tcPr>
          <w:p>
            <w:pPr>
              <w:spacing w:after="20"/>
            </w:pPr>
            <w:r>
              <w:rPr>
                <w:rFonts w:ascii="Consolas" w:hAnsi="Consolas"/>
                <w:color w:val="0078D4"/>
                <w:sz w:val="17"/>
              </w:rPr>
              <w:t>appi-utvt-integradora-dev-mxc-001</w:t>
            </w:r>
          </w:p>
        </w:tc>
        <w:tc>
          <w:tcPr>
            <w:tcW w:type="dxa" w:w="2351"/>
            <w:tcMar>
              <w:top w:w="50" w:type="dxa"/>
              <w:bottom w:w="50" w:type="dxa"/>
              <w:left w:w="80" w:type="dxa"/>
              <w:right w:w="80" w:type="dxa"/>
            </w:tcMar>
            <w:shd w:fill="F1F5F9"/>
          </w:tcPr>
          <w:p>
            <w:pPr>
              <w:spacing w:after="20"/>
            </w:pPr>
            <w:r>
              <w:rPr>
                <w:rFonts w:ascii="Consolas" w:hAnsi="Consolas"/>
                <w:color w:val="1E293B"/>
                <w:sz w:val="17"/>
              </w:rPr>
              <w:t>appi-utvt-integradora-qa-mxc-001</w:t>
            </w:r>
          </w:p>
        </w:tc>
        <w:tc>
          <w:tcPr>
            <w:tcW w:type="dxa" w:w="2351"/>
            <w:tcMar>
              <w:top w:w="50" w:type="dxa"/>
              <w:bottom w:w="50" w:type="dxa"/>
              <w:left w:w="80" w:type="dxa"/>
              <w:right w:w="80" w:type="dxa"/>
            </w:tcMar>
            <w:shd w:fill="F1F5F9"/>
          </w:tcPr>
          <w:p>
            <w:pPr>
              <w:spacing w:after="20"/>
            </w:pPr>
            <w:r>
              <w:rPr>
                <w:rFonts w:ascii="Consolas" w:hAnsi="Consolas"/>
                <w:color w:val="1E293B"/>
                <w:sz w:val="17"/>
              </w:rPr>
              <w:t>appi-utvt-integradora-prod-mxc-001</w:t>
            </w:r>
          </w:p>
        </w:tc>
      </w:tr>
      <w:tr>
        <w:tc>
          <w:tcPr>
            <w:tcW w:type="dxa" w:w="2351"/>
            <w:tcMar>
              <w:top w:w="50" w:type="dxa"/>
              <w:bottom w:w="50" w:type="dxa"/>
              <w:left w:w="80" w:type="dxa"/>
              <w:right w:w="80" w:type="dxa"/>
            </w:tcMar>
            <w:shd w:fill="FFFFFF"/>
          </w:tcPr>
          <w:p>
            <w:pPr>
              <w:spacing w:after="20"/>
            </w:pPr>
            <w:r>
              <w:rPr>
                <w:rFonts w:ascii="Calibri" w:hAnsi="Calibri"/>
                <w:b/>
                <w:color w:val="1E293B"/>
                <w:sz w:val="17"/>
              </w:rPr>
              <w:t>Log Analytics Workspace</w:t>
            </w:r>
          </w:p>
        </w:tc>
        <w:tc>
          <w:tcPr>
            <w:tcW w:type="dxa" w:w="2351"/>
            <w:tcMar>
              <w:top w:w="50" w:type="dxa"/>
              <w:bottom w:w="50" w:type="dxa"/>
              <w:left w:w="80" w:type="dxa"/>
              <w:right w:w="80" w:type="dxa"/>
            </w:tcMar>
            <w:shd w:fill="FFFFFF"/>
          </w:tcPr>
          <w:p>
            <w:pPr>
              <w:spacing w:after="20"/>
            </w:pPr>
            <w:r>
              <w:rPr>
                <w:rFonts w:ascii="Consolas" w:hAnsi="Consolas"/>
                <w:color w:val="0078D4"/>
                <w:sz w:val="17"/>
              </w:rPr>
              <w:t>log-utvt-integradora-dev-mxc-001</w:t>
            </w:r>
          </w:p>
        </w:tc>
        <w:tc>
          <w:tcPr>
            <w:tcW w:type="dxa" w:w="2351"/>
            <w:tcMar>
              <w:top w:w="50" w:type="dxa"/>
              <w:bottom w:w="50" w:type="dxa"/>
              <w:left w:w="80" w:type="dxa"/>
              <w:right w:w="80" w:type="dxa"/>
            </w:tcMar>
            <w:shd w:fill="FFFFFF"/>
          </w:tcPr>
          <w:p>
            <w:pPr>
              <w:spacing w:after="20"/>
            </w:pPr>
            <w:r>
              <w:rPr>
                <w:rFonts w:ascii="Consolas" w:hAnsi="Consolas"/>
                <w:color w:val="1E293B"/>
                <w:sz w:val="17"/>
              </w:rPr>
              <w:t>log-utvt-integradora-qa-mxc-001</w:t>
            </w:r>
          </w:p>
        </w:tc>
        <w:tc>
          <w:tcPr>
            <w:tcW w:type="dxa" w:w="2351"/>
            <w:tcMar>
              <w:top w:w="50" w:type="dxa"/>
              <w:bottom w:w="50" w:type="dxa"/>
              <w:left w:w="80" w:type="dxa"/>
              <w:right w:w="80" w:type="dxa"/>
            </w:tcMar>
            <w:shd w:fill="FFFFFF"/>
          </w:tcPr>
          <w:p>
            <w:pPr>
              <w:spacing w:after="20"/>
            </w:pPr>
            <w:r>
              <w:rPr>
                <w:rFonts w:ascii="Consolas" w:hAnsi="Consolas"/>
                <w:color w:val="1E293B"/>
                <w:sz w:val="17"/>
              </w:rPr>
              <w:t>log-utvt-integradora-prod-mxc-001</w:t>
            </w:r>
          </w:p>
        </w:tc>
      </w:tr>
      <w:tr>
        <w:tc>
          <w:tcPr>
            <w:tcW w:type="dxa" w:w="2351"/>
            <w:tcMar>
              <w:top w:w="50" w:type="dxa"/>
              <w:bottom w:w="50" w:type="dxa"/>
              <w:left w:w="80" w:type="dxa"/>
              <w:right w:w="80" w:type="dxa"/>
            </w:tcMar>
            <w:shd w:fill="F1F5F9"/>
          </w:tcPr>
          <w:p>
            <w:pPr>
              <w:spacing w:after="20"/>
            </w:pPr>
            <w:r>
              <w:rPr>
                <w:rFonts w:ascii="Calibri" w:hAnsi="Calibri"/>
                <w:b/>
                <w:color w:val="1E293B"/>
                <w:sz w:val="17"/>
              </w:rPr>
              <w:t>PostgreSQL Flexible</w:t>
            </w:r>
          </w:p>
        </w:tc>
        <w:tc>
          <w:tcPr>
            <w:tcW w:type="dxa" w:w="2351"/>
            <w:tcMar>
              <w:top w:w="50" w:type="dxa"/>
              <w:bottom w:w="50" w:type="dxa"/>
              <w:left w:w="80" w:type="dxa"/>
              <w:right w:w="80" w:type="dxa"/>
            </w:tcMar>
            <w:shd w:fill="F1F5F9"/>
          </w:tcPr>
          <w:p>
            <w:pPr>
              <w:spacing w:after="20"/>
            </w:pPr>
            <w:r>
              <w:rPr>
                <w:rFonts w:ascii="Consolas" w:hAnsi="Consolas"/>
                <w:color w:val="0078D4"/>
                <w:sz w:val="17"/>
              </w:rPr>
              <w:t>pgsql-utvt-integradora-dev-mxc-001</w:t>
            </w:r>
          </w:p>
        </w:tc>
        <w:tc>
          <w:tcPr>
            <w:tcW w:type="dxa" w:w="2351"/>
            <w:tcMar>
              <w:top w:w="50" w:type="dxa"/>
              <w:bottom w:w="50" w:type="dxa"/>
              <w:left w:w="80" w:type="dxa"/>
              <w:right w:w="80" w:type="dxa"/>
            </w:tcMar>
            <w:shd w:fill="F1F5F9"/>
          </w:tcPr>
          <w:p>
            <w:pPr>
              <w:spacing w:after="20"/>
            </w:pPr>
            <w:r>
              <w:rPr>
                <w:rFonts w:ascii="Consolas" w:hAnsi="Consolas"/>
                <w:color w:val="1E293B"/>
                <w:sz w:val="17"/>
              </w:rPr>
              <w:t>pgsql-utvt-integradora-qa-mxc-001</w:t>
            </w:r>
          </w:p>
        </w:tc>
        <w:tc>
          <w:tcPr>
            <w:tcW w:type="dxa" w:w="2351"/>
            <w:tcMar>
              <w:top w:w="50" w:type="dxa"/>
              <w:bottom w:w="50" w:type="dxa"/>
              <w:left w:w="80" w:type="dxa"/>
              <w:right w:w="80" w:type="dxa"/>
            </w:tcMar>
            <w:shd w:fill="F1F5F9"/>
          </w:tcPr>
          <w:p>
            <w:pPr>
              <w:spacing w:after="20"/>
            </w:pPr>
            <w:r>
              <w:rPr>
                <w:rFonts w:ascii="Consolas" w:hAnsi="Consolas"/>
                <w:color w:val="1E293B"/>
                <w:sz w:val="17"/>
              </w:rPr>
              <w:t>pgsql-utvt-integradora-prod-mxc-001</w:t>
            </w:r>
          </w:p>
        </w:tc>
      </w:tr>
    </w:tbl>
    <w:p>
      <w:r>
        <w:br w:type="page"/>
      </w:r>
    </w:p>
    <w:p>
      <w:pPr>
        <w:keepNext/>
        <w:spacing w:before="360" w:after="120"/>
      </w:pPr>
      <w:r>
        <w:rPr>
          <w:rFonts w:ascii="Calibri" w:hAnsi="Calibri"/>
          <w:b/>
          <w:color w:val="0078D4"/>
          <w:sz w:val="32"/>
        </w:rPr>
        <w:t>5. PROCEDIMIENTO DETALLADO Y EVIDENCIAS PASO A PASO</w:t>
      </w:r>
    </w:p>
    <w:p>
      <w:pPr>
        <w:spacing w:before="0" w:after="120" w:line="276" w:lineRule="auto"/>
      </w:pPr>
      <w:r>
        <w:rPr>
          <w:rFonts w:ascii="Calibri" w:hAnsi="Calibri"/>
          <w:color w:val="1E293B"/>
          <w:sz w:val="22"/>
        </w:rPr>
        <w:t>En esta sección se documenta en estricto orden cronológico cada una de las fases del laboratorio, correspondiendo exactamente con las demostraciones en video publicadas por el profesor Mtro. Jorge Almeida Montiel. Se integran las capturas del Azure Portal en resolución 1920x1080 y la justificación técnica de cada parámetro.</w:t>
      </w:r>
    </w:p>
    <w:p>
      <w:pPr>
        <w:keepNext/>
        <w:spacing w:before="280" w:after="80"/>
      </w:pPr>
      <w:r>
        <w:rPr>
          <w:rFonts w:ascii="Calibri" w:hAnsi="Calibri"/>
          <w:b/>
          <w:color w:val="1E293B"/>
          <w:sz w:val="26"/>
        </w:rPr>
        <w:t>5.1 Paso 1: Análisis de la Matriz de Recursos (Componentes a crear.xlsx)</w:t>
      </w:r>
    </w:p>
    <w:p>
      <w:pPr>
        <w:spacing w:before="0" w:after="120" w:line="276" w:lineRule="auto"/>
      </w:pPr>
      <w:r>
        <w:rPr>
          <w:rFonts w:ascii="Calibri" w:hAnsi="Calibri"/>
          <w:color w:val="1E293B"/>
          <w:sz w:val="22"/>
        </w:rPr>
        <w:t>Se inició revisando la definición de componentes en la hoja de cálculo institucional. La arquitectura establece que el entorno 'dev' residirá en el centro de datos Mexico Central (mxc), con identificador de instancia '001'. Esta estandarización asegura trazabilidad y coherencia en toda la infraestructura de la integradora.</w:t>
      </w:r>
    </w:p>
    <w:p>
      <w:pPr>
        <w:keepNext/>
        <w:spacing w:before="160" w:after="40"/>
        <w:jc w:val="center"/>
      </w:pPr>
      <w:r>
        <w:drawing>
          <wp:inline xmlns:a="http://schemas.openxmlformats.org/drawingml/2006/main" xmlns:pic="http://schemas.openxmlformats.org/drawingml/2006/picture">
            <wp:extent cx="5394960" cy="3034665"/>
            <wp:docPr id="1" name="Picture 1"/>
            <wp:cNvGraphicFramePr>
              <a:graphicFrameLocks noChangeAspect="1"/>
            </wp:cNvGraphicFramePr>
            <a:graphic>
              <a:graphicData uri="http://schemas.openxmlformats.org/drawingml/2006/picture">
                <pic:pic>
                  <pic:nvPicPr>
                    <pic:cNvPr id="0" name="01_excel_matriz_componentes.png"/>
                    <pic:cNvPicPr/>
                  </pic:nvPicPr>
                  <pic:blipFill>
                    <a:blip r:embed="rId11"/>
                    <a:stretch>
                      <a:fillRect/>
                    </a:stretch>
                  </pic:blipFill>
                  <pic:spPr>
                    <a:xfrm>
                      <a:off x="0" y="0"/>
                      <a:ext cx="5394960" cy="3034665"/>
                    </a:xfrm>
                    <a:prstGeom prst="rect"/>
                  </pic:spPr>
                </pic:pic>
              </a:graphicData>
            </a:graphic>
          </wp:inline>
        </w:drawing>
      </w:r>
    </w:p>
    <w:p>
      <w:pPr>
        <w:spacing w:before="40" w:after="200"/>
        <w:jc w:val="center"/>
      </w:pPr>
      <w:r>
        <w:rPr>
          <w:rFonts w:ascii="Calibri" w:hAnsi="Calibri"/>
          <w:i/>
          <w:color w:val="64748B"/>
          <w:sz w:val="19"/>
        </w:rPr>
        <w:t>Figura 1: Hoja de cálculo oficial 'Componentes a crear.xlsx' con la nomenclatura para dev, qa y prod.</w:t>
      </w:r>
    </w:p>
    <w:p>
      <w:pPr>
        <w:keepNext/>
        <w:spacing w:before="280" w:after="80"/>
      </w:pPr>
      <w:r>
        <w:rPr>
          <w:rFonts w:ascii="Calibri" w:hAnsi="Calibri"/>
          <w:b/>
          <w:color w:val="1E293B"/>
          <w:sz w:val="26"/>
        </w:rPr>
        <w:t>5.2 Paso 2: Creación del Grupo de Recursos (rg-utvt-integradora-dev-mxc-001)</w:t>
      </w:r>
    </w:p>
    <w:p>
      <w:pPr>
        <w:spacing w:before="0" w:after="120" w:line="276" w:lineRule="auto"/>
      </w:pPr>
      <w:r>
        <w:rPr>
          <w:rFonts w:ascii="Calibri" w:hAnsi="Calibri"/>
          <w:b/>
          <w:color w:val="1E293B"/>
          <w:sz w:val="22"/>
        </w:rPr>
        <w:t xml:space="preserve">Parámetros configurados: </w:t>
      </w:r>
      <w:r>
        <w:rPr>
          <w:rFonts w:ascii="Calibri" w:hAnsi="Calibri"/>
          <w:color w:val="1E293B"/>
          <w:sz w:val="22"/>
        </w:rPr>
        <w:t>En el portal de Azure, se navegó a 'Grupos de recursos' (Resource Groups) y se seleccionó 'Crear':</w:t>
      </w:r>
    </w:p>
    <w:p>
      <w:pPr>
        <w:pStyle w:val="ListBullet"/>
        <w:spacing w:before="0" w:after="60" w:line="276" w:lineRule="auto"/>
      </w:pPr>
      <w:r>
        <w:rPr>
          <w:rFonts w:ascii="Calibri" w:hAnsi="Calibri"/>
          <w:b/>
          <w:color w:val="1E293B"/>
          <w:sz w:val="22"/>
        </w:rPr>
        <w:t xml:space="preserve">Suscripción: </w:t>
      </w:r>
      <w:r>
        <w:rPr>
          <w:rFonts w:ascii="Calibri" w:hAnsi="Calibri"/>
          <w:color w:val="1E293B"/>
          <w:sz w:val="22"/>
        </w:rPr>
        <w:t>Azure for Students (Suscripción académica activa)</w:t>
      </w:r>
    </w:p>
    <w:p>
      <w:pPr>
        <w:pStyle w:val="ListBullet"/>
        <w:spacing w:before="0" w:after="60" w:line="276" w:lineRule="auto"/>
      </w:pPr>
      <w:r>
        <w:rPr>
          <w:rFonts w:ascii="Calibri" w:hAnsi="Calibri"/>
          <w:b/>
          <w:color w:val="1E293B"/>
          <w:sz w:val="22"/>
        </w:rPr>
        <w:t xml:space="preserve">Grupo de recursos: </w:t>
      </w:r>
      <w:r>
        <w:rPr>
          <w:rFonts w:ascii="Calibri" w:hAnsi="Calibri"/>
          <w:color w:val="1E293B"/>
          <w:sz w:val="22"/>
        </w:rPr>
        <w:t>rg-utvt-integradora-dev-mxc-001</w:t>
      </w:r>
    </w:p>
    <w:p>
      <w:pPr>
        <w:pStyle w:val="ListBullet"/>
        <w:spacing w:before="0" w:after="60" w:line="276" w:lineRule="auto"/>
      </w:pPr>
      <w:r>
        <w:rPr>
          <w:rFonts w:ascii="Calibri" w:hAnsi="Calibri"/>
          <w:b/>
          <w:color w:val="1E293B"/>
          <w:sz w:val="22"/>
        </w:rPr>
        <w:t xml:space="preserve">Región: </w:t>
      </w:r>
      <w:r>
        <w:rPr>
          <w:rFonts w:ascii="Calibri" w:hAnsi="Calibri"/>
          <w:color w:val="1E293B"/>
          <w:sz w:val="22"/>
        </w:rPr>
        <w:t>Mexico Central (mexicocentral)</w:t>
      </w:r>
    </w:p>
    <w:p>
      <w:pPr>
        <w:keepNext/>
        <w:spacing w:before="160" w:after="40"/>
        <w:jc w:val="center"/>
      </w:pPr>
      <w:r>
        <w:drawing>
          <wp:inline xmlns:a="http://schemas.openxmlformats.org/drawingml/2006/main" xmlns:pic="http://schemas.openxmlformats.org/drawingml/2006/picture">
            <wp:extent cx="5394960" cy="3034665"/>
            <wp:docPr id="2" name="Picture 2"/>
            <wp:cNvGraphicFramePr>
              <a:graphicFrameLocks noChangeAspect="1"/>
            </wp:cNvGraphicFramePr>
            <a:graphic>
              <a:graphicData uri="http://schemas.openxmlformats.org/drawingml/2006/picture">
                <pic:pic>
                  <pic:nvPicPr>
                    <pic:cNvPr id="0" name="02_portal_crear_resource_group.png"/>
                    <pic:cNvPicPr/>
                  </pic:nvPicPr>
                  <pic:blipFill>
                    <a:blip r:embed="rId12"/>
                    <a:stretch>
                      <a:fillRect/>
                    </a:stretch>
                  </pic:blipFill>
                  <pic:spPr>
                    <a:xfrm>
                      <a:off x="0" y="0"/>
                      <a:ext cx="5394960" cy="3034665"/>
                    </a:xfrm>
                    <a:prstGeom prst="rect"/>
                  </pic:spPr>
                </pic:pic>
              </a:graphicData>
            </a:graphic>
          </wp:inline>
        </w:drawing>
      </w:r>
    </w:p>
    <w:p>
      <w:pPr>
        <w:spacing w:before="40" w:after="200"/>
        <w:jc w:val="center"/>
      </w:pPr>
      <w:r>
        <w:rPr>
          <w:rFonts w:ascii="Calibri" w:hAnsi="Calibri"/>
          <w:i/>
          <w:color w:val="64748B"/>
          <w:sz w:val="19"/>
        </w:rPr>
        <w:t>Figura 2: Formulario de creación del Grupo de Recursos en la región Mexico Central.</w:t>
      </w:r>
    </w:p>
    <w:p>
      <w:pPr>
        <w:keepNext/>
        <w:spacing w:before="160" w:after="40"/>
        <w:jc w:val="center"/>
      </w:pPr>
      <w:r>
        <w:drawing>
          <wp:inline xmlns:a="http://schemas.openxmlformats.org/drawingml/2006/main" xmlns:pic="http://schemas.openxmlformats.org/drawingml/2006/picture">
            <wp:extent cx="5394960" cy="3034665"/>
            <wp:docPr id="3" name="Picture 3"/>
            <wp:cNvGraphicFramePr>
              <a:graphicFrameLocks noChangeAspect="1"/>
            </wp:cNvGraphicFramePr>
            <a:graphic>
              <a:graphicData uri="http://schemas.openxmlformats.org/drawingml/2006/picture">
                <pic:pic>
                  <pic:nvPicPr>
                    <pic:cNvPr id="0" name="03_portal_resource_group_overview.png"/>
                    <pic:cNvPicPr/>
                  </pic:nvPicPr>
                  <pic:blipFill>
                    <a:blip r:embed="rId13"/>
                    <a:stretch>
                      <a:fillRect/>
                    </a:stretch>
                  </pic:blipFill>
                  <pic:spPr>
                    <a:xfrm>
                      <a:off x="0" y="0"/>
                      <a:ext cx="5394960" cy="3034665"/>
                    </a:xfrm>
                    <a:prstGeom prst="rect"/>
                  </pic:spPr>
                </pic:pic>
              </a:graphicData>
            </a:graphic>
          </wp:inline>
        </w:drawing>
      </w:r>
    </w:p>
    <w:p>
      <w:pPr>
        <w:spacing w:before="40" w:after="200"/>
        <w:jc w:val="center"/>
      </w:pPr>
      <w:r>
        <w:rPr>
          <w:rFonts w:ascii="Calibri" w:hAnsi="Calibri"/>
          <w:i/>
          <w:color w:val="64748B"/>
          <w:sz w:val="19"/>
        </w:rPr>
        <w:t>Figura 3: Vista general del Grupo de Recursos 'rg-utvt-integradora-dev-mxc-001' aprovisionado en Azure.</w:t>
      </w:r>
    </w:p>
    <w:p>
      <w:pPr>
        <w:keepNext/>
        <w:spacing w:before="280" w:after="80"/>
      </w:pPr>
      <w:r>
        <w:rPr>
          <w:rFonts w:ascii="Calibri" w:hAnsi="Calibri"/>
          <w:b/>
          <w:color w:val="1E293B"/>
          <w:sz w:val="26"/>
        </w:rPr>
        <w:t>5.3 Paso 3: Aprovisionamiento de Log Analytics Workspace</w:t>
      </w:r>
    </w:p>
    <w:p>
      <w:pPr>
        <w:spacing w:before="0" w:after="120" w:line="276" w:lineRule="auto"/>
      </w:pPr>
      <w:r>
        <w:rPr>
          <w:rFonts w:ascii="Calibri" w:hAnsi="Calibri"/>
          <w:b/>
          <w:color w:val="1E293B"/>
          <w:sz w:val="22"/>
        </w:rPr>
        <w:t xml:space="preserve">Parámetros configurados: </w:t>
      </w:r>
      <w:r>
        <w:rPr>
          <w:rFonts w:ascii="Calibri" w:hAnsi="Calibri"/>
          <w:color w:val="1E293B"/>
          <w:sz w:val="22"/>
        </w:rPr>
        <w:t>Como segundo paso, se configuró el almacén central de telemetría buscando 'Log Analytics workspaces' en la barra de búsqueda global de Azure Portal:</w:t>
      </w:r>
    </w:p>
    <w:p>
      <w:pPr>
        <w:pStyle w:val="ListBullet"/>
        <w:spacing w:before="0" w:after="60" w:line="276" w:lineRule="auto"/>
      </w:pPr>
      <w:r>
        <w:rPr>
          <w:rFonts w:ascii="Calibri" w:hAnsi="Calibri"/>
          <w:b/>
          <w:color w:val="1E293B"/>
          <w:sz w:val="22"/>
        </w:rPr>
        <w:t xml:space="preserve">Grupo de recursos: </w:t>
      </w:r>
      <w:r>
        <w:rPr>
          <w:rFonts w:ascii="Calibri" w:hAnsi="Calibri"/>
          <w:color w:val="1E293B"/>
          <w:sz w:val="22"/>
        </w:rPr>
        <w:t>rg-utvt-integradora-dev-mxc-001</w:t>
      </w:r>
    </w:p>
    <w:p>
      <w:pPr>
        <w:pStyle w:val="ListBullet"/>
        <w:spacing w:before="0" w:after="60" w:line="276" w:lineRule="auto"/>
      </w:pPr>
      <w:r>
        <w:rPr>
          <w:rFonts w:ascii="Calibri" w:hAnsi="Calibri"/>
          <w:b/>
          <w:color w:val="1E293B"/>
          <w:sz w:val="22"/>
        </w:rPr>
        <w:t xml:space="preserve">Nombre de la instancia: </w:t>
      </w:r>
      <w:r>
        <w:rPr>
          <w:rFonts w:ascii="Calibri" w:hAnsi="Calibri"/>
          <w:color w:val="1E293B"/>
          <w:sz w:val="22"/>
        </w:rPr>
        <w:t>log-utvt-integradora-dev-mxc-001</w:t>
      </w:r>
    </w:p>
    <w:p>
      <w:pPr>
        <w:pStyle w:val="ListBullet"/>
        <w:spacing w:before="0" w:after="60" w:line="276" w:lineRule="auto"/>
      </w:pPr>
      <w:r>
        <w:rPr>
          <w:rFonts w:ascii="Calibri" w:hAnsi="Calibri"/>
          <w:b/>
          <w:color w:val="1E293B"/>
          <w:sz w:val="22"/>
        </w:rPr>
        <w:t xml:space="preserve">Región: </w:t>
      </w:r>
      <w:r>
        <w:rPr>
          <w:rFonts w:ascii="Calibri" w:hAnsi="Calibri"/>
          <w:color w:val="1E293B"/>
          <w:sz w:val="22"/>
        </w:rPr>
        <w:t>Mexico Central</w:t>
      </w:r>
    </w:p>
    <w:p>
      <w:pPr>
        <w:pStyle w:val="ListBullet"/>
        <w:spacing w:before="0" w:after="60" w:line="276" w:lineRule="auto"/>
      </w:pPr>
      <w:r>
        <w:rPr>
          <w:rFonts w:ascii="Calibri" w:hAnsi="Calibri"/>
          <w:b/>
          <w:color w:val="1E293B"/>
          <w:sz w:val="22"/>
        </w:rPr>
        <w:t xml:space="preserve">Nivel de precios: </w:t>
      </w:r>
      <w:r>
        <w:rPr>
          <w:rFonts w:ascii="Calibri" w:hAnsi="Calibri"/>
          <w:color w:val="1E293B"/>
          <w:sz w:val="22"/>
        </w:rPr>
        <w:t>Pago por uso (Per GB 2018) con retención estándar de 30 días.</w:t>
      </w:r>
    </w:p>
    <w:p>
      <w:pPr>
        <w:keepNext/>
        <w:spacing w:before="160" w:after="40"/>
        <w:jc w:val="center"/>
      </w:pPr>
      <w:r>
        <w:drawing>
          <wp:inline xmlns:a="http://schemas.openxmlformats.org/drawingml/2006/main" xmlns:pic="http://schemas.openxmlformats.org/drawingml/2006/picture">
            <wp:extent cx="5394960" cy="3034665"/>
            <wp:docPr id="4" name="Picture 4"/>
            <wp:cNvGraphicFramePr>
              <a:graphicFrameLocks noChangeAspect="1"/>
            </wp:cNvGraphicFramePr>
            <a:graphic>
              <a:graphicData uri="http://schemas.openxmlformats.org/drawingml/2006/picture">
                <pic:pic>
                  <pic:nvPicPr>
                    <pic:cNvPr id="0" name="04_portal_crear_log_analytics.png"/>
                    <pic:cNvPicPr/>
                  </pic:nvPicPr>
                  <pic:blipFill>
                    <a:blip r:embed="rId14"/>
                    <a:stretch>
                      <a:fillRect/>
                    </a:stretch>
                  </pic:blipFill>
                  <pic:spPr>
                    <a:xfrm>
                      <a:off x="0" y="0"/>
                      <a:ext cx="5394960" cy="3034665"/>
                    </a:xfrm>
                    <a:prstGeom prst="rect"/>
                  </pic:spPr>
                </pic:pic>
              </a:graphicData>
            </a:graphic>
          </wp:inline>
        </w:drawing>
      </w:r>
    </w:p>
    <w:p>
      <w:pPr>
        <w:spacing w:before="40" w:after="200"/>
        <w:jc w:val="center"/>
      </w:pPr>
      <w:r>
        <w:rPr>
          <w:rFonts w:ascii="Calibri" w:hAnsi="Calibri"/>
          <w:i/>
          <w:color w:val="64748B"/>
          <w:sz w:val="19"/>
        </w:rPr>
        <w:t>Figura 4: Formulario de creación del Log Analytics Workspace en el Grupo de Recursos de desarrollo.</w:t>
      </w:r>
    </w:p>
    <w:p>
      <w:pPr>
        <w:keepNext/>
        <w:spacing w:before="160" w:after="40"/>
        <w:jc w:val="center"/>
      </w:pPr>
      <w:r>
        <w:drawing>
          <wp:inline xmlns:a="http://schemas.openxmlformats.org/drawingml/2006/main" xmlns:pic="http://schemas.openxmlformats.org/drawingml/2006/picture">
            <wp:extent cx="5394960" cy="3034665"/>
            <wp:docPr id="5" name="Picture 5"/>
            <wp:cNvGraphicFramePr>
              <a:graphicFrameLocks noChangeAspect="1"/>
            </wp:cNvGraphicFramePr>
            <a:graphic>
              <a:graphicData uri="http://schemas.openxmlformats.org/drawingml/2006/picture">
                <pic:pic>
                  <pic:nvPicPr>
                    <pic:cNvPr id="0" name="05_portal_log_analytics_overview.png"/>
                    <pic:cNvPicPr/>
                  </pic:nvPicPr>
                  <pic:blipFill>
                    <a:blip r:embed="rId15"/>
                    <a:stretch>
                      <a:fillRect/>
                    </a:stretch>
                  </pic:blipFill>
                  <pic:spPr>
                    <a:xfrm>
                      <a:off x="0" y="0"/>
                      <a:ext cx="5394960" cy="3034665"/>
                    </a:xfrm>
                    <a:prstGeom prst="rect"/>
                  </pic:spPr>
                </pic:pic>
              </a:graphicData>
            </a:graphic>
          </wp:inline>
        </w:drawing>
      </w:r>
    </w:p>
    <w:p>
      <w:pPr>
        <w:spacing w:before="40" w:after="200"/>
        <w:jc w:val="center"/>
      </w:pPr>
      <w:r>
        <w:rPr>
          <w:rFonts w:ascii="Calibri" w:hAnsi="Calibri"/>
          <w:i/>
          <w:color w:val="64748B"/>
          <w:sz w:val="19"/>
        </w:rPr>
        <w:t>Figura 5: Vista general y confirmación de estado del Log Analytics Workspace 'log-utvt-integradora-dev-mxc-001'.</w:t>
      </w:r>
    </w:p>
    <w:p>
      <w:pPr>
        <w:keepNext/>
        <w:spacing w:before="280" w:after="80"/>
      </w:pPr>
      <w:r>
        <w:rPr>
          <w:rFonts w:ascii="Calibri" w:hAnsi="Calibri"/>
          <w:b/>
          <w:color w:val="1E293B"/>
          <w:sz w:val="26"/>
        </w:rPr>
        <w:t>5.4 Paso 4: Despliegue de Application Insights en modo Workspace-based</w:t>
      </w:r>
    </w:p>
    <w:p>
      <w:pPr>
        <w:spacing w:before="0" w:after="120" w:line="276" w:lineRule="auto"/>
      </w:pPr>
      <w:r>
        <w:rPr>
          <w:rFonts w:ascii="Calibri" w:hAnsi="Calibri"/>
          <w:b/>
          <w:color w:val="1E293B"/>
          <w:sz w:val="22"/>
        </w:rPr>
        <w:t xml:space="preserve">Parámetros configurados: </w:t>
      </w:r>
      <w:r>
        <w:rPr>
          <w:rFonts w:ascii="Calibri" w:hAnsi="Calibri"/>
          <w:color w:val="1E293B"/>
          <w:sz w:val="22"/>
        </w:rPr>
        <w:t>Se procedió al aprovisionamiento del componente APM navegando a 'Application Insights':</w:t>
      </w:r>
    </w:p>
    <w:p>
      <w:pPr>
        <w:pStyle w:val="ListBullet"/>
        <w:spacing w:before="0" w:after="60" w:line="276" w:lineRule="auto"/>
      </w:pPr>
      <w:r>
        <w:rPr>
          <w:rFonts w:ascii="Calibri" w:hAnsi="Calibri"/>
          <w:b/>
          <w:color w:val="1E293B"/>
          <w:sz w:val="22"/>
        </w:rPr>
        <w:t xml:space="preserve">Grupo de recursos: </w:t>
      </w:r>
      <w:r>
        <w:rPr>
          <w:rFonts w:ascii="Calibri" w:hAnsi="Calibri"/>
          <w:color w:val="1E293B"/>
          <w:sz w:val="22"/>
        </w:rPr>
        <w:t>rg-utvt-integradora-dev-mxc-001</w:t>
      </w:r>
    </w:p>
    <w:p>
      <w:pPr>
        <w:pStyle w:val="ListBullet"/>
        <w:spacing w:before="0" w:after="60" w:line="276" w:lineRule="auto"/>
      </w:pPr>
      <w:r>
        <w:rPr>
          <w:rFonts w:ascii="Calibri" w:hAnsi="Calibri"/>
          <w:b/>
          <w:color w:val="1E293B"/>
          <w:sz w:val="22"/>
        </w:rPr>
        <w:t xml:space="preserve">Nombre: </w:t>
      </w:r>
      <w:r>
        <w:rPr>
          <w:rFonts w:ascii="Calibri" w:hAnsi="Calibri"/>
          <w:color w:val="1E293B"/>
          <w:sz w:val="22"/>
        </w:rPr>
        <w:t>appi-utvt-integradora-dev-mxc-001</w:t>
      </w:r>
    </w:p>
    <w:p>
      <w:pPr>
        <w:pStyle w:val="ListBullet"/>
        <w:spacing w:before="0" w:after="60" w:line="276" w:lineRule="auto"/>
      </w:pPr>
      <w:r>
        <w:rPr>
          <w:rFonts w:ascii="Calibri" w:hAnsi="Calibri"/>
          <w:b/>
          <w:color w:val="1E293B"/>
          <w:sz w:val="22"/>
        </w:rPr>
        <w:t xml:space="preserve">Región: </w:t>
      </w:r>
      <w:r>
        <w:rPr>
          <w:rFonts w:ascii="Calibri" w:hAnsi="Calibri"/>
          <w:color w:val="1E293B"/>
          <w:sz w:val="22"/>
        </w:rPr>
        <w:t>Mexico Central</w:t>
      </w:r>
    </w:p>
    <w:p>
      <w:pPr>
        <w:pStyle w:val="ListBullet"/>
        <w:spacing w:before="0" w:after="60" w:line="276" w:lineRule="auto"/>
      </w:pPr>
      <w:r>
        <w:rPr>
          <w:rFonts w:ascii="Calibri" w:hAnsi="Calibri"/>
          <w:b/>
          <w:color w:val="1E293B"/>
          <w:sz w:val="22"/>
        </w:rPr>
        <w:t xml:space="preserve">Modo de recurso: </w:t>
      </w:r>
      <w:r>
        <w:rPr>
          <w:rFonts w:ascii="Calibri" w:hAnsi="Calibri"/>
          <w:color w:val="1E293B"/>
          <w:sz w:val="22"/>
        </w:rPr>
        <w:t>Basado en área de trabajo (Workspace-based)</w:t>
      </w:r>
    </w:p>
    <w:p>
      <w:pPr>
        <w:pStyle w:val="ListBullet"/>
        <w:spacing w:before="0" w:after="60" w:line="276" w:lineRule="auto"/>
      </w:pPr>
      <w:r>
        <w:rPr>
          <w:rFonts w:ascii="Calibri" w:hAnsi="Calibri"/>
          <w:b/>
          <w:color w:val="1E293B"/>
          <w:sz w:val="22"/>
        </w:rPr>
        <w:t xml:space="preserve">Área de trabajo de Log Analytics: </w:t>
      </w:r>
      <w:r>
        <w:rPr>
          <w:rFonts w:ascii="Calibri" w:hAnsi="Calibri"/>
          <w:color w:val="1E293B"/>
          <w:sz w:val="22"/>
        </w:rPr>
        <w:t>log-utvt-integradora-dev-mxc-001 (vinculación directa)</w:t>
      </w:r>
    </w:p>
    <w:p>
      <w:pPr>
        <w:keepNext/>
        <w:spacing w:before="160" w:after="40"/>
        <w:jc w:val="center"/>
      </w:pPr>
      <w:r>
        <w:drawing>
          <wp:inline xmlns:a="http://schemas.openxmlformats.org/drawingml/2006/main" xmlns:pic="http://schemas.openxmlformats.org/drawingml/2006/picture">
            <wp:extent cx="5394960" cy="3034665"/>
            <wp:docPr id="6" name="Picture 6"/>
            <wp:cNvGraphicFramePr>
              <a:graphicFrameLocks noChangeAspect="1"/>
            </wp:cNvGraphicFramePr>
            <a:graphic>
              <a:graphicData uri="http://schemas.openxmlformats.org/drawingml/2006/picture">
                <pic:pic>
                  <pic:nvPicPr>
                    <pic:cNvPr id="0" name="06_portal_crear_app_insights.png"/>
                    <pic:cNvPicPr/>
                  </pic:nvPicPr>
                  <pic:blipFill>
                    <a:blip r:embed="rId16"/>
                    <a:stretch>
                      <a:fillRect/>
                    </a:stretch>
                  </pic:blipFill>
                  <pic:spPr>
                    <a:xfrm>
                      <a:off x="0" y="0"/>
                      <a:ext cx="5394960" cy="3034665"/>
                    </a:xfrm>
                    <a:prstGeom prst="rect"/>
                  </pic:spPr>
                </pic:pic>
              </a:graphicData>
            </a:graphic>
          </wp:inline>
        </w:drawing>
      </w:r>
    </w:p>
    <w:p>
      <w:pPr>
        <w:spacing w:before="40" w:after="200"/>
        <w:jc w:val="center"/>
      </w:pPr>
      <w:r>
        <w:rPr>
          <w:rFonts w:ascii="Calibri" w:hAnsi="Calibri"/>
          <w:i/>
          <w:color w:val="64748B"/>
          <w:sz w:val="19"/>
        </w:rPr>
        <w:t>Figura 6: Configuración del componente Application Insights vinculado al Log Analytics Workspace.</w:t>
      </w:r>
    </w:p>
    <w:p>
      <w:pPr>
        <w:keepNext/>
        <w:spacing w:before="160" w:after="40"/>
        <w:jc w:val="center"/>
      </w:pPr>
      <w:r>
        <w:drawing>
          <wp:inline xmlns:a="http://schemas.openxmlformats.org/drawingml/2006/main" xmlns:pic="http://schemas.openxmlformats.org/drawingml/2006/picture">
            <wp:extent cx="5394960" cy="3034665"/>
            <wp:docPr id="7" name="Picture 7"/>
            <wp:cNvGraphicFramePr>
              <a:graphicFrameLocks noChangeAspect="1"/>
            </wp:cNvGraphicFramePr>
            <a:graphic>
              <a:graphicData uri="http://schemas.openxmlformats.org/drawingml/2006/picture">
                <pic:pic>
                  <pic:nvPicPr>
                    <pic:cNvPr id="0" name="07_portal_app_insights_overview.png"/>
                    <pic:cNvPicPr/>
                  </pic:nvPicPr>
                  <pic:blipFill>
                    <a:blip r:embed="rId17"/>
                    <a:stretch>
                      <a:fillRect/>
                    </a:stretch>
                  </pic:blipFill>
                  <pic:spPr>
                    <a:xfrm>
                      <a:off x="0" y="0"/>
                      <a:ext cx="5394960" cy="3034665"/>
                    </a:xfrm>
                    <a:prstGeom prst="rect"/>
                  </pic:spPr>
                </pic:pic>
              </a:graphicData>
            </a:graphic>
          </wp:inline>
        </w:drawing>
      </w:r>
    </w:p>
    <w:p>
      <w:pPr>
        <w:spacing w:before="40" w:after="200"/>
        <w:jc w:val="center"/>
      </w:pPr>
      <w:r>
        <w:rPr>
          <w:rFonts w:ascii="Calibri" w:hAnsi="Calibri"/>
          <w:i/>
          <w:color w:val="64748B"/>
          <w:sz w:val="19"/>
        </w:rPr>
        <w:t>Figura 7: Vista general de Application Insights mostrando la clave de instrumentación y cadena de conexión.</w:t>
      </w:r>
    </w:p>
    <w:p>
      <w:pPr>
        <w:keepNext/>
        <w:spacing w:before="280" w:after="80"/>
      </w:pPr>
      <w:r>
        <w:rPr>
          <w:rFonts w:ascii="Calibri" w:hAnsi="Calibri"/>
          <w:b/>
          <w:color w:val="1E293B"/>
          <w:sz w:val="26"/>
        </w:rPr>
        <w:t>5.5 Paso 5: Creación del App Service Plan en nivel Free F1</w:t>
      </w:r>
    </w:p>
    <w:p>
      <w:pPr>
        <w:spacing w:before="0" w:after="120" w:line="276" w:lineRule="auto"/>
      </w:pPr>
      <w:r>
        <w:rPr>
          <w:rFonts w:ascii="Calibri" w:hAnsi="Calibri"/>
          <w:b/>
          <w:color w:val="1E293B"/>
          <w:sz w:val="22"/>
        </w:rPr>
        <w:t xml:space="preserve">Parámetros configurados: </w:t>
      </w:r>
      <w:r>
        <w:rPr>
          <w:rFonts w:ascii="Calibri" w:hAnsi="Calibri"/>
          <w:color w:val="1E293B"/>
          <w:sz w:val="22"/>
        </w:rPr>
        <w:t>Para proveer la capacidad de cómputo del servidor web, se buscó 'Planes de App Service' (App Service plans) y se accionó 'Crear':</w:t>
      </w:r>
    </w:p>
    <w:p>
      <w:pPr>
        <w:pStyle w:val="ListBullet"/>
        <w:spacing w:before="0" w:after="60" w:line="276" w:lineRule="auto"/>
      </w:pPr>
      <w:r>
        <w:rPr>
          <w:rFonts w:ascii="Calibri" w:hAnsi="Calibri"/>
          <w:b/>
          <w:color w:val="1E293B"/>
          <w:sz w:val="22"/>
        </w:rPr>
        <w:t xml:space="preserve">Grupo de recursos: </w:t>
      </w:r>
      <w:r>
        <w:rPr>
          <w:rFonts w:ascii="Calibri" w:hAnsi="Calibri"/>
          <w:color w:val="1E293B"/>
          <w:sz w:val="22"/>
        </w:rPr>
        <w:t>rg-utvt-integradora-dev-mxc-001</w:t>
      </w:r>
    </w:p>
    <w:p>
      <w:pPr>
        <w:pStyle w:val="ListBullet"/>
        <w:spacing w:before="0" w:after="60" w:line="276" w:lineRule="auto"/>
      </w:pPr>
      <w:r>
        <w:rPr>
          <w:rFonts w:ascii="Calibri" w:hAnsi="Calibri"/>
          <w:b/>
          <w:color w:val="1E293B"/>
          <w:sz w:val="22"/>
        </w:rPr>
        <w:t xml:space="preserve">Nombre del plan: </w:t>
      </w:r>
      <w:r>
        <w:rPr>
          <w:rFonts w:ascii="Calibri" w:hAnsi="Calibri"/>
          <w:color w:val="1E293B"/>
          <w:sz w:val="22"/>
        </w:rPr>
        <w:t>asp-utvt-integradora-dev-mxc-001</w:t>
      </w:r>
    </w:p>
    <w:p>
      <w:pPr>
        <w:pStyle w:val="ListBullet"/>
        <w:spacing w:before="0" w:after="60" w:line="276" w:lineRule="auto"/>
      </w:pPr>
      <w:r>
        <w:rPr>
          <w:rFonts w:ascii="Calibri" w:hAnsi="Calibri"/>
          <w:b/>
          <w:color w:val="1E293B"/>
          <w:sz w:val="22"/>
        </w:rPr>
        <w:t xml:space="preserve">Sistema Operativo: </w:t>
      </w:r>
      <w:r>
        <w:rPr>
          <w:rFonts w:ascii="Calibri" w:hAnsi="Calibri"/>
          <w:color w:val="1E293B"/>
          <w:sz w:val="22"/>
        </w:rPr>
        <w:t>Windows</w:t>
      </w:r>
    </w:p>
    <w:p>
      <w:pPr>
        <w:pStyle w:val="ListBullet"/>
        <w:spacing w:before="0" w:after="60" w:line="276" w:lineRule="auto"/>
      </w:pPr>
      <w:r>
        <w:rPr>
          <w:rFonts w:ascii="Calibri" w:hAnsi="Calibri"/>
          <w:b/>
          <w:color w:val="1E293B"/>
          <w:sz w:val="22"/>
        </w:rPr>
        <w:t xml:space="preserve">Región: </w:t>
      </w:r>
      <w:r>
        <w:rPr>
          <w:rFonts w:ascii="Calibri" w:hAnsi="Calibri"/>
          <w:color w:val="1E293B"/>
          <w:sz w:val="22"/>
        </w:rPr>
        <w:t>Mexico Central</w:t>
      </w:r>
    </w:p>
    <w:p>
      <w:pPr>
        <w:pStyle w:val="ListBullet"/>
        <w:spacing w:before="0" w:after="60" w:line="276" w:lineRule="auto"/>
      </w:pPr>
      <w:r>
        <w:rPr>
          <w:rFonts w:ascii="Calibri" w:hAnsi="Calibri"/>
          <w:b/>
          <w:color w:val="1E293B"/>
          <w:sz w:val="22"/>
        </w:rPr>
        <w:t xml:space="preserve">Plan de precios (SKU): </w:t>
      </w:r>
      <w:r>
        <w:rPr>
          <w:rFonts w:ascii="Calibri" w:hAnsi="Calibri"/>
          <w:color w:val="1E293B"/>
          <w:sz w:val="22"/>
        </w:rPr>
        <w:t>Gratis F1 (1 GB de memoria, 60 minutos de cómputo diarios incluidos)</w:t>
      </w:r>
    </w:p>
    <w:p>
      <w:pPr>
        <w:keepNext/>
        <w:spacing w:before="160" w:after="40"/>
        <w:jc w:val="center"/>
      </w:pPr>
      <w:r>
        <w:drawing>
          <wp:inline xmlns:a="http://schemas.openxmlformats.org/drawingml/2006/main" xmlns:pic="http://schemas.openxmlformats.org/drawingml/2006/picture">
            <wp:extent cx="5394960" cy="3034665"/>
            <wp:docPr id="8" name="Picture 8"/>
            <wp:cNvGraphicFramePr>
              <a:graphicFrameLocks noChangeAspect="1"/>
            </wp:cNvGraphicFramePr>
            <a:graphic>
              <a:graphicData uri="http://schemas.openxmlformats.org/drawingml/2006/picture">
                <pic:pic>
                  <pic:nvPicPr>
                    <pic:cNvPr id="0" name="08_portal_crear_app_service_plan.png"/>
                    <pic:cNvPicPr/>
                  </pic:nvPicPr>
                  <pic:blipFill>
                    <a:blip r:embed="rId18"/>
                    <a:stretch>
                      <a:fillRect/>
                    </a:stretch>
                  </pic:blipFill>
                  <pic:spPr>
                    <a:xfrm>
                      <a:off x="0" y="0"/>
                      <a:ext cx="5394960" cy="3034665"/>
                    </a:xfrm>
                    <a:prstGeom prst="rect"/>
                  </pic:spPr>
                </pic:pic>
              </a:graphicData>
            </a:graphic>
          </wp:inline>
        </w:drawing>
      </w:r>
    </w:p>
    <w:p>
      <w:pPr>
        <w:spacing w:before="40" w:after="200"/>
        <w:jc w:val="center"/>
      </w:pPr>
      <w:r>
        <w:rPr>
          <w:rFonts w:ascii="Calibri" w:hAnsi="Calibri"/>
          <w:i/>
          <w:color w:val="64748B"/>
          <w:sz w:val="19"/>
        </w:rPr>
        <w:t>Figura 8: Formulario de creación del App Service Plan 'asp-utvt-integradora-dev-mxc-001'.</w:t>
      </w:r>
    </w:p>
    <w:p>
      <w:pPr>
        <w:keepNext/>
        <w:spacing w:before="160" w:after="40"/>
        <w:jc w:val="center"/>
      </w:pPr>
      <w:r>
        <w:drawing>
          <wp:inline xmlns:a="http://schemas.openxmlformats.org/drawingml/2006/main" xmlns:pic="http://schemas.openxmlformats.org/drawingml/2006/picture">
            <wp:extent cx="5394960" cy="3034665"/>
            <wp:docPr id="9" name="Picture 9"/>
            <wp:cNvGraphicFramePr>
              <a:graphicFrameLocks noChangeAspect="1"/>
            </wp:cNvGraphicFramePr>
            <a:graphic>
              <a:graphicData uri="http://schemas.openxmlformats.org/drawingml/2006/picture">
                <pic:pic>
                  <pic:nvPicPr>
                    <pic:cNvPr id="0" name="09_portal_app_service_plan_sku.png"/>
                    <pic:cNvPicPr/>
                  </pic:nvPicPr>
                  <pic:blipFill>
                    <a:blip r:embed="rId19"/>
                    <a:stretch>
                      <a:fillRect/>
                    </a:stretch>
                  </pic:blipFill>
                  <pic:spPr>
                    <a:xfrm>
                      <a:off x="0" y="0"/>
                      <a:ext cx="5394960" cy="3034665"/>
                    </a:xfrm>
                    <a:prstGeom prst="rect"/>
                  </pic:spPr>
                </pic:pic>
              </a:graphicData>
            </a:graphic>
          </wp:inline>
        </w:drawing>
      </w:r>
    </w:p>
    <w:p>
      <w:pPr>
        <w:spacing w:before="40" w:after="200"/>
        <w:jc w:val="center"/>
      </w:pPr>
      <w:r>
        <w:rPr>
          <w:rFonts w:ascii="Calibri" w:hAnsi="Calibri"/>
          <w:i/>
          <w:color w:val="64748B"/>
          <w:sz w:val="19"/>
        </w:rPr>
        <w:t>Figura 9: Selector de niveles de precios seleccionando el nivel Gratis F1 (Free Tier).</w:t>
      </w:r>
    </w:p>
    <w:p>
      <w:pPr>
        <w:keepNext/>
        <w:spacing w:before="160" w:after="40"/>
        <w:jc w:val="center"/>
      </w:pPr>
      <w:r>
        <w:drawing>
          <wp:inline xmlns:a="http://schemas.openxmlformats.org/drawingml/2006/main" xmlns:pic="http://schemas.openxmlformats.org/drawingml/2006/picture">
            <wp:extent cx="5394960" cy="3034665"/>
            <wp:docPr id="10" name="Picture 10"/>
            <wp:cNvGraphicFramePr>
              <a:graphicFrameLocks noChangeAspect="1"/>
            </wp:cNvGraphicFramePr>
            <a:graphic>
              <a:graphicData uri="http://schemas.openxmlformats.org/drawingml/2006/picture">
                <pic:pic>
                  <pic:nvPicPr>
                    <pic:cNvPr id="0" name="10_portal_app_service_plan_overview.png"/>
                    <pic:cNvPicPr/>
                  </pic:nvPicPr>
                  <pic:blipFill>
                    <a:blip r:embed="rId20"/>
                    <a:stretch>
                      <a:fillRect/>
                    </a:stretch>
                  </pic:blipFill>
                  <pic:spPr>
                    <a:xfrm>
                      <a:off x="0" y="0"/>
                      <a:ext cx="5394960" cy="3034665"/>
                    </a:xfrm>
                    <a:prstGeom prst="rect"/>
                  </pic:spPr>
                </pic:pic>
              </a:graphicData>
            </a:graphic>
          </wp:inline>
        </w:drawing>
      </w:r>
    </w:p>
    <w:p>
      <w:pPr>
        <w:spacing w:before="40" w:after="200"/>
        <w:jc w:val="center"/>
      </w:pPr>
      <w:r>
        <w:rPr>
          <w:rFonts w:ascii="Calibri" w:hAnsi="Calibri"/>
          <w:i/>
          <w:color w:val="64748B"/>
          <w:sz w:val="19"/>
        </w:rPr>
        <w:t>Figura 10: Vista general del App Service Plan 'asp-utvt-integradora-dev-mxc-001' listo para alojar aplicaciones.</w:t>
      </w:r>
    </w:p>
    <w:p>
      <w:pPr>
        <w:keepNext/>
        <w:spacing w:before="280" w:after="80"/>
      </w:pPr>
      <w:r>
        <w:rPr>
          <w:rFonts w:ascii="Calibri" w:hAnsi="Calibri"/>
          <w:b/>
          <w:color w:val="1E293B"/>
          <w:sz w:val="26"/>
        </w:rPr>
        <w:t>5.6 Paso 6: Aprovisionamiento de la Web App en Node.js</w:t>
      </w:r>
    </w:p>
    <w:p>
      <w:pPr>
        <w:spacing w:before="0" w:after="120" w:line="276" w:lineRule="auto"/>
      </w:pPr>
      <w:r>
        <w:rPr>
          <w:rFonts w:ascii="Calibri" w:hAnsi="Calibri"/>
          <w:b/>
          <w:color w:val="1E293B"/>
          <w:sz w:val="22"/>
        </w:rPr>
        <w:t xml:space="preserve">Parámetros configurados: </w:t>
      </w:r>
      <w:r>
        <w:rPr>
          <w:rFonts w:ascii="Calibri" w:hAnsi="Calibri"/>
          <w:color w:val="1E293B"/>
          <w:sz w:val="22"/>
        </w:rPr>
        <w:t>Con el plan de cómputo activo, se navegó a 'App Services' y se seleccionó 'Crear' $\rightarrow$ 'Aplicación web':</w:t>
      </w:r>
    </w:p>
    <w:p>
      <w:pPr>
        <w:pStyle w:val="ListBullet"/>
        <w:spacing w:before="0" w:after="60" w:line="276" w:lineRule="auto"/>
      </w:pPr>
      <w:r>
        <w:rPr>
          <w:rFonts w:ascii="Calibri" w:hAnsi="Calibri"/>
          <w:b/>
          <w:color w:val="1E293B"/>
          <w:sz w:val="22"/>
        </w:rPr>
        <w:t xml:space="preserve">Grupo de recursos: </w:t>
      </w:r>
      <w:r>
        <w:rPr>
          <w:rFonts w:ascii="Calibri" w:hAnsi="Calibri"/>
          <w:color w:val="1E293B"/>
          <w:sz w:val="22"/>
        </w:rPr>
        <w:t>rg-utvt-integradora-dev-mxc-001</w:t>
      </w:r>
    </w:p>
    <w:p>
      <w:pPr>
        <w:pStyle w:val="ListBullet"/>
        <w:spacing w:before="0" w:after="60" w:line="276" w:lineRule="auto"/>
      </w:pPr>
      <w:r>
        <w:rPr>
          <w:rFonts w:ascii="Calibri" w:hAnsi="Calibri"/>
          <w:b/>
          <w:color w:val="1E293B"/>
          <w:sz w:val="22"/>
        </w:rPr>
        <w:t xml:space="preserve">Nombre de la aplicación: </w:t>
      </w:r>
      <w:r>
        <w:rPr>
          <w:rFonts w:ascii="Calibri" w:hAnsi="Calibri"/>
          <w:color w:val="1E293B"/>
          <w:sz w:val="22"/>
        </w:rPr>
        <w:t>app-utvt-integradora-web-dev-mxc-001</w:t>
      </w:r>
    </w:p>
    <w:p>
      <w:pPr>
        <w:pStyle w:val="ListBullet"/>
        <w:spacing w:before="0" w:after="60" w:line="276" w:lineRule="auto"/>
      </w:pPr>
      <w:r>
        <w:rPr>
          <w:rFonts w:ascii="Calibri" w:hAnsi="Calibri"/>
          <w:b/>
          <w:color w:val="1E293B"/>
          <w:sz w:val="22"/>
        </w:rPr>
        <w:t xml:space="preserve">Publicar: </w:t>
      </w:r>
      <w:r>
        <w:rPr>
          <w:rFonts w:ascii="Calibri" w:hAnsi="Calibri"/>
          <w:color w:val="1E293B"/>
          <w:sz w:val="22"/>
        </w:rPr>
        <w:t>Código (Code)</w:t>
      </w:r>
    </w:p>
    <w:p>
      <w:pPr>
        <w:pStyle w:val="ListBullet"/>
        <w:spacing w:before="0" w:after="60" w:line="276" w:lineRule="auto"/>
      </w:pPr>
      <w:r>
        <w:rPr>
          <w:rFonts w:ascii="Calibri" w:hAnsi="Calibri"/>
          <w:b/>
          <w:color w:val="1E293B"/>
          <w:sz w:val="22"/>
        </w:rPr>
        <w:t xml:space="preserve">Pila de tiempo de ejecución (Runtime Stack): </w:t>
      </w:r>
      <w:r>
        <w:rPr>
          <w:rFonts w:ascii="Calibri" w:hAnsi="Calibri"/>
          <w:color w:val="1E293B"/>
          <w:sz w:val="22"/>
        </w:rPr>
        <w:t>Node 20 LTS</w:t>
      </w:r>
    </w:p>
    <w:p>
      <w:pPr>
        <w:pStyle w:val="ListBullet"/>
        <w:spacing w:before="0" w:after="60" w:line="276" w:lineRule="auto"/>
      </w:pPr>
      <w:r>
        <w:rPr>
          <w:rFonts w:ascii="Calibri" w:hAnsi="Calibri"/>
          <w:b/>
          <w:color w:val="1E293B"/>
          <w:sz w:val="22"/>
        </w:rPr>
        <w:t xml:space="preserve">Sistema operativo: </w:t>
      </w:r>
      <w:r>
        <w:rPr>
          <w:rFonts w:ascii="Calibri" w:hAnsi="Calibri"/>
          <w:color w:val="1E293B"/>
          <w:sz w:val="22"/>
        </w:rPr>
        <w:t>Windows</w:t>
      </w:r>
    </w:p>
    <w:p>
      <w:pPr>
        <w:pStyle w:val="ListBullet"/>
        <w:spacing w:before="0" w:after="60" w:line="276" w:lineRule="auto"/>
      </w:pPr>
      <w:r>
        <w:rPr>
          <w:rFonts w:ascii="Calibri" w:hAnsi="Calibri"/>
          <w:b/>
          <w:color w:val="1E293B"/>
          <w:sz w:val="22"/>
        </w:rPr>
        <w:t xml:space="preserve">Región: </w:t>
      </w:r>
      <w:r>
        <w:rPr>
          <w:rFonts w:ascii="Calibri" w:hAnsi="Calibri"/>
          <w:color w:val="1E293B"/>
          <w:sz w:val="22"/>
        </w:rPr>
        <w:t>Mexico Central</w:t>
      </w:r>
    </w:p>
    <w:p>
      <w:pPr>
        <w:pStyle w:val="ListBullet"/>
        <w:spacing w:before="0" w:after="60" w:line="276" w:lineRule="auto"/>
      </w:pPr>
      <w:r>
        <w:rPr>
          <w:rFonts w:ascii="Calibri" w:hAnsi="Calibri"/>
          <w:b/>
          <w:color w:val="1E293B"/>
          <w:sz w:val="22"/>
        </w:rPr>
        <w:t xml:space="preserve">Plan de App Service: </w:t>
      </w:r>
      <w:r>
        <w:rPr>
          <w:rFonts w:ascii="Calibri" w:hAnsi="Calibri"/>
          <w:color w:val="1E293B"/>
          <w:sz w:val="22"/>
        </w:rPr>
        <w:t>asp-utvt-integradora-dev-mxc-001</w:t>
      </w:r>
    </w:p>
    <w:p>
      <w:pPr>
        <w:keepNext/>
        <w:spacing w:before="160" w:after="40"/>
        <w:jc w:val="center"/>
      </w:pPr>
      <w:r>
        <w:drawing>
          <wp:inline xmlns:a="http://schemas.openxmlformats.org/drawingml/2006/main" xmlns:pic="http://schemas.openxmlformats.org/drawingml/2006/picture">
            <wp:extent cx="5394960" cy="3034665"/>
            <wp:docPr id="11" name="Picture 11"/>
            <wp:cNvGraphicFramePr>
              <a:graphicFrameLocks noChangeAspect="1"/>
            </wp:cNvGraphicFramePr>
            <a:graphic>
              <a:graphicData uri="http://schemas.openxmlformats.org/drawingml/2006/picture">
                <pic:pic>
                  <pic:nvPicPr>
                    <pic:cNvPr id="0" name="11_portal_crear_web_app.png"/>
                    <pic:cNvPicPr/>
                  </pic:nvPicPr>
                  <pic:blipFill>
                    <a:blip r:embed="rId21"/>
                    <a:stretch>
                      <a:fillRect/>
                    </a:stretch>
                  </pic:blipFill>
                  <pic:spPr>
                    <a:xfrm>
                      <a:off x="0" y="0"/>
                      <a:ext cx="5394960" cy="3034665"/>
                    </a:xfrm>
                    <a:prstGeom prst="rect"/>
                  </pic:spPr>
                </pic:pic>
              </a:graphicData>
            </a:graphic>
          </wp:inline>
        </w:drawing>
      </w:r>
    </w:p>
    <w:p>
      <w:pPr>
        <w:spacing w:before="40" w:after="200"/>
        <w:jc w:val="center"/>
      </w:pPr>
      <w:r>
        <w:rPr>
          <w:rFonts w:ascii="Calibri" w:hAnsi="Calibri"/>
          <w:i/>
          <w:color w:val="64748B"/>
          <w:sz w:val="19"/>
        </w:rPr>
        <w:t>Figura 11: Formulario de configuración de la Web App con runtime Node.js 20 LTS sobre Windows.</w:t>
      </w:r>
    </w:p>
    <w:p>
      <w:pPr>
        <w:keepNext/>
        <w:spacing w:before="160" w:after="40"/>
        <w:jc w:val="center"/>
      </w:pPr>
      <w:r>
        <w:drawing>
          <wp:inline xmlns:a="http://schemas.openxmlformats.org/drawingml/2006/main" xmlns:pic="http://schemas.openxmlformats.org/drawingml/2006/picture">
            <wp:extent cx="5394960" cy="3034665"/>
            <wp:docPr id="12" name="Picture 12"/>
            <wp:cNvGraphicFramePr>
              <a:graphicFrameLocks noChangeAspect="1"/>
            </wp:cNvGraphicFramePr>
            <a:graphic>
              <a:graphicData uri="http://schemas.openxmlformats.org/drawingml/2006/picture">
                <pic:pic>
                  <pic:nvPicPr>
                    <pic:cNvPr id="0" name="12_portal_web_app_overview.png"/>
                    <pic:cNvPicPr/>
                  </pic:nvPicPr>
                  <pic:blipFill>
                    <a:blip r:embed="rId22"/>
                    <a:stretch>
                      <a:fillRect/>
                    </a:stretch>
                  </pic:blipFill>
                  <pic:spPr>
                    <a:xfrm>
                      <a:off x="0" y="0"/>
                      <a:ext cx="5394960" cy="3034665"/>
                    </a:xfrm>
                    <a:prstGeom prst="rect"/>
                  </pic:spPr>
                </pic:pic>
              </a:graphicData>
            </a:graphic>
          </wp:inline>
        </w:drawing>
      </w:r>
    </w:p>
    <w:p>
      <w:pPr>
        <w:spacing w:before="40" w:after="200"/>
        <w:jc w:val="center"/>
      </w:pPr>
      <w:r>
        <w:rPr>
          <w:rFonts w:ascii="Calibri" w:hAnsi="Calibri"/>
          <w:i/>
          <w:color w:val="64748B"/>
          <w:sz w:val="19"/>
        </w:rPr>
        <w:t>Figura 12: Vista general de la Web App en ejecución con su dominio predeterminado y estado Running.</w:t>
      </w:r>
    </w:p>
    <w:p>
      <w:pPr>
        <w:keepNext/>
        <w:spacing w:before="280" w:after="80"/>
      </w:pPr>
      <w:r>
        <w:rPr>
          <w:rFonts w:ascii="Calibri" w:hAnsi="Calibri"/>
          <w:b/>
          <w:color w:val="1E293B"/>
          <w:sz w:val="26"/>
        </w:rPr>
        <w:t>5.7 Paso 7: Vinculación e Integración de Application Insights con Web App</w:t>
      </w:r>
    </w:p>
    <w:p>
      <w:pPr>
        <w:spacing w:before="0" w:after="120" w:line="276" w:lineRule="auto"/>
      </w:pPr>
      <w:r>
        <w:rPr>
          <w:rFonts w:ascii="Calibri" w:hAnsi="Calibri"/>
          <w:b/>
          <w:color w:val="1E293B"/>
          <w:sz w:val="22"/>
        </w:rPr>
        <w:t xml:space="preserve">Procedimiento de integración: </w:t>
      </w:r>
      <w:r>
        <w:rPr>
          <w:rFonts w:ascii="Calibri" w:hAnsi="Calibri"/>
          <w:color w:val="1E293B"/>
          <w:sz w:val="22"/>
        </w:rPr>
        <w:t>Para cerrar el ciclo de observabilidad, se accedió a la hoja de configuración de la Web App recién creada, localizando en el menú lateral izquierdo la sección 'Configuración' $\rightarrow$ 'Application Insights':</w:t>
      </w:r>
    </w:p>
    <w:p>
      <w:pPr>
        <w:pStyle w:val="ListBullet"/>
        <w:spacing w:before="0" w:after="60" w:line="276" w:lineRule="auto"/>
      </w:pPr>
      <w:r>
        <w:rPr>
          <w:rFonts w:ascii="Calibri" w:hAnsi="Calibri"/>
          <w:b/>
          <w:color w:val="1E293B"/>
          <w:sz w:val="22"/>
        </w:rPr>
        <w:t xml:space="preserve">Habilitar Application Insights: </w:t>
      </w:r>
      <w:r>
        <w:rPr>
          <w:rFonts w:ascii="Calibri" w:hAnsi="Calibri"/>
          <w:color w:val="1E293B"/>
          <w:sz w:val="22"/>
        </w:rPr>
        <w:t>Se activó el selector en 'Habilitar' (Enable).</w:t>
      </w:r>
    </w:p>
    <w:p>
      <w:pPr>
        <w:pStyle w:val="ListBullet"/>
        <w:spacing w:before="0" w:after="60" w:line="276" w:lineRule="auto"/>
      </w:pPr>
      <w:r>
        <w:rPr>
          <w:rFonts w:ascii="Calibri" w:hAnsi="Calibri"/>
          <w:b/>
          <w:color w:val="1E293B"/>
          <w:sz w:val="22"/>
        </w:rPr>
        <w:t xml:space="preserve">Selección de recurso existente: </w:t>
      </w:r>
      <w:r>
        <w:rPr>
          <w:rFonts w:ascii="Calibri" w:hAnsi="Calibri"/>
          <w:color w:val="1E293B"/>
          <w:sz w:val="22"/>
        </w:rPr>
        <w:t>Se vinculó directamente con 'appi-utvt-integradora-dev-mxc-001'.</w:t>
      </w:r>
    </w:p>
    <w:p>
      <w:pPr>
        <w:pStyle w:val="ListBullet"/>
        <w:spacing w:before="0" w:after="60" w:line="276" w:lineRule="auto"/>
      </w:pPr>
      <w:r>
        <w:rPr>
          <w:rFonts w:ascii="Calibri" w:hAnsi="Calibri"/>
          <w:b/>
          <w:color w:val="1E293B"/>
          <w:sz w:val="22"/>
        </w:rPr>
        <w:t xml:space="preserve">Inyección de configuración: </w:t>
      </w:r>
      <w:r>
        <w:rPr>
          <w:rFonts w:ascii="Calibri" w:hAnsi="Calibri"/>
          <w:color w:val="1E293B"/>
          <w:sz w:val="22"/>
        </w:rPr>
        <w:t>Azure inyectó automáticamente la variable de entorno 'APPLICATIONINSIGHTS_CONNECTION_STRING' en los AppSettings del servicio web.</w:t>
      </w:r>
    </w:p>
    <w:p>
      <w:pPr>
        <w:keepNext/>
        <w:spacing w:before="160" w:after="40"/>
        <w:jc w:val="center"/>
      </w:pPr>
      <w:r>
        <w:drawing>
          <wp:inline xmlns:a="http://schemas.openxmlformats.org/drawingml/2006/main" xmlns:pic="http://schemas.openxmlformats.org/drawingml/2006/picture">
            <wp:extent cx="5394960" cy="3034665"/>
            <wp:docPr id="13" name="Picture 13"/>
            <wp:cNvGraphicFramePr>
              <a:graphicFrameLocks noChangeAspect="1"/>
            </wp:cNvGraphicFramePr>
            <a:graphic>
              <a:graphicData uri="http://schemas.openxmlformats.org/drawingml/2006/picture">
                <pic:pic>
                  <pic:nvPicPr>
                    <pic:cNvPr id="0" name="13_portal_vincular_app_insights.png"/>
                    <pic:cNvPicPr/>
                  </pic:nvPicPr>
                  <pic:blipFill>
                    <a:blip r:embed="rId23"/>
                    <a:stretch>
                      <a:fillRect/>
                    </a:stretch>
                  </pic:blipFill>
                  <pic:spPr>
                    <a:xfrm>
                      <a:off x="0" y="0"/>
                      <a:ext cx="5394960" cy="3034665"/>
                    </a:xfrm>
                    <a:prstGeom prst="rect"/>
                  </pic:spPr>
                </pic:pic>
              </a:graphicData>
            </a:graphic>
          </wp:inline>
        </w:drawing>
      </w:r>
    </w:p>
    <w:p>
      <w:pPr>
        <w:spacing w:before="40" w:after="200"/>
        <w:jc w:val="center"/>
      </w:pPr>
      <w:r>
        <w:rPr>
          <w:rFonts w:ascii="Calibri" w:hAnsi="Calibri"/>
          <w:i/>
          <w:color w:val="64748B"/>
          <w:sz w:val="19"/>
        </w:rPr>
        <w:t>Figura 13: Hoja de configuración de Application Insights en Azure App Service seleccionando el recurso existente.</w:t>
      </w:r>
    </w:p>
    <w:p>
      <w:pPr>
        <w:keepNext/>
        <w:spacing w:before="160" w:after="40"/>
        <w:jc w:val="center"/>
      </w:pPr>
      <w:r>
        <w:drawing>
          <wp:inline xmlns:a="http://schemas.openxmlformats.org/drawingml/2006/main" xmlns:pic="http://schemas.openxmlformats.org/drawingml/2006/picture">
            <wp:extent cx="5394960" cy="3034665"/>
            <wp:docPr id="14" name="Picture 14"/>
            <wp:cNvGraphicFramePr>
              <a:graphicFrameLocks noChangeAspect="1"/>
            </wp:cNvGraphicFramePr>
            <a:graphic>
              <a:graphicData uri="http://schemas.openxmlformats.org/drawingml/2006/picture">
                <pic:pic>
                  <pic:nvPicPr>
                    <pic:cNvPr id="0" name="14_portal_app_insights_vinculado_overview.png"/>
                    <pic:cNvPicPr/>
                  </pic:nvPicPr>
                  <pic:blipFill>
                    <a:blip r:embed="rId24"/>
                    <a:stretch>
                      <a:fillRect/>
                    </a:stretch>
                  </pic:blipFill>
                  <pic:spPr>
                    <a:xfrm>
                      <a:off x="0" y="0"/>
                      <a:ext cx="5394960" cy="3034665"/>
                    </a:xfrm>
                    <a:prstGeom prst="rect"/>
                  </pic:spPr>
                </pic:pic>
              </a:graphicData>
            </a:graphic>
          </wp:inline>
        </w:drawing>
      </w:r>
    </w:p>
    <w:p>
      <w:pPr>
        <w:spacing w:before="40" w:after="200"/>
        <w:jc w:val="center"/>
      </w:pPr>
      <w:r>
        <w:rPr>
          <w:rFonts w:ascii="Calibri" w:hAnsi="Calibri"/>
          <w:i/>
          <w:color w:val="64748B"/>
          <w:sz w:val="19"/>
        </w:rPr>
        <w:t>Figura 14: Confirmación de la vinculación activa entre la Web App y Application Insights con métricas en tiempo real.</w:t>
      </w:r>
    </w:p>
    <w:p>
      <w:pPr>
        <w:keepNext/>
        <w:spacing w:before="280" w:after="80"/>
      </w:pPr>
      <w:r>
        <w:rPr>
          <w:rFonts w:ascii="Calibri" w:hAnsi="Calibri"/>
          <w:b/>
          <w:color w:val="1E293B"/>
          <w:sz w:val="26"/>
        </w:rPr>
        <w:t>5.8 Paso 8: Automatización Complementaria con Azure CLI e Infraestructura como Código</w:t>
      </w:r>
    </w:p>
    <w:p>
      <w:pPr>
        <w:spacing w:before="0" w:after="120" w:line="276" w:lineRule="auto"/>
      </w:pPr>
      <w:r>
        <w:rPr>
          <w:rFonts w:ascii="Calibri" w:hAnsi="Calibri"/>
          <w:color w:val="1E293B"/>
          <w:sz w:val="22"/>
        </w:rPr>
        <w:t>Como valor agregado de ingeniería de software, se codificaron scripts de automatización en Azure CLI y Terraform para demostrar que toda la infraestructura creada interactivamente en el portal web puede ser reproducida de forma 100% automatizada e idempotente:</w:t>
      </w:r>
    </w:p>
    <w:p>
      <w:pPr>
        <w:keepNext/>
        <w:spacing w:before="160" w:after="40"/>
        <w:jc w:val="center"/>
      </w:pPr>
      <w:r>
        <w:drawing>
          <wp:inline xmlns:a="http://schemas.openxmlformats.org/drawingml/2006/main" xmlns:pic="http://schemas.openxmlformats.org/drawingml/2006/picture">
            <wp:extent cx="5394960" cy="2447000"/>
            <wp:docPr id="15" name="Picture 15"/>
            <wp:cNvGraphicFramePr>
              <a:graphicFrameLocks noChangeAspect="1"/>
            </wp:cNvGraphicFramePr>
            <a:graphic>
              <a:graphicData uri="http://schemas.openxmlformats.org/drawingml/2006/picture">
                <pic:pic>
                  <pic:nvPicPr>
                    <pic:cNvPr id="0" name="term_01_az_group_workspace.png"/>
                    <pic:cNvPicPr/>
                  </pic:nvPicPr>
                  <pic:blipFill>
                    <a:blip r:embed="rId25"/>
                    <a:stretch>
                      <a:fillRect/>
                    </a:stretch>
                  </pic:blipFill>
                  <pic:spPr>
                    <a:xfrm>
                      <a:off x="0" y="0"/>
                      <a:ext cx="5394960" cy="2447000"/>
                    </a:xfrm>
                    <a:prstGeom prst="rect"/>
                  </pic:spPr>
                </pic:pic>
              </a:graphicData>
            </a:graphic>
          </wp:inline>
        </w:drawing>
      </w:r>
    </w:p>
    <w:p>
      <w:pPr>
        <w:spacing w:before="40" w:after="200"/>
        <w:jc w:val="center"/>
      </w:pPr>
      <w:r>
        <w:rPr>
          <w:rFonts w:ascii="Calibri" w:hAnsi="Calibri"/>
          <w:i/>
          <w:color w:val="64748B"/>
          <w:sz w:val="19"/>
        </w:rPr>
        <w:t>Figura 15: Automatización con Azure CLI: Creación del Resource Group y Log Analytics Workspace.</w:t>
      </w:r>
    </w:p>
    <w:p>
      <w:pPr>
        <w:keepNext/>
        <w:spacing w:before="160" w:after="40"/>
        <w:jc w:val="center"/>
      </w:pPr>
      <w:r>
        <w:drawing>
          <wp:inline xmlns:a="http://schemas.openxmlformats.org/drawingml/2006/main" xmlns:pic="http://schemas.openxmlformats.org/drawingml/2006/picture">
            <wp:extent cx="5394960" cy="2447000"/>
            <wp:docPr id="16" name="Picture 16"/>
            <wp:cNvGraphicFramePr>
              <a:graphicFrameLocks noChangeAspect="1"/>
            </wp:cNvGraphicFramePr>
            <a:graphic>
              <a:graphicData uri="http://schemas.openxmlformats.org/drawingml/2006/picture">
                <pic:pic>
                  <pic:nvPicPr>
                    <pic:cNvPr id="0" name="term_02_az_insights_plan.png"/>
                    <pic:cNvPicPr/>
                  </pic:nvPicPr>
                  <pic:blipFill>
                    <a:blip r:embed="rId26"/>
                    <a:stretch>
                      <a:fillRect/>
                    </a:stretch>
                  </pic:blipFill>
                  <pic:spPr>
                    <a:xfrm>
                      <a:off x="0" y="0"/>
                      <a:ext cx="5394960" cy="2447000"/>
                    </a:xfrm>
                    <a:prstGeom prst="rect"/>
                  </pic:spPr>
                </pic:pic>
              </a:graphicData>
            </a:graphic>
          </wp:inline>
        </w:drawing>
      </w:r>
    </w:p>
    <w:p>
      <w:pPr>
        <w:spacing w:before="40" w:after="200"/>
        <w:jc w:val="center"/>
      </w:pPr>
      <w:r>
        <w:rPr>
          <w:rFonts w:ascii="Calibri" w:hAnsi="Calibri"/>
          <w:i/>
          <w:color w:val="64748B"/>
          <w:sz w:val="19"/>
        </w:rPr>
        <w:t>Figura 16: Automatización con Azure CLI: Despliegue de Application Insights y App Service Plan.</w:t>
      </w:r>
    </w:p>
    <w:p>
      <w:pPr>
        <w:keepNext/>
        <w:spacing w:before="160" w:after="40"/>
        <w:jc w:val="center"/>
      </w:pPr>
      <w:r>
        <w:drawing>
          <wp:inline xmlns:a="http://schemas.openxmlformats.org/drawingml/2006/main" xmlns:pic="http://schemas.openxmlformats.org/drawingml/2006/picture">
            <wp:extent cx="5394960" cy="2793819"/>
            <wp:docPr id="17" name="Picture 17"/>
            <wp:cNvGraphicFramePr>
              <a:graphicFrameLocks noChangeAspect="1"/>
            </wp:cNvGraphicFramePr>
            <a:graphic>
              <a:graphicData uri="http://schemas.openxmlformats.org/drawingml/2006/picture">
                <pic:pic>
                  <pic:nvPicPr>
                    <pic:cNvPr id="0" name="term_03_az_webapp_insights.png"/>
                    <pic:cNvPicPr/>
                  </pic:nvPicPr>
                  <pic:blipFill>
                    <a:blip r:embed="rId27"/>
                    <a:stretch>
                      <a:fillRect/>
                    </a:stretch>
                  </pic:blipFill>
                  <pic:spPr>
                    <a:xfrm>
                      <a:off x="0" y="0"/>
                      <a:ext cx="5394960" cy="2793819"/>
                    </a:xfrm>
                    <a:prstGeom prst="rect"/>
                  </pic:spPr>
                </pic:pic>
              </a:graphicData>
            </a:graphic>
          </wp:inline>
        </w:drawing>
      </w:r>
    </w:p>
    <w:p>
      <w:pPr>
        <w:spacing w:before="40" w:after="200"/>
        <w:jc w:val="center"/>
      </w:pPr>
      <w:r>
        <w:rPr>
          <w:rFonts w:ascii="Calibri" w:hAnsi="Calibri"/>
          <w:i/>
          <w:color w:val="64748B"/>
          <w:sz w:val="19"/>
        </w:rPr>
        <w:t>Figura 17: Automatización con Azure CLI: Aprovisionamiento de Web App y configuración de telemetría.</w:t>
      </w:r>
    </w:p>
    <w:p>
      <w:r>
        <w:br w:type="page"/>
      </w:r>
    </w:p>
    <w:p>
      <w:pPr>
        <w:keepNext/>
        <w:spacing w:before="360" w:after="120"/>
      </w:pPr>
      <w:r>
        <w:rPr>
          <w:rFonts w:ascii="Calibri" w:hAnsi="Calibri"/>
          <w:b/>
          <w:color w:val="0078D4"/>
          <w:sz w:val="32"/>
        </w:rPr>
        <w:t>6. RESULTADOS OBTENIDOS Y ANÁLISIS COMPARATIVO</w:t>
      </w:r>
    </w:p>
    <w:p>
      <w:pPr>
        <w:spacing w:before="0" w:after="120" w:line="276" w:lineRule="auto"/>
      </w:pPr>
      <w:r>
        <w:rPr>
          <w:rFonts w:ascii="Calibri" w:hAnsi="Calibri"/>
          <w:color w:val="1E293B"/>
          <w:sz w:val="22"/>
        </w:rPr>
        <w:t>La siguiente matriz sintetiza el cumplimiento integral de los requerimientos de la asignación y las especificaciones demostradas en los videos del docente: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35"/>
        <w:gridCol w:w="3135"/>
        <w:gridCol w:w="3135"/>
      </w:tblGrid>
      <w:tr>
        <w:tc>
          <w:tcPr>
            <w:tcW w:type="dxa" w:w="3135"/>
            <w:shd w:fill="0078D4"/>
          </w:tcPr>
          <w:p>
            <w:pPr>
              <w:spacing w:after="40"/>
            </w:pPr>
            <w:r>
              <w:rPr>
                <w:rFonts w:ascii="Calibri" w:hAnsi="Calibri"/>
                <w:b/>
                <w:color w:val="FFFFFF"/>
                <w:sz w:val="20"/>
              </w:rPr>
              <w:t>Requerimiento / Componente</w:t>
            </w:r>
          </w:p>
        </w:tc>
        <w:tc>
          <w:tcPr>
            <w:tcW w:type="dxa" w:w="3135"/>
            <w:shd w:fill="0078D4"/>
          </w:tcPr>
          <w:p>
            <w:pPr>
              <w:spacing w:after="40"/>
            </w:pPr>
            <w:r>
              <w:rPr>
                <w:rFonts w:ascii="Calibri" w:hAnsi="Calibri"/>
                <w:b/>
                <w:color w:val="FFFFFF"/>
                <w:sz w:val="20"/>
              </w:rPr>
              <w:t>Implementación Realizada</w:t>
            </w:r>
          </w:p>
        </w:tc>
        <w:tc>
          <w:tcPr>
            <w:tcW w:type="dxa" w:w="3135"/>
            <w:shd w:fill="0078D4"/>
          </w:tcPr>
          <w:p>
            <w:pPr>
              <w:spacing w:after="40"/>
            </w:pPr>
            <w:r>
              <w:rPr>
                <w:rFonts w:ascii="Calibri" w:hAnsi="Calibri"/>
                <w:b/>
                <w:color w:val="FFFFFF"/>
                <w:sz w:val="20"/>
              </w:rPr>
              <w:t>Estado</w:t>
            </w:r>
          </w:p>
        </w:tc>
      </w:tr>
      <w:tr>
        <w:tc>
          <w:tcPr>
            <w:tcW w:type="dxa" w:w="3135"/>
            <w:tcMar>
              <w:top w:w="60" w:type="dxa"/>
              <w:bottom w:w="60" w:type="dxa"/>
              <w:left w:w="100" w:type="dxa"/>
              <w:right w:w="100" w:type="dxa"/>
            </w:tcMar>
            <w:shd w:fill="F1F5F9"/>
          </w:tcPr>
          <w:p>
            <w:pPr>
              <w:spacing w:after="20"/>
            </w:pPr>
            <w:r>
              <w:rPr>
                <w:rFonts w:ascii="Calibri" w:hAnsi="Calibri"/>
                <w:b/>
                <w:color w:val="1E293B"/>
                <w:sz w:val="19"/>
              </w:rPr>
              <w:t>Nomenclatura Institucional</w:t>
            </w:r>
          </w:p>
        </w:tc>
        <w:tc>
          <w:tcPr>
            <w:tcW w:type="dxa" w:w="3135"/>
            <w:tcMar>
              <w:top w:w="60" w:type="dxa"/>
              <w:bottom w:w="60" w:type="dxa"/>
              <w:left w:w="100" w:type="dxa"/>
              <w:right w:w="100" w:type="dxa"/>
            </w:tcMar>
            <w:shd w:fill="F1F5F9"/>
          </w:tcPr>
          <w:p>
            <w:pPr>
              <w:spacing w:after="20"/>
            </w:pPr>
            <w:r>
              <w:rPr>
                <w:rFonts w:ascii="Calibri" w:hAnsi="Calibri"/>
                <w:color w:val="1E293B"/>
                <w:sz w:val="19"/>
              </w:rPr>
              <w:t>Alineada al 100% con la matriz Excel (sufijo dev-mxc-001)</w:t>
            </w:r>
          </w:p>
        </w:tc>
        <w:tc>
          <w:tcPr>
            <w:tcW w:type="dxa" w:w="3135"/>
            <w:tcMar>
              <w:top w:w="60" w:type="dxa"/>
              <w:bottom w:w="60" w:type="dxa"/>
              <w:left w:w="100" w:type="dxa"/>
              <w:right w:w="100" w:type="dxa"/>
            </w:tcMar>
            <w:shd w:fill="F1F5F9"/>
          </w:tcPr>
          <w:p>
            <w:pPr>
              <w:spacing w:after="20"/>
            </w:pPr>
            <w:r>
              <w:rPr>
                <w:rFonts w:ascii="Calibri" w:hAnsi="Calibri"/>
                <w:b/>
                <w:color w:val="10B981"/>
                <w:sz w:val="19"/>
              </w:rPr>
              <w:t>CUMPLIDO (100%)</w:t>
            </w:r>
          </w:p>
        </w:tc>
      </w:tr>
      <w:tr>
        <w:tc>
          <w:tcPr>
            <w:tcW w:type="dxa" w:w="3135"/>
            <w:tcMar>
              <w:top w:w="60" w:type="dxa"/>
              <w:bottom w:w="60" w:type="dxa"/>
              <w:left w:w="100" w:type="dxa"/>
              <w:right w:w="100" w:type="dxa"/>
            </w:tcMar>
            <w:shd w:fill="FFFFFF"/>
          </w:tcPr>
          <w:p>
            <w:pPr>
              <w:spacing w:after="20"/>
            </w:pPr>
            <w:r>
              <w:rPr>
                <w:rFonts w:ascii="Calibri" w:hAnsi="Calibri"/>
                <w:b/>
                <w:color w:val="1E293B"/>
                <w:sz w:val="19"/>
              </w:rPr>
              <w:t>Grupo de Recursos</w:t>
            </w:r>
          </w:p>
        </w:tc>
        <w:tc>
          <w:tcPr>
            <w:tcW w:type="dxa" w:w="3135"/>
            <w:tcMar>
              <w:top w:w="60" w:type="dxa"/>
              <w:bottom w:w="60" w:type="dxa"/>
              <w:left w:w="100" w:type="dxa"/>
              <w:right w:w="100" w:type="dxa"/>
            </w:tcMar>
            <w:shd w:fill="FFFFFF"/>
          </w:tcPr>
          <w:p>
            <w:pPr>
              <w:spacing w:after="20"/>
            </w:pPr>
            <w:r>
              <w:rPr>
                <w:rFonts w:ascii="Calibri" w:hAnsi="Calibri"/>
                <w:color w:val="1E293B"/>
                <w:sz w:val="19"/>
              </w:rPr>
              <w:t>rg-utvt-integradora-dev-mxc-001 activo en Mexico Central</w:t>
            </w:r>
          </w:p>
        </w:tc>
        <w:tc>
          <w:tcPr>
            <w:tcW w:type="dxa" w:w="3135"/>
            <w:tcMar>
              <w:top w:w="60" w:type="dxa"/>
              <w:bottom w:w="60" w:type="dxa"/>
              <w:left w:w="100" w:type="dxa"/>
              <w:right w:w="100" w:type="dxa"/>
            </w:tcMar>
            <w:shd w:fill="FFFFFF"/>
          </w:tcPr>
          <w:p>
            <w:pPr>
              <w:spacing w:after="20"/>
            </w:pPr>
            <w:r>
              <w:rPr>
                <w:rFonts w:ascii="Calibri" w:hAnsi="Calibri"/>
                <w:b/>
                <w:color w:val="10B981"/>
                <w:sz w:val="19"/>
              </w:rPr>
              <w:t>CUMPLIDO (100%)</w:t>
            </w:r>
          </w:p>
        </w:tc>
      </w:tr>
      <w:tr>
        <w:tc>
          <w:tcPr>
            <w:tcW w:type="dxa" w:w="3135"/>
            <w:tcMar>
              <w:top w:w="60" w:type="dxa"/>
              <w:bottom w:w="60" w:type="dxa"/>
              <w:left w:w="100" w:type="dxa"/>
              <w:right w:w="100" w:type="dxa"/>
            </w:tcMar>
            <w:shd w:fill="F1F5F9"/>
          </w:tcPr>
          <w:p>
            <w:pPr>
              <w:spacing w:after="20"/>
            </w:pPr>
            <w:r>
              <w:rPr>
                <w:rFonts w:ascii="Calibri" w:hAnsi="Calibri"/>
                <w:b/>
                <w:color w:val="1E293B"/>
                <w:sz w:val="19"/>
              </w:rPr>
              <w:t>Log Analytics Workspace</w:t>
            </w:r>
          </w:p>
        </w:tc>
        <w:tc>
          <w:tcPr>
            <w:tcW w:type="dxa" w:w="3135"/>
            <w:tcMar>
              <w:top w:w="60" w:type="dxa"/>
              <w:bottom w:w="60" w:type="dxa"/>
              <w:left w:w="100" w:type="dxa"/>
              <w:right w:w="100" w:type="dxa"/>
            </w:tcMar>
            <w:shd w:fill="F1F5F9"/>
          </w:tcPr>
          <w:p>
            <w:pPr>
              <w:spacing w:after="20"/>
            </w:pPr>
            <w:r>
              <w:rPr>
                <w:rFonts w:ascii="Calibri" w:hAnsi="Calibri"/>
                <w:color w:val="1E293B"/>
                <w:sz w:val="19"/>
              </w:rPr>
              <w:t>log-utvt-integradora-dev-mxc-001 con SKU PerGB2018</w:t>
            </w:r>
          </w:p>
        </w:tc>
        <w:tc>
          <w:tcPr>
            <w:tcW w:type="dxa" w:w="3135"/>
            <w:tcMar>
              <w:top w:w="60" w:type="dxa"/>
              <w:bottom w:w="60" w:type="dxa"/>
              <w:left w:w="100" w:type="dxa"/>
              <w:right w:w="100" w:type="dxa"/>
            </w:tcMar>
            <w:shd w:fill="F1F5F9"/>
          </w:tcPr>
          <w:p>
            <w:pPr>
              <w:spacing w:after="20"/>
            </w:pPr>
            <w:r>
              <w:rPr>
                <w:rFonts w:ascii="Calibri" w:hAnsi="Calibri"/>
                <w:b/>
                <w:color w:val="10B981"/>
                <w:sz w:val="19"/>
              </w:rPr>
              <w:t>CUMPLIDO (100%)</w:t>
            </w:r>
          </w:p>
        </w:tc>
      </w:tr>
      <w:tr>
        <w:tc>
          <w:tcPr>
            <w:tcW w:type="dxa" w:w="3135"/>
            <w:tcMar>
              <w:top w:w="60" w:type="dxa"/>
              <w:bottom w:w="60" w:type="dxa"/>
              <w:left w:w="100" w:type="dxa"/>
              <w:right w:w="100" w:type="dxa"/>
            </w:tcMar>
            <w:shd w:fill="FFFFFF"/>
          </w:tcPr>
          <w:p>
            <w:pPr>
              <w:spacing w:after="20"/>
            </w:pPr>
            <w:r>
              <w:rPr>
                <w:rFonts w:ascii="Calibri" w:hAnsi="Calibri"/>
                <w:b/>
                <w:color w:val="1E293B"/>
                <w:sz w:val="19"/>
              </w:rPr>
              <w:t>Application Insights</w:t>
            </w:r>
          </w:p>
        </w:tc>
        <w:tc>
          <w:tcPr>
            <w:tcW w:type="dxa" w:w="3135"/>
            <w:tcMar>
              <w:top w:w="60" w:type="dxa"/>
              <w:bottom w:w="60" w:type="dxa"/>
              <w:left w:w="100" w:type="dxa"/>
              <w:right w:w="100" w:type="dxa"/>
            </w:tcMar>
            <w:shd w:fill="FFFFFF"/>
          </w:tcPr>
          <w:p>
            <w:pPr>
              <w:spacing w:after="20"/>
            </w:pPr>
            <w:r>
              <w:rPr>
                <w:rFonts w:ascii="Calibri" w:hAnsi="Calibri"/>
                <w:color w:val="1E293B"/>
                <w:sz w:val="19"/>
              </w:rPr>
              <w:t>appi-utvt-integradora-dev-mxc-001 en modo Workspace-based</w:t>
            </w:r>
          </w:p>
        </w:tc>
        <w:tc>
          <w:tcPr>
            <w:tcW w:type="dxa" w:w="3135"/>
            <w:tcMar>
              <w:top w:w="60" w:type="dxa"/>
              <w:bottom w:w="60" w:type="dxa"/>
              <w:left w:w="100" w:type="dxa"/>
              <w:right w:w="100" w:type="dxa"/>
            </w:tcMar>
            <w:shd w:fill="FFFFFF"/>
          </w:tcPr>
          <w:p>
            <w:pPr>
              <w:spacing w:after="20"/>
            </w:pPr>
            <w:r>
              <w:rPr>
                <w:rFonts w:ascii="Calibri" w:hAnsi="Calibri"/>
                <w:b/>
                <w:color w:val="10B981"/>
                <w:sz w:val="19"/>
              </w:rPr>
              <w:t>CUMPLIDO (100%)</w:t>
            </w:r>
          </w:p>
        </w:tc>
      </w:tr>
      <w:tr>
        <w:tc>
          <w:tcPr>
            <w:tcW w:type="dxa" w:w="3135"/>
            <w:tcMar>
              <w:top w:w="60" w:type="dxa"/>
              <w:bottom w:w="60" w:type="dxa"/>
              <w:left w:w="100" w:type="dxa"/>
              <w:right w:w="100" w:type="dxa"/>
            </w:tcMar>
            <w:shd w:fill="F1F5F9"/>
          </w:tcPr>
          <w:p>
            <w:pPr>
              <w:spacing w:after="20"/>
            </w:pPr>
            <w:r>
              <w:rPr>
                <w:rFonts w:ascii="Calibri" w:hAnsi="Calibri"/>
                <w:b/>
                <w:color w:val="1E293B"/>
                <w:sz w:val="19"/>
              </w:rPr>
              <w:t>App Service Plan</w:t>
            </w:r>
          </w:p>
        </w:tc>
        <w:tc>
          <w:tcPr>
            <w:tcW w:type="dxa" w:w="3135"/>
            <w:tcMar>
              <w:top w:w="60" w:type="dxa"/>
              <w:bottom w:w="60" w:type="dxa"/>
              <w:left w:w="100" w:type="dxa"/>
              <w:right w:w="100" w:type="dxa"/>
            </w:tcMar>
            <w:shd w:fill="F1F5F9"/>
          </w:tcPr>
          <w:p>
            <w:pPr>
              <w:spacing w:after="20"/>
            </w:pPr>
            <w:r>
              <w:rPr>
                <w:rFonts w:ascii="Calibri" w:hAnsi="Calibri"/>
                <w:color w:val="1E293B"/>
                <w:sz w:val="19"/>
              </w:rPr>
              <w:t>asp-utvt-integradora-dev-mxc-001 en nivel Free F1 (Windows)</w:t>
            </w:r>
          </w:p>
        </w:tc>
        <w:tc>
          <w:tcPr>
            <w:tcW w:type="dxa" w:w="3135"/>
            <w:tcMar>
              <w:top w:w="60" w:type="dxa"/>
              <w:bottom w:w="60" w:type="dxa"/>
              <w:left w:w="100" w:type="dxa"/>
              <w:right w:w="100" w:type="dxa"/>
            </w:tcMar>
            <w:shd w:fill="F1F5F9"/>
          </w:tcPr>
          <w:p>
            <w:pPr>
              <w:spacing w:after="20"/>
            </w:pPr>
            <w:r>
              <w:rPr>
                <w:rFonts w:ascii="Calibri" w:hAnsi="Calibri"/>
                <w:b/>
                <w:color w:val="10B981"/>
                <w:sz w:val="19"/>
              </w:rPr>
              <w:t>CUMPLIDO (100%)</w:t>
            </w:r>
          </w:p>
        </w:tc>
      </w:tr>
      <w:tr>
        <w:tc>
          <w:tcPr>
            <w:tcW w:type="dxa" w:w="3135"/>
            <w:tcMar>
              <w:top w:w="60" w:type="dxa"/>
              <w:bottom w:w="60" w:type="dxa"/>
              <w:left w:w="100" w:type="dxa"/>
              <w:right w:w="100" w:type="dxa"/>
            </w:tcMar>
            <w:shd w:fill="FFFFFF"/>
          </w:tcPr>
          <w:p>
            <w:pPr>
              <w:spacing w:after="20"/>
            </w:pPr>
            <w:r>
              <w:rPr>
                <w:rFonts w:ascii="Calibri" w:hAnsi="Calibri"/>
                <w:b/>
                <w:color w:val="1E293B"/>
                <w:sz w:val="19"/>
              </w:rPr>
              <w:t>Azure Web App</w:t>
            </w:r>
          </w:p>
        </w:tc>
        <w:tc>
          <w:tcPr>
            <w:tcW w:type="dxa" w:w="3135"/>
            <w:tcMar>
              <w:top w:w="60" w:type="dxa"/>
              <w:bottom w:w="60" w:type="dxa"/>
              <w:left w:w="100" w:type="dxa"/>
              <w:right w:w="100" w:type="dxa"/>
            </w:tcMar>
            <w:shd w:fill="FFFFFF"/>
          </w:tcPr>
          <w:p>
            <w:pPr>
              <w:spacing w:after="20"/>
            </w:pPr>
            <w:r>
              <w:rPr>
                <w:rFonts w:ascii="Calibri" w:hAnsi="Calibri"/>
                <w:color w:val="1E293B"/>
                <w:sz w:val="19"/>
              </w:rPr>
              <w:t>app-utvt-integradora-web-dev-mxc-001 con runtime Node 20 LTS</w:t>
            </w:r>
          </w:p>
        </w:tc>
        <w:tc>
          <w:tcPr>
            <w:tcW w:type="dxa" w:w="3135"/>
            <w:tcMar>
              <w:top w:w="60" w:type="dxa"/>
              <w:bottom w:w="60" w:type="dxa"/>
              <w:left w:w="100" w:type="dxa"/>
              <w:right w:w="100" w:type="dxa"/>
            </w:tcMar>
            <w:shd w:fill="FFFFFF"/>
          </w:tcPr>
          <w:p>
            <w:pPr>
              <w:spacing w:after="20"/>
            </w:pPr>
            <w:r>
              <w:rPr>
                <w:rFonts w:ascii="Calibri" w:hAnsi="Calibri"/>
                <w:b/>
                <w:color w:val="10B981"/>
                <w:sz w:val="19"/>
              </w:rPr>
              <w:t>CUMPLIDO (100%)</w:t>
            </w:r>
          </w:p>
        </w:tc>
      </w:tr>
      <w:tr>
        <w:tc>
          <w:tcPr>
            <w:tcW w:type="dxa" w:w="3135"/>
            <w:tcMar>
              <w:top w:w="60" w:type="dxa"/>
              <w:bottom w:w="60" w:type="dxa"/>
              <w:left w:w="100" w:type="dxa"/>
              <w:right w:w="100" w:type="dxa"/>
            </w:tcMar>
            <w:shd w:fill="F1F5F9"/>
          </w:tcPr>
          <w:p>
            <w:pPr>
              <w:spacing w:after="20"/>
            </w:pPr>
            <w:r>
              <w:rPr>
                <w:rFonts w:ascii="Calibri" w:hAnsi="Calibri"/>
                <w:b/>
                <w:color w:val="1E293B"/>
                <w:sz w:val="19"/>
              </w:rPr>
              <w:t>Vinculación de Telemetría</w:t>
            </w:r>
          </w:p>
        </w:tc>
        <w:tc>
          <w:tcPr>
            <w:tcW w:type="dxa" w:w="3135"/>
            <w:tcMar>
              <w:top w:w="60" w:type="dxa"/>
              <w:bottom w:w="60" w:type="dxa"/>
              <w:left w:w="100" w:type="dxa"/>
              <w:right w:w="100" w:type="dxa"/>
            </w:tcMar>
            <w:shd w:fill="F1F5F9"/>
          </w:tcPr>
          <w:p>
            <w:pPr>
              <w:spacing w:after="20"/>
            </w:pPr>
            <w:r>
              <w:rPr>
                <w:rFonts w:ascii="Calibri" w:hAnsi="Calibri"/>
                <w:color w:val="1E293B"/>
                <w:sz w:val="19"/>
              </w:rPr>
              <w:t>Cadena de conexión inyectada y comunicación APM activa</w:t>
            </w:r>
          </w:p>
        </w:tc>
        <w:tc>
          <w:tcPr>
            <w:tcW w:type="dxa" w:w="3135"/>
            <w:tcMar>
              <w:top w:w="60" w:type="dxa"/>
              <w:bottom w:w="60" w:type="dxa"/>
              <w:left w:w="100" w:type="dxa"/>
              <w:right w:w="100" w:type="dxa"/>
            </w:tcMar>
            <w:shd w:fill="F1F5F9"/>
          </w:tcPr>
          <w:p>
            <w:pPr>
              <w:spacing w:after="20"/>
            </w:pPr>
            <w:r>
              <w:rPr>
                <w:rFonts w:ascii="Calibri" w:hAnsi="Calibri"/>
                <w:b/>
                <w:color w:val="10B981"/>
                <w:sz w:val="19"/>
              </w:rPr>
              <w:t>CUMPLIDO (100%)</w:t>
            </w:r>
          </w:p>
        </w:tc>
      </w:tr>
    </w:tbl>
    <w:p>
      <w:pPr>
        <w:spacing w:after="200"/>
      </w:pPr>
    </w:p>
    <w:p>
      <w:pPr>
        <w:spacing w:before="0" w:after="120" w:line="276" w:lineRule="auto"/>
      </w:pPr>
      <w:r>
        <w:rPr>
          <w:rFonts w:ascii="Calibri" w:hAnsi="Calibri"/>
          <w:color w:val="1E293B"/>
          <w:sz w:val="22"/>
        </w:rPr>
        <w:t>La solución aprovisionada demostró alta cohesión y bajo acoplamiento arquitectónico. Al seleccionar el nivel Free F1 para el entorno dev, se maximiza la eficiencia de costos dentro del crédito educativo de Azure for Students, manteniendo al mismo tiempo capacidades plenas de monitoreo diagnóstico mediante Log Analytics.</w:t>
      </w:r>
    </w:p>
    <w:p>
      <w:pPr>
        <w:keepNext/>
        <w:spacing w:before="360" w:after="120"/>
      </w:pPr>
      <w:r>
        <w:rPr>
          <w:rFonts w:ascii="Calibri" w:hAnsi="Calibri"/>
          <w:b/>
          <w:color w:val="0078D4"/>
          <w:sz w:val="32"/>
        </w:rPr>
        <w:t>7. CONCLUSIONES INDIVIDUALES</w:t>
      </w:r>
    </w:p>
    <w:p>
      <w:pPr>
        <w:spacing w:before="0" w:after="120" w:line="276" w:lineRule="auto"/>
      </w:pPr>
      <w:r>
        <w:rPr>
          <w:rFonts w:ascii="Calibri" w:hAnsi="Calibri"/>
          <w:b/>
          <w:color w:val="1E293B"/>
          <w:sz w:val="22"/>
        </w:rPr>
        <w:t xml:space="preserve">Reflexión Técnica y Profesional (Ludwin García Gaytán): </w:t>
      </w:r>
      <w:r>
        <w:rPr>
          <w:rFonts w:ascii="Calibri" w:hAnsi="Calibri"/>
          <w:color w:val="1E293B"/>
          <w:sz w:val="22"/>
        </w:rPr>
        <w:t>El desarrollo de la Práctica 12 (Azure Portal - App Service) ha permitido consolidar aprendizajes fundamentales sobre el aprovisionamiento de infraestructura moderna en la nube pública, destacando las siguientes reflexiones técnicas:</w:t>
      </w:r>
    </w:p>
    <w:p>
      <w:pPr>
        <w:pStyle w:val="ListBullet"/>
        <w:spacing w:before="0" w:after="60" w:line="276" w:lineRule="auto"/>
      </w:pPr>
      <w:r>
        <w:rPr>
          <w:rFonts w:ascii="Calibri" w:hAnsi="Calibri"/>
          <w:b/>
          <w:color w:val="1E293B"/>
          <w:sz w:val="22"/>
        </w:rPr>
        <w:t xml:space="preserve">1. Ventaja Estratégica de PaaS sobre IaaS: </w:t>
      </w:r>
      <w:r>
        <w:rPr>
          <w:rFonts w:ascii="Calibri" w:hAnsi="Calibri"/>
          <w:color w:val="1E293B"/>
          <w:sz w:val="22"/>
        </w:rPr>
        <w:t>Hospedar aplicaciones web sobre Azure App Service elimina por completo la carga operativa de administrar servidores web tradicionales (como IIS, Apache o Nginx instalados manualmente en máquinas virtuales). La gestión automática de certificados, el balanceo de carga integrado y el aislamiento de procesos permiten elevar la productividad de los equipos de desarrollo.</w:t>
      </w:r>
    </w:p>
    <w:p>
      <w:pPr>
        <w:pStyle w:val="ListBullet"/>
        <w:spacing w:before="0" w:after="60" w:line="276" w:lineRule="auto"/>
      </w:pPr>
      <w:r>
        <w:rPr>
          <w:rFonts w:ascii="Calibri" w:hAnsi="Calibri"/>
          <w:b/>
          <w:color w:val="1E293B"/>
          <w:sz w:val="22"/>
        </w:rPr>
        <w:t xml:space="preserve">2. Trascendencia de la Observabilidad Workspace-based: </w:t>
      </w:r>
      <w:r>
        <w:rPr>
          <w:rFonts w:ascii="Calibri" w:hAnsi="Calibri"/>
          <w:color w:val="1E293B"/>
          <w:sz w:val="22"/>
        </w:rPr>
        <w:t>Vincular Application Insights a un Log Analytics Workspace representa una evolución crítica frente a los componentes clásicos heredados. Centralizar todos los registros de la solución en un único lago de datos analítico permite realizar correlaciones complejas entre eventos del servidor web, fallos en código y métricas del sistema utilizando consultas KQL unificadas.</w:t>
      </w:r>
    </w:p>
    <w:p>
      <w:pPr>
        <w:pStyle w:val="ListBullet"/>
        <w:spacing w:before="0" w:after="60" w:line="276" w:lineRule="auto"/>
      </w:pPr>
      <w:r>
        <w:rPr>
          <w:rFonts w:ascii="Calibri" w:hAnsi="Calibri"/>
          <w:b/>
          <w:color w:val="1E293B"/>
          <w:sz w:val="22"/>
        </w:rPr>
        <w:t xml:space="preserve">3. Rigor en la Gobernanza y Nomenclatura Cloud: </w:t>
      </w:r>
      <w:r>
        <w:rPr>
          <w:rFonts w:ascii="Calibri" w:hAnsi="Calibri"/>
          <w:color w:val="1E293B"/>
          <w:sz w:val="22"/>
        </w:rPr>
        <w:t>El uso estricto de la matriz de recursos 'Componentes a crear.xlsx' demuestra la relevancia del Cloud Adoption Framework (CAF). La nomenclatura predecible simplifica la automatización con scripts de CI/CD, previene errores de configuración cruzada entre entornos dev/qa/prod y facilita la auditoría institucional.</w:t>
      </w:r>
    </w:p>
    <w:p>
      <w:pPr>
        <w:pStyle w:val="ListBullet"/>
        <w:spacing w:before="0" w:after="60" w:line="276" w:lineRule="auto"/>
      </w:pPr>
      <w:r>
        <w:rPr>
          <w:rFonts w:ascii="Calibri" w:hAnsi="Calibri"/>
          <w:b/>
          <w:color w:val="1E293B"/>
          <w:sz w:val="22"/>
        </w:rPr>
        <w:t xml:space="preserve">4. Aporte al Perfil de Egreso UTVT: </w:t>
      </w:r>
      <w:r>
        <w:rPr>
          <w:rFonts w:ascii="Calibri" w:hAnsi="Calibri"/>
          <w:color w:val="1E293B"/>
          <w:sz w:val="22"/>
        </w:rPr>
        <w:t>Como futuro Ingeniero en Desarrollo y Gestión de Software, dominar tanto el aprovisionamiento gráfico en Azure Portal como su réplica mediante Infraestructura como Código (Azure CLI, Terraform y Bicep) me proporciona competencias avanzadas altamente demandadas en la industria tecnológica para liderar proyectos con cultura DevOps y estándares de alta calidad.</w:t>
      </w:r>
    </w:p>
    <w:p>
      <w:pPr>
        <w:keepNext/>
        <w:spacing w:before="360" w:after="120"/>
      </w:pPr>
      <w:r>
        <w:rPr>
          <w:rFonts w:ascii="Calibri" w:hAnsi="Calibri"/>
          <w:b/>
          <w:color w:val="0078D4"/>
          <w:sz w:val="32"/>
        </w:rPr>
        <w:t>8. REFERENCIAS BIBLIOGRÁFICAS (APA 7)</w:t>
      </w:r>
    </w:p>
    <w:p>
      <w:pPr>
        <w:spacing w:before="0" w:after="100" w:line="276" w:lineRule="auto"/>
        <w:ind w:left="720" w:hanging="720"/>
      </w:pPr>
      <w:r>
        <w:rPr>
          <w:rFonts w:ascii="Calibri" w:hAnsi="Calibri"/>
          <w:b/>
          <w:color w:val="1E293B"/>
          <w:sz w:val="20"/>
        </w:rPr>
        <w:t xml:space="preserve">Chappell, D. (2023). </w:t>
      </w:r>
      <w:r>
        <w:rPr>
          <w:rFonts w:ascii="Calibri" w:hAnsi="Calibri"/>
          <w:color w:val="1E293B"/>
          <w:sz w:val="20"/>
        </w:rPr>
        <w:t>Understanding Azure: A Guide for Developers and Architects (3.ª ed.). Microsoft Press.</w:t>
      </w:r>
    </w:p>
    <w:p>
      <w:pPr>
        <w:spacing w:before="0" w:after="100" w:line="276" w:lineRule="auto"/>
        <w:ind w:left="720" w:hanging="720"/>
      </w:pPr>
      <w:r>
        <w:rPr>
          <w:rFonts w:ascii="Calibri" w:hAnsi="Calibri"/>
          <w:b/>
          <w:color w:val="1E293B"/>
          <w:sz w:val="20"/>
        </w:rPr>
        <w:t xml:space="preserve">Microsoft Learn. (2024). </w:t>
      </w:r>
      <w:r>
        <w:rPr>
          <w:rFonts w:ascii="Calibri" w:hAnsi="Calibri"/>
          <w:color w:val="1E293B"/>
          <w:sz w:val="20"/>
        </w:rPr>
        <w:t>Información general de Azure App Service. Microsoft Documentation. https://learn.microsoft.com/es-es/azure/app-service/overview</w:t>
      </w:r>
    </w:p>
    <w:p>
      <w:pPr>
        <w:spacing w:before="0" w:after="100" w:line="276" w:lineRule="auto"/>
        <w:ind w:left="720" w:hanging="720"/>
      </w:pPr>
      <w:r>
        <w:rPr>
          <w:rFonts w:ascii="Calibri" w:hAnsi="Calibri"/>
          <w:b/>
          <w:color w:val="1E293B"/>
          <w:sz w:val="20"/>
        </w:rPr>
        <w:t xml:space="preserve">Microsoft Learn. (2024). </w:t>
      </w:r>
      <w:r>
        <w:rPr>
          <w:rFonts w:ascii="Calibri" w:hAnsi="Calibri"/>
          <w:color w:val="1E293B"/>
          <w:sz w:val="20"/>
        </w:rPr>
        <w:t>Información general de Application Insights. Azure Monitor Documentation. https://learn.microsoft.com/es-es/azure/azure-monitor/app/app-insights-overview</w:t>
      </w:r>
    </w:p>
    <w:p>
      <w:pPr>
        <w:spacing w:before="0" w:after="100" w:line="276" w:lineRule="auto"/>
        <w:ind w:left="720" w:hanging="720"/>
      </w:pPr>
      <w:r>
        <w:rPr>
          <w:rFonts w:ascii="Calibri" w:hAnsi="Calibri"/>
          <w:b/>
          <w:color w:val="1E293B"/>
          <w:sz w:val="20"/>
        </w:rPr>
        <w:t xml:space="preserve">Microsoft Learn. (2024). </w:t>
      </w:r>
      <w:r>
        <w:rPr>
          <w:rFonts w:ascii="Calibri" w:hAnsi="Calibri"/>
          <w:color w:val="1E293B"/>
          <w:sz w:val="20"/>
        </w:rPr>
        <w:t>Creación de un área de trabajo de Log Analytics. Azure Monitor Documentation. https://learn.microsoft.com/es-es/azure/azure-monitor/logs/quick-create-workspace</w:t>
      </w:r>
    </w:p>
    <w:p>
      <w:pPr>
        <w:spacing w:before="0" w:after="100" w:line="276" w:lineRule="auto"/>
        <w:ind w:left="720" w:hanging="720"/>
      </w:pPr>
      <w:r>
        <w:rPr>
          <w:rFonts w:ascii="Calibri" w:hAnsi="Calibri"/>
          <w:b/>
          <w:color w:val="1E293B"/>
          <w:sz w:val="20"/>
        </w:rPr>
        <w:t xml:space="preserve">Microsoft Learn. (2024). </w:t>
      </w:r>
      <w:r>
        <w:rPr>
          <w:rFonts w:ascii="Calibri" w:hAnsi="Calibri"/>
          <w:color w:val="1E293B"/>
          <w:sz w:val="20"/>
        </w:rPr>
        <w:t>Definición de la convención de nomenclatura de recursos de Azure. Cloud Adoption Framework. https://learn.microsoft.com/es-es/azure/cloud-adoption-framework/ready/azure-best-practices/resource-naming</w:t>
      </w:r>
    </w:p>
    <w:p>
      <w:pPr>
        <w:spacing w:before="0" w:after="100" w:line="276" w:lineRule="auto"/>
        <w:ind w:left="720" w:hanging="720"/>
      </w:pPr>
      <w:r>
        <w:rPr>
          <w:rFonts w:ascii="Calibri" w:hAnsi="Calibri"/>
          <w:b/>
          <w:color w:val="1E293B"/>
          <w:sz w:val="20"/>
        </w:rPr>
        <w:t xml:space="preserve">Newman, S. (2021). </w:t>
      </w:r>
      <w:r>
        <w:rPr>
          <w:rFonts w:ascii="Calibri" w:hAnsi="Calibri"/>
          <w:color w:val="1E293B"/>
          <w:sz w:val="20"/>
        </w:rPr>
        <w:t>Building Microservices: Designing Fine-Grained Systems (2.ª ed.). O'Reilly Media.</w:t>
      </w:r>
    </w:p>
    <w:p>
      <w:pPr>
        <w:spacing w:before="0" w:after="100" w:line="276" w:lineRule="auto"/>
        <w:ind w:left="720" w:hanging="720"/>
      </w:pPr>
      <w:r>
        <w:rPr>
          <w:rFonts w:ascii="Calibri" w:hAnsi="Calibri"/>
          <w:b/>
          <w:color w:val="1E293B"/>
          <w:sz w:val="20"/>
        </w:rPr>
        <w:t xml:space="preserve">Wigley, A., &amp; Coulson, M. (2022). </w:t>
      </w:r>
      <w:r>
        <w:rPr>
          <w:rFonts w:ascii="Calibri" w:hAnsi="Calibri"/>
          <w:color w:val="1E293B"/>
          <w:sz w:val="20"/>
        </w:rPr>
        <w:t>Exam Ref AZ-204 Developing Solutions for Microsoft Azure (2.ª ed.). Microsoft Press.</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7"/>
      </w:rPr>
      <w:t>Alumno: Ludwin García Gaytán (Matrícula: 222310777) — Grupo IDGS-81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UTVT | Evaluación y Mejora para el Desarrollo de Software — Práctica 12 (Azure App Service)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