
<file path=[Content_Types].xml><?xml version="1.0" encoding="utf-8"?>
<Types xmlns="http://schemas.openxmlformats.org/package/2006/content-types">
  <Default Extension="rels" ContentType="application/vnd.openxmlformats-package.relationships+xml"/>
  <Default Extension="xml" ContentType="application/xml"/>
  <Default Extension="emf" ContentType="image/x-emf"/>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wpc="http://schemas.microsoft.com/office/word/2010/wordprocessingCanvas" xmlns:mc="http://schemas.openxmlformats.org/markup-compatibility/2006" xmlns:o="urn:schemas-microsoft-com:office:office" xmlns:m="http://schemas.openxmlformats.org/officeDocument/2006/math" xmlns:v="urn:schemas-microsoft-com:vml" xmlns:wp14="http://schemas.microsoft.com/office/word/2010/wordprocessingDrawing" xmlns:w10="urn:schemas-microsoft-com:office:word"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A44674A" w14:textId="77777777" w:rsidR="00836859" w:rsidRPr="003C344E" w:rsidRDefault="00836859" w:rsidP="00836859">
      <w:pPr>
        <w:tabs>
          <w:tab w:val="center" w:pos="4419"/>
          <w:tab w:val="right" w:pos="8838"/>
        </w:tabs>
        <w:spacing w:after="0" w:line="240" w:lineRule="auto"/>
        <w:ind w:left="4419" w:hanging="4419"/>
        <w:rPr>
          <w:rFonts w:eastAsia="Times New Roman"/>
          <w:lang w:eastAsia="es-MX"/>
        </w:rPr>
      </w:pPr>
      <w:r>
        <w:rPr>
          <w:noProof/>
          <w:lang w:eastAsia="es-MX"/>
        </w:rPr>
        <w:drawing>
          <wp:anchor distT="0" distB="0" distL="114300" distR="114300" simplePos="0" relativeHeight="251673600" behindDoc="1" locked="0" layoutInCell="1" allowOverlap="1" wp14:anchorId="7E7007AF" wp14:editId="2AE3BF62">
            <wp:simplePos x="0" y="0"/>
            <wp:positionH relativeFrom="column">
              <wp:posOffset>5054871</wp:posOffset>
            </wp:positionH>
            <wp:positionV relativeFrom="paragraph">
              <wp:posOffset>-116660</wp:posOffset>
            </wp:positionV>
            <wp:extent cx="1768649" cy="424543"/>
            <wp:effectExtent l="0" t="0" r="3175" b="0"/>
            <wp:wrapNone/>
            <wp:docPr id="1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8"/>
                    <pic:cNvPicPr>
                      <a:picLocks noChangeAspect="1" noChangeArrowheads="1"/>
                    </pic:cNvPicPr>
                  </pic:nvPicPr>
                  <pic:blipFill>
                    <a:blip r:embed="rId101">
                      <a:extLst>
                        <a:ext uri="{28A0092B-C50C-407E-A947-70E740481C1C}">
                          <a14:useLocalDpi xmlns:a14="http://schemas.microsoft.com/office/drawing/2010/main" val="0"/>
                        </a:ext>
                      </a:extLst>
                    </a:blip>
                    <a:srcRect/>
                    <a:stretch>
                      <a:fillRect/>
                    </a:stretch>
                  </pic:blipFill>
                  <pic:spPr bwMode="auto">
                    <a:xfrm>
                      <a:off x="0" y="0"/>
                      <a:ext cx="1789785" cy="429616"/>
                    </a:xfrm>
                    <a:prstGeom prst="rect">
                      <a:avLst/>
                    </a:prstGeom>
                    <a:noFill/>
                    <a:ln>
                      <a:noFill/>
                    </a:ln>
                  </pic:spPr>
                </pic:pic>
              </a:graphicData>
            </a:graphic>
            <wp14:sizeRelH relativeFrom="page">
              <wp14:pctWidth>0</wp14:pctWidth>
            </wp14:sizeRelH>
            <wp14:sizeRelV relativeFrom="page">
              <wp14:pctHeight>0</wp14:pctHeight>
            </wp14:sizeRelV>
          </wp:anchor>
        </w:drawing>
        <w:drawing>
          <wp:anchor distT="0" distB="0" distL="114300" distR="114300" simplePos="0" relativeHeight="251678720" behindDoc="0" locked="0" layoutInCell="1" allowOverlap="1" wp14:anchorId="7E31E159" wp14:editId="5A9F0FDD">
            <wp:simplePos x="0" y="0"/>
            <wp:positionH relativeFrom="column">
              <wp:posOffset>221615</wp:posOffset>
            </wp:positionH>
            <wp:positionV relativeFrom="paragraph">
              <wp:posOffset>-116659</wp:posOffset>
            </wp:positionV>
            <wp:extent cx="1004160" cy="483870"/>
            <wp:effectExtent l="0" t="0" r="5715" b="0"/>
            <wp:wrapNone/>
            <wp:docPr id="19"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0"/>
                    <pic:cNvPicPr>
                      <a:picLocks noChangeAspect="1" noChangeArrowheads="1"/>
                    </pic:cNvPicPr>
                  </pic:nvPicPr>
                  <pic:blipFill>
                    <a:blip r:embed="rId102" cstate="print">
                      <a:extLst>
                        <a:ext uri="{28A0092B-C50C-407E-A947-70E740481C1C}">
                          <a14:useLocalDpi xmlns:a14="http://schemas.microsoft.com/office/drawing/2010/main" val="0"/>
                        </a:ext>
                      </a:extLst>
                    </a:blip>
                    <a:srcRect/>
                    <a:stretch>
                      <a:fillRect/>
                    </a:stretch>
                  </pic:blipFill>
                  <pic:spPr bwMode="auto">
                    <a:xfrm>
                      <a:off x="0" y="0"/>
                      <a:ext cx="1012371" cy="487827"/>
                    </a:xfrm>
                    <a:prstGeom prst="rect">
                      <a:avLst/>
                    </a:prstGeom>
                    <a:noFill/>
                    <a:ln>
                      <a:noFill/>
                    </a:ln>
                  </pic:spPr>
                </pic:pic>
              </a:graphicData>
            </a:graphic>
            <wp14:sizeRelH relativeFrom="page">
              <wp14:pctWidth>0</wp14:pctWidth>
            </wp14:sizeRelH>
            <wp14:sizeRelV relativeFrom="page">
              <wp14:pctHeight>0</wp14:pctHeight>
            </wp14:sizeRelV>
          </wp:anchor>
        </w:drawing>
        <w:drawing>
          <wp:anchor distT="0" distB="0" distL="114300" distR="114300" simplePos="0" relativeHeight="251679744" behindDoc="0" locked="0" layoutInCell="1" allowOverlap="1" wp14:anchorId="233066EE" wp14:editId="12E9838B">
            <wp:simplePos x="0" y="0"/>
            <wp:positionH relativeFrom="column">
              <wp:posOffset>4633595</wp:posOffset>
            </wp:positionH>
            <wp:positionV relativeFrom="paragraph">
              <wp:posOffset>-115570</wp:posOffset>
            </wp:positionV>
            <wp:extent cx="11430" cy="483870"/>
            <wp:effectExtent l="0" t="0" r="0" b="0"/>
            <wp:wrapNone/>
            <wp:docPr id="17"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03">
                      <a:extLst>
                        <a:ext uri="{28A0092B-C50C-407E-A947-70E740481C1C}">
                          <a14:useLocalDpi xmlns:a14="http://schemas.microsoft.com/office/drawing/2010/main" val="0"/>
                        </a:ext>
                      </a:extLst>
                    </a:blip>
                    <a:srcRect/>
                    <a:stretch>
                      <a:fillRect/>
                    </a:stretch>
                  </pic:blipFill>
                  <pic:spPr bwMode="auto">
                    <a:xfrm>
                      <a:off x="0" y="0"/>
                      <a:ext cx="11430" cy="48387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D3B5B45" w14:textId="77777777" w:rsidR="00836859" w:rsidRPr="003C344E" w:rsidRDefault="00836859" w:rsidP="00836859">
      <w:pPr>
        <w:tabs>
          <w:tab w:val="center" w:pos="4419"/>
          <w:tab w:val="right" w:pos="8838"/>
        </w:tabs>
        <w:spacing w:after="0" w:line="240" w:lineRule="auto"/>
        <w:ind w:left="4419" w:hanging="4419"/>
        <w:rPr>
          <w:rFonts w:eastAsia="Times New Roman"/>
          <w:lang w:eastAsia="es-MX"/>
        </w:rPr>
      </w:pPr>
    </w:p>
    <w:p w14:paraId="19295AA8" w14:textId="77777777" w:rsidR="00836859" w:rsidRPr="003C344E" w:rsidRDefault="00836859" w:rsidP="00836859">
      <w:pPr>
        <w:tabs>
          <w:tab w:val="center" w:pos="4419"/>
          <w:tab w:val="right" w:pos="8838"/>
        </w:tabs>
        <w:spacing w:after="0" w:line="240" w:lineRule="auto"/>
        <w:ind w:left="4419" w:hanging="4419"/>
        <w:rPr>
          <w:rFonts w:eastAsia="Times New Roman"/>
          <w:lang w:eastAsia="es-MX"/>
        </w:rPr>
      </w:pPr>
    </w:p>
    <w:p w14:paraId="6287AAC8" w14:textId="77777777" w:rsidR="00836859" w:rsidRPr="003C344E" w:rsidRDefault="00836859" w:rsidP="00836859">
      <w:pPr>
        <w:tabs>
          <w:tab w:val="center" w:pos="4419"/>
          <w:tab w:val="right" w:pos="8838"/>
        </w:tabs>
        <w:spacing w:after="0" w:line="240" w:lineRule="auto"/>
        <w:ind w:right="-284"/>
        <w:jc w:val="center"/>
        <w:rPr>
          <w:rFonts w:cs="Arial"/>
          <w:sz w:val="28"/>
          <w:szCs w:val="28"/>
        </w:rPr>
      </w:pPr>
      <w:r>
        <w:rPr>
          <w:noProof/>
          <w:lang w:eastAsia="es-MX"/>
        </w:rPr>
        <mc:AlternateContent>
          <mc:Choice Requires="wps">
            <w:drawing>
              <wp:anchor distT="4294967294" distB="4294967294" distL="114300" distR="114300" simplePos="0" relativeHeight="251676672" behindDoc="0" locked="0" layoutInCell="1" allowOverlap="1" wp14:anchorId="23681F20" wp14:editId="6C7EC7DE">
                <wp:simplePos x="0" y="0"/>
                <wp:positionH relativeFrom="column">
                  <wp:posOffset>1361440</wp:posOffset>
                </wp:positionH>
                <wp:positionV relativeFrom="paragraph">
                  <wp:posOffset>260984</wp:posOffset>
                </wp:positionV>
                <wp:extent cx="4044950" cy="0"/>
                <wp:effectExtent l="38100" t="38100" r="50800" b="76200"/>
                <wp:wrapNone/>
                <wp:docPr id="13" name="13 Conector recto"/>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044950" cy="0"/>
                        </a:xfrm>
                        <a:prstGeom prst="line">
                          <a:avLst/>
                        </a:prstGeom>
                        <a:noFill/>
                        <a:ln w="19050" cap="flat" cmpd="sng" algn="ctr">
                          <a:solidFill>
                            <a:srgbClr val="9BBB59"/>
                          </a:solidFill>
                          <a:prstDash val="solid"/>
                        </a:ln>
                        <a:effectLst>
                          <a:outerShdw blurRad="40000" dist="20000" dir="5400000" rotWithShape="0">
                            <a:srgbClr val="000000">
                              <a:alpha val="38000"/>
                            </a:srgbClr>
                          </a:outerShdw>
                        </a:effectLst>
                      </wps:spPr>
                      <wps:bodyPr/>
                    </wps:wsp>
                  </a:graphicData>
                </a:graphic>
                <wp14:sizeRelH relativeFrom="margin">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03EAA145" id="13 Conector recto" o:spid="_x0000_s1026" style="position:absolute;z-index:251676672;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margin;mso-height-relative:page" from="107.2pt,20.55pt" to="425.7pt,20.5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9Ktt2DAIAABYEAAAOAAAAZHJzL2Uyb0RvYy54bWysU8Fu2zAMvQ/YPwi6L3aaZGiMJgWSoLsU W7Fu2JmR5ViYLAmUEid/P1JO0na9DfNBNkXy8T2Svrs/dlYcNEbj3UKOR6UU2ilfG7dbyJ8/Hj7d ShETuBqsd3ohTzrK++XHD3d9qPSNb72tNQoCcbHqw0K2KYWqKKJqdQdx5IN25Gw8dpDIxF1RI/SE 3tnipiw/F73HOqBXOka63QxOucz4TaNV+tY0USdhF5K4pXxiPrd8Fss7qHYIoTXqTAP+gUUHxlHR K9QGEog9mndQnVHoo2/SSPmu8E1jlM4aSM24/EvNcwtBZy3UnBiubYr/D1Z9PTyhMDXNbiKFg45m NJ6INQ1LJY8C+cVd6kOsKHjtnpB1qqN7Do9e/Y7kK9442YhhCDs22HE4CRXH3PXTtev6mISiy2k5 nc5nNBx18RVQXRIDxvRF+07wx0Ja47ghUMHhMSYuDdUlhK+dfzDW5qFaJ3rSMi8zNNBuNRYSVekC qY1uJwXYHS2tSpgho7em5nQGirjbri2KA9DizFer1WzOXaByb8K49gZiO8Rl1znMOobReQWJKht+ nzQ+t3UvtnaP34FoTEt6pKgNi6N9Hgzaz1n2kAt9+mVSm1eBW/eOHCdRGt+DDS0MVCa3fHlmPGjJ 7K8csvWKXp7hMDYe4NbXpyfkfLZo+XL8+Ufh7X5t56iX33n5BwAA//8DAFBLAwQUAAYACAAAACEA vKgM6d8AAAAJAQAADwAAAGRycy9kb3ducmV2LnhtbEyPwU7DMAyG70i8Q2QkLhVLO5WpK02nMYkT mzQGl928xrQVjVM16da9PUEc4Ojfn35/LlaT6cSZBtdaVpDMYhDEldUt1wo+3l8eMhDOI2vsLJOC KzlYlbc3BebaXviNzgdfi1DCLkcFjfd9LqWrGjLoZrYnDrtPOxj0YRxqqQe8hHLTyXkcL6TBlsOF BnvaNFR9HUajwG+Xuz0uouz1+Wi36+tm3O2jSKn7u2n9BMLT5P9g+NEP6lAGp5MdWTvRKZgnaRpQ BWmSgAhA9piE4PQbyLKQ/z8ovwEAAP//AwBQSwECLQAUAAYACAAAACEAtoM4kv4AAADhAQAAEwAA AAAAAAAAAAAAAAAAAAAAW0NvbnRlbnRfVHlwZXNdLnhtbFBLAQItABQABgAIAAAAIQA4/SH/1gAA AJQBAAALAAAAAAAAAAAAAAAAAC8BAABfcmVscy8ucmVsc1BLAQItABQABgAIAAAAIQC9Ktt2DAIA ABYEAAAOAAAAAAAAAAAAAAAAAC4CAABkcnMvZTJvRG9jLnhtbFBLAQItABQABgAIAAAAIQC8qAzp 3wAAAAkBAAAPAAAAAAAAAAAAAAAAAGYEAABkcnMvZG93bnJldi54bWxQSwUGAAAAAAQABADzAAAA cgUAAAAA " strokecolor="#9bbb59" strokeweight="1.5pt">
                <v:shadow on="t" color="black" opacity="24903f" origin=",.5" offset="0,.55556mm"/>
                <o:lock v:ext="edit" shapetype="f"/>
              </v:line>
            </w:pict>
          </mc:Fallback>
        </mc:AlternateContent>
        <mc:AlternateContent>
          <mc:Choice Requires="wps">
            <w:drawing>
              <wp:anchor distT="4294967294" distB="4294967294" distL="114300" distR="114300" simplePos="0" relativeHeight="251677696" behindDoc="0" locked="0" layoutInCell="1" allowOverlap="1" wp14:anchorId="56C68728" wp14:editId="193BFEF2">
                <wp:simplePos x="0" y="0"/>
                <wp:positionH relativeFrom="column">
                  <wp:posOffset>1499870</wp:posOffset>
                </wp:positionH>
                <wp:positionV relativeFrom="paragraph">
                  <wp:posOffset>448944</wp:posOffset>
                </wp:positionV>
                <wp:extent cx="3788410" cy="0"/>
                <wp:effectExtent l="38100" t="38100" r="40640" b="76200"/>
                <wp:wrapNone/>
                <wp:docPr id="14" name="14 Conector recto"/>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3788410" cy="0"/>
                        </a:xfrm>
                        <a:prstGeom prst="line">
                          <a:avLst/>
                        </a:prstGeom>
                        <a:noFill/>
                        <a:ln w="19050" cap="flat" cmpd="sng" algn="ctr">
                          <a:solidFill>
                            <a:srgbClr val="9BBB59"/>
                          </a:solidFill>
                          <a:prstDash val="solid"/>
                        </a:ln>
                        <a:effectLst>
                          <a:outerShdw blurRad="40000" dist="20000" dir="5400000" rotWithShape="0">
                            <a:srgbClr val="000000">
                              <a:alpha val="38000"/>
                            </a:srgbClr>
                          </a:outerShdw>
                        </a:effectLst>
                      </wps:spPr>
                      <wps:bodyPr/>
                    </wps:wsp>
                  </a:graphicData>
                </a:graphic>
                <wp14:sizeRelH relativeFrom="margin">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18AC2538" id="14 Conector recto" o:spid="_x0000_s1026" style="position:absolute;z-index:251677696;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margin;mso-height-relative:page" from="118.1pt,35.35pt" to="416.4pt,35.3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JvzRoDAIAABYEAAAOAAAAZHJzL2Uyb0RvYy54bWysU02P2jAQvVfqf7B8L4FdaCECVgK0vaza VWnV8+A4xKpjW2ND4N93xgG6271VzcHJfD2/NzOZP5xaK44ao/FuIUeDoRTaKV8Zt1/IH98fP0yl iAlcBdY7vZBnHeXD8v27eRdKfecbbyuNgkBcLLuwkE1KoSyKqBrdQhz4oB0Fa48tJDJxX1QIHaG3 trgbDj8WnccqoFc6RvJu+qBcZvy61ip9reuok7ALSdxSPjGfOz6L5RzKPUJojLrQgH9g0YJxdOkN agMJxAHNG6jWKPTR12mgfFv4ujZKZw2kZjT8S822gaCzFmpODLc2xf8Hq74cn1GYimY3lsJBSzMa jcWahqWSR4H84i51IZaUvHbPyDrVyW3Dk1e/IsWKV0E2YujTTjW2nE5CxSl3/Xzruj4loch5/2k6 HY9oOOoaK6C8FgaM6bP2reCPhbTGcUOghONTTHw1lNcUdjv/aKzNQ7VOdKRlNpwwNNBu1RYSfbaB 1Ea3lwLsnpZWJcyQ0VtTcTkDRdzv1hbFEWhxZqvVajLjLtB1r9L47g3Eps/LoUuadQyj8woSVTb8 IWncNlUndvaA34BojIf0SFEZFkf73Bu0n5McoRD69NOkJq8Ct+4NOS6iMvaDDQ30VO6n7Lww7rVk 9jcO2XpBL8+wHxsPcOer8zNyPVu0fDn/8qPwdr+0c9af33n5GwAA//8DAFBLAwQUAAYACAAAACEA TGAzwd8AAAAJAQAADwAAAGRycy9kb3ducmV2LnhtbEyPwU7DMAyG75N4h8hIXCqW0kldKU2nMYkT mzQGF25ZY9qKxqmadOveHk8c4Gj70+/vL1aT7cQJB986UvAwj0EgVc60VCv4eH+5z0D4oMnozhEq uKCHVXkzK3Ru3Jne8HQIteAQ8rlW0ITQ51L6qkGr/dz1SHz7coPVgcehlmbQZw63nUziOJVWt8Qf Gt3jpsHq+zBaBWH7uNvrNMpenz/ddn3ZjLt9FCl1dzutn0AEnMIfDFd9VoeSnY5uJONFpyBZpAmj CpbxEgQD2SLhLsffhSwL+b9B+QMAAP//AwBQSwECLQAUAAYACAAAACEAtoM4kv4AAADhAQAAEwAA AAAAAAAAAAAAAAAAAAAAW0NvbnRlbnRfVHlwZXNdLnhtbFBLAQItABQABgAIAAAAIQA4/SH/1gAA AJQBAAALAAAAAAAAAAAAAAAAAC8BAABfcmVscy8ucmVsc1BLAQItABQABgAIAAAAIQAJvzRoDAIA ABYEAAAOAAAAAAAAAAAAAAAAAC4CAABkcnMvZTJvRG9jLnhtbFBLAQItABQABgAIAAAAIQBMYDPB 3wAAAAkBAAAPAAAAAAAAAAAAAAAAAGYEAABkcnMvZG93bnJldi54bWxQSwUGAAAAAAQABADzAAAA cgUAAAAA " strokecolor="#9bbb59" strokeweight="1.5pt">
                <v:shadow on="t" color="black" opacity="24903f" origin=",.5" offset="0,.55556mm"/>
                <o:lock v:ext="edit" shapetype="f"/>
              </v:line>
            </w:pict>
          </mc:Fallback>
        </mc:AlternateContent>
        <mc:AlternateContent>
          <mc:Choice Requires="wps">
            <w:drawing>
              <wp:anchor distT="0" distB="0" distL="114298" distR="114298" simplePos="0" relativeHeight="251674624" behindDoc="0" locked="0" layoutInCell="1" allowOverlap="1" wp14:anchorId="2DB05598" wp14:editId="60D06D3A">
                <wp:simplePos x="0" y="0"/>
                <wp:positionH relativeFrom="column">
                  <wp:posOffset>172084</wp:posOffset>
                </wp:positionH>
                <wp:positionV relativeFrom="paragraph">
                  <wp:posOffset>279400</wp:posOffset>
                </wp:positionV>
                <wp:extent cx="0" cy="5805170"/>
                <wp:effectExtent l="57150" t="19050" r="57150" b="62230"/>
                <wp:wrapNone/>
                <wp:docPr id="1420452151" name="2 Conector recto"/>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5805170"/>
                        </a:xfrm>
                        <a:prstGeom prst="line">
                          <a:avLst/>
                        </a:prstGeom>
                        <a:noFill/>
                        <a:ln w="25400" cap="flat" cmpd="sng" algn="ctr">
                          <a:solidFill>
                            <a:srgbClr val="9BBB59"/>
                          </a:solidFill>
                          <a:prstDash val="solid"/>
                        </a:ln>
                        <a:effectLst>
                          <a:outerShdw blurRad="40000" dist="20000" dir="5400000" rotWithShape="0">
                            <a:srgbClr val="000000">
                              <a:alpha val="38000"/>
                            </a:srgbClr>
                          </a:outerShdw>
                        </a:effectLst>
                      </wps:spPr>
                      <wps:bodyPr/>
                    </wps:wsp>
                  </a:graphicData>
                </a:graphic>
                <wp14:sizeRelH relativeFrom="page">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77B5337B" id="2 Conector recto" o:spid="_x0000_s1026" style="position:absolute;z-index:251674624;visibility:visible;mso-wrap-style:square;mso-width-percent:0;mso-height-percent:0;mso-wrap-distance-left:3.17494mm;mso-wrap-distance-top:0;mso-wrap-distance-right:3.17494mm;mso-wrap-distance-bottom:0;mso-position-horizontal:absolute;mso-position-horizontal-relative:text;mso-position-vertical:absolute;mso-position-vertical-relative:text;mso-width-percent:0;mso-height-percent:0;mso-width-relative:page;mso-height-relative:margin" from="13.55pt,22pt" to="13.55pt,479.1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UtewOEAIAAB0EAAAOAAAAZHJzL2Uyb0RvYy54bWysU02P2jAQvVfqf7B8LwmUtGxEWAnQ9rJq 0dKq58FxEquObdmGwL/vjMPS3e6t6sXJfPq9mefl/bnX7CR9UNZUfDrJOZNG2FqZtuI/vj98WHAW IpgatDWy4hcZ+P3q/bvl4Eo5s53VtfQMm5hQDq7iXYyuzLIgOtlDmFgnDQYb63uIaPo2qz0M2L3X 2SzPP2WD9bXzVsgQ0Lsdg3yV+jeNFPFb0wQZma44Yovp9Ok80JmtllC2HlynxBUG/AOKHpTBS2+t thCBHb1606pXwttgmzgRts9s0yghEwdkM83/YrPvwMnEBYcT3G1M4f+1FV9PO89Ujbubz/J5MZsW U84M9LirGdvgzkS0nnn60LAGF0qs2ZidJ7ribPbu0YpfAWPZqyAZwY1p58b3lI582TkN/3IbvjxH JkanQG+xyIvp57SYDMrnQudD/CJtz+in4loZmguUcHoMka6G8jmF3MY+KK3TbrVhA1Ip5jmuXwBK rNEQ8bd3SDqYljPQLWpXRJ9aBqtVTeXUKPj2sNGenQD1c7der4s7mgJe9yqN7t5C6Ma8FLqmaUNt ZFIiQiXDHqP0+64e2EEf/RMgDARH8GpF5FDWo4EyJdjJ8jb+VLFLiqDRvQGX8kY/aNfBCOXjgqqv iEcuCf0NQ7JewEs7HNdGCzzY+rLzVE8WajDlX98LifylnbL+vOrVbwAAAP//AwBQSwMEFAAGAAgA AAAhAFQEBT7eAAAACAEAAA8AAABkcnMvZG93bnJldi54bWxMj8tOwzAURPdI/IN1kdhRp1GfIU6F QJVALBCl7dqNL0lUv7DdNPD1XNjAcjSjmTPlajCa9Rhi56yA8SgDhrZ2qrONgO3b+mYBLCZpldTO ooBPjLCqLi9KWSh3tq/Yb1LDqMTGQgpoU/IF57Fu0cg4ch4tee8uGJlIhoarIM9UbjTPs2zGjews LbTS432L9XFzMgJe1g/bj8e9nn3lT8/TY7/3Yb7zQlxfDXe3wBIO6S8MP/iEDhUxHdzJqsi0gHw+ pqSAyYQukf+rDwKW00UOvCr5/wPVNwAAAP//AwBQSwECLQAUAAYACAAAACEAtoM4kv4AAADhAQAA EwAAAAAAAAAAAAAAAAAAAAAAW0NvbnRlbnRfVHlwZXNdLnhtbFBLAQItABQABgAIAAAAIQA4/SH/ 1gAAAJQBAAALAAAAAAAAAAAAAAAAAC8BAABfcmVscy8ucmVsc1BLAQItABQABgAIAAAAIQAUtewO EAIAAB0EAAAOAAAAAAAAAAAAAAAAAC4CAABkcnMvZTJvRG9jLnhtbFBLAQItABQABgAIAAAAIQBU BAU+3gAAAAgBAAAPAAAAAAAAAAAAAAAAAGoEAABkcnMvZG93bnJldi54bWxQSwUGAAAAAAQABADz AAAAdQUAAAAA " strokecolor="#9bbb59" strokeweight="2pt">
                <v:shadow on="t" color="black" opacity="24903f" origin=",.5" offset="0,.55556mm"/>
                <o:lock v:ext="edit" shapetype="f"/>
              </v:line>
            </w:pict>
          </mc:Fallback>
        </mc:AlternateContent>
      </w:r>
    </w:p>
    <w:p w14:paraId="09AFAD00" w14:textId="77777777" w:rsidR="00836859" w:rsidRPr="003C344E" w:rsidRDefault="00836859" w:rsidP="00836859">
      <w:pPr>
        <w:tabs>
          <w:tab w:val="center" w:pos="4419"/>
          <w:tab w:val="right" w:pos="8838"/>
        </w:tabs>
        <w:spacing w:after="0" w:line="240" w:lineRule="auto"/>
        <w:ind w:right="-284"/>
        <w:jc w:val="center"/>
        <w:rPr>
          <w:rFonts w:cs="Arial"/>
          <w:sz w:val="28"/>
          <w:szCs w:val="28"/>
        </w:rPr>
      </w:pPr>
    </w:p>
    <w:p w14:paraId="338C9385" w14:textId="77777777" w:rsidR="00836859" w:rsidRPr="003C344E" w:rsidRDefault="00836859" w:rsidP="00836859">
      <w:pPr>
        <w:spacing w:after="0" w:line="360" w:lineRule="auto"/>
        <w:jc w:val="center"/>
        <w:rPr>
          <w:rFonts w:cs="Arial"/>
          <w:sz w:val="28"/>
          <w:szCs w:val="28"/>
        </w:rPr>
      </w:pPr>
    </w:p>
    <w:p w14:paraId="330429D6" w14:textId="77777777" w:rsidR="00836859" w:rsidRPr="003C344E" w:rsidRDefault="00836859" w:rsidP="00836859">
      <w:pPr>
        <w:spacing w:after="0" w:line="360" w:lineRule="auto"/>
        <w:jc w:val="center"/>
        <w:rPr>
          <w:rFonts w:cs="Arial"/>
          <w:sz w:val="28"/>
          <w:szCs w:val="28"/>
        </w:rPr>
      </w:pPr>
      <w:r>
        <w:rPr>
          <w:rFonts w:cs="Arial"/>
          <w:sz w:val="28"/>
          <w:szCs w:val="28"/>
        </w:rPr>
        <w:t xml:space="preserve">               UNIVERSIDAD TECNOLÓGICA DEL VALLE DE TOLUCA</w:t>
      </w:r>
    </w:p>
    <w:p w14:paraId="41C5CC63" w14:textId="77777777" w:rsidR="00836859" w:rsidRPr="003C344E" w:rsidRDefault="00836859" w:rsidP="00836859">
      <w:pPr>
        <w:spacing w:after="0" w:line="360" w:lineRule="auto"/>
        <w:ind w:left="1134"/>
        <w:jc w:val="center"/>
        <w:rPr>
          <w:rFonts w:cs="Arial"/>
        </w:rPr>
      </w:pPr>
      <w:r>
        <w:rPr>
          <w:noProof/>
          <w:lang w:eastAsia="es-MX"/>
        </w:rPr>
        <mc:AlternateContent>
          <mc:Choice Requires="wps">
            <w:drawing>
              <wp:anchor distT="0" distB="0" distL="114298" distR="114298" simplePos="0" relativeHeight="251675648" behindDoc="0" locked="0" layoutInCell="1" allowOverlap="1" wp14:anchorId="36FB2F13" wp14:editId="5D49C00C">
                <wp:simplePos x="0" y="0"/>
                <wp:positionH relativeFrom="column">
                  <wp:posOffset>374014</wp:posOffset>
                </wp:positionH>
                <wp:positionV relativeFrom="paragraph">
                  <wp:posOffset>207010</wp:posOffset>
                </wp:positionV>
                <wp:extent cx="0" cy="4986655"/>
                <wp:effectExtent l="57150" t="19050" r="57150" b="61595"/>
                <wp:wrapNone/>
                <wp:docPr id="15" name="3 Conector recto"/>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4986655"/>
                        </a:xfrm>
                        <a:prstGeom prst="line">
                          <a:avLst/>
                        </a:prstGeom>
                        <a:noFill/>
                        <a:ln w="25400" cap="flat" cmpd="sng" algn="ctr">
                          <a:solidFill>
                            <a:srgbClr val="9BBB59"/>
                          </a:solidFill>
                          <a:prstDash val="solid"/>
                        </a:ln>
                        <a:effectLst>
                          <a:outerShdw blurRad="40000" dist="20000" dir="5400000" rotWithShape="0">
                            <a:srgbClr val="000000">
                              <a:alpha val="38000"/>
                            </a:srgbClr>
                          </a:outerShdw>
                        </a:effectLst>
                      </wps:spPr>
                      <wps:bodyPr/>
                    </wps:wsp>
                  </a:graphicData>
                </a:graphic>
                <wp14:sizeRelH relativeFrom="page">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31E2414F" id="3 Conector recto" o:spid="_x0000_s1026" style="position:absolute;z-index:251675648;visibility:visible;mso-wrap-style:square;mso-width-percent:0;mso-height-percent:0;mso-wrap-distance-left:3.17494mm;mso-wrap-distance-top:0;mso-wrap-distance-right:3.17494mm;mso-wrap-distance-bottom:0;mso-position-horizontal:absolute;mso-position-horizontal-relative:text;mso-position-vertical:absolute;mso-position-vertical-relative:text;mso-width-percent:0;mso-height-percent:0;mso-width-relative:page;mso-height-relative:margin" from="29.45pt,16.3pt" to="29.45pt,408.9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enFpuCQIAABUEAAAOAAAAZHJzL2Uyb0RvYy54bWysU8Fu2zAMvQ/YPwi6L07TJmiMOAWSoLsU W7Fs2JmR5ViYLAmUEid/P1JOs3a9DbvIJvlIPZJPi4dTZ8VRYzTeVfJmNJZCO+Vr4/aV/PH98dO9 FDGBq8F6pyt51lE+LD9+WPSh1BPfeltrFFTExbIPlWxTCmVRRNXqDuLIB+0o2HjsIJGJ+6JG6Kl6 Z4vJeDwreo91QK90jOTdDEG5zPWbRqv0tWmiTsJWkrilfGI+d3wWywWUe4TQGnWhAf/AogPj6NJr qQ0kEAc070p1RqGPvkkj5bvCN41ROvdA3dyM/+pm20LQuRcaTgzXMcX/V1Z9OT6jMDXtbiqFg452 dCvWtCuVPArkDw+pD7Ek7No9I7epTm4bnrz6FSlWvAmyEcMAOzXYMZz6FKc89PN16PqUhBqcirx3 8/vZbDrluwooXxIDxvRZ+07wTyWtcTwPKOH4FNMAfYGw2/lHYy35obRO9JWcTO/GtHYFJK3GQqLf LlCz0e2lALsnzaqEuWT01tScztkR97u1RXEE0s18tVpN5xdmb2B89wZiO+By6AKzjsvorECiyoY/ JI3btu7Fzh7wGxANIsf0asPNkZwHg+TJtLOFPv00qc1K4NG9I5dxgx9saGGgcnvP2cOALr3kuV45 ZOsVvbzDYW28wJ2vz8/I+WyR9jL+8k5Y3K/tjPrzmpe/AQAA//8DAFBLAwQUAAYACAAAACEA1fMK jN8AAAAIAQAADwAAAGRycy9kb3ducmV2LnhtbEyPzU7DMBCE70i8g7VI3KjToKZpmk2FQJVAHBCl 7dmNlyRq/IPtpoGnx3CB42hGM9+Uq1H1bCDnO6MRppMEGOnayE43CNu39U0OzAehpeiNJoRP8rCq Li9KUUhz1q80bELDYon2hUBoQ7AF575uSQk/MZZ09N6NUyJE6RounTjHctXzNEkyrkSn40IrLN23 VB83J4Xwsn7Yfjzu++wrfXqeHYe9dfOdRby+Gu+WwAKN4S8MP/gRHarIdDAnLT3rEWb5IiYRbtMM WPR/9QEhn84XwKuS/z9QfQMAAP//AwBQSwECLQAUAAYACAAAACEAtoM4kv4AAADhAQAAEwAAAAAA AAAAAAAAAAAAAAAAW0NvbnRlbnRfVHlwZXNdLnhtbFBLAQItABQABgAIAAAAIQA4/SH/1gAAAJQB AAALAAAAAAAAAAAAAAAAAC8BAABfcmVscy8ucmVsc1BLAQItABQABgAIAAAAIQBenFpuCQIAABUE AAAOAAAAAAAAAAAAAAAAAC4CAABkcnMvZTJvRG9jLnhtbFBLAQItABQABgAIAAAAIQDV8wqM3wAA AAgBAAAPAAAAAAAAAAAAAAAAAGMEAABkcnMvZG93bnJldi54bWxQSwUGAAAAAAQABADzAAAAbwUA AAAA " strokecolor="#9bbb59" strokeweight="2pt">
                <v:shadow on="t" color="black" opacity="24903f" origin=",.5" offset="0,.55556mm"/>
                <o:lock v:ext="edit" shapetype="f"/>
              </v:line>
            </w:pict>
          </mc:Fallback>
        </mc:AlternateContent>
      </w:r>
      <w:r>
        <w:rPr>
          <w:rFonts w:cs="Arial"/>
        </w:rPr>
        <w:t>DIRECCIÓN DE CARRERA DE TECNOLOGÍAS DE LA INFORMACIÓN Y COMUNICACIÓN</w:t>
      </w:r>
    </w:p>
    <w:p w14:paraId="5C3EBD0B" w14:textId="77777777" w:rsidR="00836859" w:rsidRPr="003C344E" w:rsidRDefault="00836859" w:rsidP="00836859">
      <w:pPr>
        <w:jc w:val="center"/>
        <w:rPr>
          <w:rFonts w:cs="Calibri"/>
        </w:rPr>
      </w:pPr>
      <w:r>
        <w:rPr>
          <w:rFonts w:cs="Calibri"/>
        </w:rPr>
        <w:t xml:space="preserve">                     INGENIERÍA EN DESARROLLO Y GESTIÓN DE SOFTWARE</w:t>
      </w:r>
    </w:p>
    <w:p w14:paraId="6DE728FC" w14:textId="77777777" w:rsidR="00836859" w:rsidRPr="003C344E" w:rsidRDefault="00836859" w:rsidP="00836859">
      <w:pPr>
        <w:spacing w:after="0" w:line="360" w:lineRule="auto"/>
        <w:ind w:left="1134"/>
        <w:jc w:val="center"/>
        <w:rPr>
          <w:rFonts w:cs="Arial"/>
          <w:sz w:val="18"/>
          <w:szCs w:val="15"/>
        </w:rPr>
      </w:pPr>
    </w:p>
    <w:p w14:paraId="581C2B27" w14:textId="77777777" w:rsidR="00836859" w:rsidRDefault="00836859" w:rsidP="00836859">
      <w:pPr>
        <w:spacing w:before="80" w:after="80" w:line="264" w:lineRule="auto"/>
        <w:ind w:left="1134"/>
        <w:jc w:val="center"/>
        <w:rPr>
          <w:rFonts w:cs="Arial"/>
          <w:b/>
          <w:sz w:val="28"/>
          <w:szCs w:val="28"/>
        </w:rPr>
      </w:pPr>
      <w:r>
        <w:rPr>
          <w:rFonts w:cs="Arial"/>
          <w:b/>
          <w:sz w:val="28"/>
          <w:szCs w:val="28"/>
        </w:rPr>
        <w:t>Software funcional con integración continua</w:t>
      </w:r>
    </w:p>
    <w:p w14:paraId="4BB06EAE" w14:textId="77777777" w:rsidR="00836859" w:rsidRPr="003C344E" w:rsidRDefault="00836859" w:rsidP="00836859">
      <w:pPr>
        <w:spacing w:before="80" w:after="80" w:line="264" w:lineRule="auto"/>
        <w:ind w:left="1134"/>
        <w:jc w:val="center"/>
        <w:rPr>
          <w:rFonts w:cs="Arial"/>
          <w:b/>
          <w:sz w:val="20"/>
          <w:szCs w:val="20"/>
        </w:rPr>
      </w:pPr>
      <w:r>
        <w:rPr>
          <w:rFonts w:cs="Arial"/>
          <w:b/>
          <w:sz w:val="20"/>
          <w:szCs w:val="20"/>
        </w:rPr>
        <w:t>Nombre del Proyecto</w:t>
      </w:r>
    </w:p>
    <w:p w14:paraId="4A92D82F" w14:textId="77777777" w:rsidR="00836859" w:rsidRPr="009D129F" w:rsidRDefault="00836859" w:rsidP="00836859">
      <w:pPr>
        <w:spacing w:before="80" w:after="80" w:line="264" w:lineRule="auto"/>
        <w:ind w:left="1134"/>
        <w:jc w:val="center"/>
        <w:rPr>
          <w:rFonts w:cs="Arial"/>
          <w:color w:val="000000" w:themeColor="text1"/>
        </w:rPr>
      </w:pPr>
      <w:r>
        <w:rPr>
          <w:rFonts w:cs="Arial"/>
          <w:color w:val="000000" w:themeColor="text1"/>
        </w:rPr>
        <w:t>“Restaurant Hub (RestoHub)”</w:t>
      </w:r>
    </w:p>
    <w:p w14:paraId="7E7C6E25" w14:textId="77777777" w:rsidR="00836859" w:rsidRPr="003C344E" w:rsidRDefault="00836859" w:rsidP="00836859">
      <w:pPr>
        <w:spacing w:before="80" w:after="80" w:line="264" w:lineRule="auto"/>
        <w:ind w:left="1134"/>
        <w:jc w:val="center"/>
        <w:rPr>
          <w:rFonts w:cs="Arial"/>
          <w:color w:val="FF0000"/>
        </w:rPr>
      </w:pPr>
      <w:r>
        <w:rPr>
          <w:rFonts w:cs="Arial"/>
          <w:b/>
          <w:sz w:val="20"/>
          <w:szCs w:val="20"/>
        </w:rPr>
        <w:t>Nombres de los Estudiantes</w:t>
      </w:r>
    </w:p>
    <w:p w14:paraId="069A70F0" w14:textId="77777777" w:rsidR="00F320F0" w:rsidRDefault="001F217F">
      <w:pPr>
        <w:spacing w:before="80" w:after="80" w:line="240" w:lineRule="auto"/>
        <w:ind w:left="1134"/>
        <w:jc w:val="center"/>
        <w:rPr>
          <w:rFonts w:cs="Arial"/>
          <w:color w:val="000000" w:themeColor="text1"/>
          <w:sz w:val="20"/>
          <w:szCs w:val="20"/>
        </w:rPr>
      </w:pPr>
      <w:r>
        <w:rPr>
          <w:rFonts w:cs="Arial"/>
          <w:color w:val="000000" w:themeColor="text1"/>
          <w:sz w:val="20"/>
          <w:szCs w:val="20"/>
        </w:rPr>
        <w:t>García Gaytan Ludwin – 222310777</w:t>
      </w:r>
    </w:p>
    <w:p w14:paraId="6DEB6573" w14:textId="77777777" w:rsidR="00F320F0" w:rsidRDefault="001F217F">
      <w:pPr>
        <w:spacing w:before="80" w:after="80" w:line="240" w:lineRule="auto"/>
        <w:ind w:left="1134"/>
        <w:jc w:val="center"/>
        <w:rPr>
          <w:rFonts w:cs="Arial"/>
          <w:color w:val="000000" w:themeColor="text1"/>
          <w:sz w:val="20"/>
          <w:szCs w:val="20"/>
        </w:rPr>
      </w:pPr>
      <w:r>
        <w:rPr>
          <w:rFonts w:cs="Arial"/>
          <w:color w:val="000000" w:themeColor="text1"/>
          <w:sz w:val="20"/>
          <w:szCs w:val="20"/>
        </w:rPr>
        <w:t>Duarte Villavicencio Octavio – 222310422</w:t>
      </w:r>
    </w:p>
    <w:p w14:paraId="7A9FEACE" w14:textId="77777777" w:rsidR="00F320F0" w:rsidRDefault="001F217F">
      <w:pPr>
        <w:spacing w:before="80" w:after="80" w:line="240" w:lineRule="auto"/>
        <w:ind w:left="1134"/>
        <w:jc w:val="center"/>
        <w:rPr>
          <w:rFonts w:cs="Arial"/>
          <w:color w:val="000000" w:themeColor="text1"/>
          <w:sz w:val="20"/>
          <w:szCs w:val="20"/>
        </w:rPr>
      </w:pPr>
      <w:r>
        <w:rPr>
          <w:rFonts w:cs="Arial"/>
          <w:color w:val="000000" w:themeColor="text1"/>
          <w:sz w:val="20"/>
          <w:szCs w:val="20"/>
        </w:rPr>
        <w:t xml:space="preserve">Mercado Serrano Valeria – 222310838</w:t>
      </w:r>
    </w:p>
    <w:p w14:paraId="63FFCEC1" w14:textId="77777777" w:rsidR="00F320F0" w:rsidRDefault="001F217F">
      <w:pPr>
        <w:spacing w:before="80" w:after="80" w:line="240" w:lineRule="auto"/>
        <w:ind w:left="1134"/>
        <w:jc w:val="center"/>
        <w:rPr>
          <w:rFonts w:cs="Arial"/>
          <w:color w:val="000000" w:themeColor="text1"/>
          <w:sz w:val="20"/>
          <w:szCs w:val="20"/>
        </w:rPr>
      </w:pPr>
      <w:r>
        <w:rPr>
          <w:rFonts w:cs="Arial"/>
          <w:color w:val="000000" w:themeColor="text1"/>
          <w:sz w:val="20"/>
          <w:szCs w:val="20"/>
        </w:rPr>
        <w:t>Hernández Mejía Braulio – 222310435</w:t>
      </w:r>
    </w:p>
    <w:p w14:paraId="67ABADEF" w14:textId="77777777" w:rsidR="00836859" w:rsidRPr="003C344E" w:rsidRDefault="00836859" w:rsidP="00836859">
      <w:pPr>
        <w:spacing w:before="80" w:after="80" w:line="264" w:lineRule="auto"/>
        <w:ind w:left="1134"/>
        <w:jc w:val="center"/>
        <w:rPr>
          <w:rFonts w:cs="Arial"/>
          <w:b/>
          <w:sz w:val="20"/>
          <w:szCs w:val="20"/>
        </w:rPr>
      </w:pPr>
      <w:r>
        <w:rPr>
          <w:rFonts w:cs="Arial"/>
          <w:b/>
          <w:sz w:val="20"/>
          <w:szCs w:val="20"/>
        </w:rPr>
        <w:t>Grupo</w:t>
      </w:r>
    </w:p>
    <w:p w14:paraId="403C9246" w14:textId="77777777" w:rsidR="00836859" w:rsidRPr="009D129F" w:rsidRDefault="00836859" w:rsidP="00836859">
      <w:pPr>
        <w:spacing w:before="80" w:after="80" w:line="240" w:lineRule="auto"/>
        <w:ind w:left="1134"/>
        <w:jc w:val="center"/>
        <w:rPr>
          <w:rFonts w:cs="Arial"/>
          <w:color w:val="000000" w:themeColor="text1"/>
          <w:sz w:val="20"/>
          <w:szCs w:val="20"/>
        </w:rPr>
      </w:pPr>
      <w:r>
        <w:rPr>
          <w:rFonts w:cs="Arial"/>
          <w:color w:val="000000" w:themeColor="text1"/>
          <w:sz w:val="20"/>
          <w:szCs w:val="20"/>
        </w:rPr>
        <w:t>IDGS 101</w:t>
      </w:r>
    </w:p>
    <w:p w14:paraId="6EC46935" w14:textId="77777777" w:rsidR="00836859" w:rsidRPr="003C344E" w:rsidRDefault="00836859" w:rsidP="00836859">
      <w:pPr>
        <w:spacing w:before="160" w:after="80" w:line="264" w:lineRule="auto"/>
        <w:ind w:left="1134"/>
        <w:jc w:val="center"/>
        <w:rPr>
          <w:rFonts w:cs="Arial"/>
          <w:b/>
          <w:sz w:val="20"/>
          <w:szCs w:val="20"/>
        </w:rPr>
      </w:pPr>
      <w:r>
        <w:rPr>
          <w:rFonts w:cs="Arial"/>
          <w:b/>
          <w:sz w:val="20"/>
          <w:szCs w:val="20"/>
        </w:rPr>
        <w:t>Cuatrimestre</w:t>
      </w:r>
    </w:p>
    <w:p w14:paraId="00051809" w14:textId="77777777" w:rsidR="00836859" w:rsidRPr="003C344E" w:rsidRDefault="00836859" w:rsidP="00836859">
      <w:pPr>
        <w:spacing w:before="80" w:after="80" w:line="240" w:lineRule="auto"/>
        <w:ind w:left="1134"/>
        <w:jc w:val="center"/>
        <w:rPr>
          <w:rFonts w:cs="Arial"/>
          <w:sz w:val="20"/>
          <w:szCs w:val="20"/>
        </w:rPr>
      </w:pPr>
      <w:r>
        <w:rPr>
          <w:rFonts w:cs="Arial"/>
          <w:sz w:val="20"/>
          <w:szCs w:val="20"/>
        </w:rPr>
        <w:t>10mo</w:t>
      </w:r>
    </w:p>
    <w:p w14:paraId="5E77B575" w14:textId="77777777" w:rsidR="00836859" w:rsidRPr="003C344E" w:rsidRDefault="00836859" w:rsidP="00836859">
      <w:pPr>
        <w:spacing w:before="80" w:after="80" w:line="264" w:lineRule="auto"/>
        <w:ind w:left="1134"/>
        <w:jc w:val="center"/>
        <w:rPr>
          <w:rFonts w:cs="Arial"/>
          <w:b/>
          <w:sz w:val="20"/>
          <w:szCs w:val="20"/>
        </w:rPr>
      </w:pPr>
      <w:r>
        <w:rPr>
          <w:rFonts w:cs="Arial"/>
          <w:b/>
          <w:sz w:val="20"/>
          <w:szCs w:val="20"/>
        </w:rPr>
        <w:t>Lugar</w:t>
      </w:r>
    </w:p>
    <w:p w14:paraId="31793F72" w14:textId="77777777" w:rsidR="00836859" w:rsidRPr="003C344E" w:rsidRDefault="00836859" w:rsidP="00836859">
      <w:pPr>
        <w:spacing w:before="80" w:after="80" w:line="240" w:lineRule="auto"/>
        <w:ind w:left="1134"/>
        <w:jc w:val="center"/>
        <w:rPr>
          <w:rFonts w:cs="Arial"/>
          <w:szCs w:val="24"/>
        </w:rPr>
      </w:pPr>
      <w:r>
        <w:rPr>
          <w:rFonts w:cs="Arial"/>
          <w:noProof/>
          <w:sz w:val="20"/>
          <w:szCs w:val="20"/>
          <w:lang w:eastAsia="es-ES"/>
        </w:rPr>
        <w:t>Santa María Atarasquillo, Lerma, México.</w:t>
      </w:r>
    </w:p>
    <w:p w14:paraId="3EEA2A0B" w14:textId="77777777" w:rsidR="00836859" w:rsidRDefault="00836859" w:rsidP="00836859">
      <w:pPr>
        <w:spacing w:before="80" w:after="80" w:line="264" w:lineRule="auto"/>
        <w:ind w:left="1134"/>
        <w:jc w:val="center"/>
        <w:rPr>
          <w:rFonts w:cs="Arial"/>
          <w:b/>
          <w:sz w:val="20"/>
          <w:szCs w:val="20"/>
        </w:rPr>
      </w:pPr>
      <w:r>
        <w:rPr>
          <w:rFonts w:cs="Arial"/>
          <w:b/>
          <w:sz w:val="20"/>
          <w:szCs w:val="20"/>
        </w:rPr>
        <w:t>Fecha de Entrega</w:t>
      </w:r>
    </w:p>
    <w:p w14:paraId="385BAE21" w14:textId="77777777" w:rsidR="00836859" w:rsidRPr="003C344E" w:rsidRDefault="00836859" w:rsidP="00836859">
      <w:pPr>
        <w:spacing w:before="80" w:after="80" w:line="264" w:lineRule="auto"/>
        <w:ind w:left="1134"/>
        <w:jc w:val="center"/>
        <w:rPr>
          <w:rFonts w:cs="Arial"/>
          <w:b/>
          <w:sz w:val="20"/>
          <w:szCs w:val="20"/>
        </w:rPr>
      </w:pPr>
      <w:r>
        <w:rPr>
          <w:rFonts w:cs="Arial"/>
          <w:b/>
          <w:sz w:val="20"/>
          <w:szCs w:val="20"/>
        </w:rPr>
        <w:t>7 de noviembre de 2026</w:t>
      </w:r>
    </w:p>
    <w:p>
      <w:pPr>
        <w:pStyle w:val="Heading1"/>
        <w:pageBreakBefore/>
      </w:pPr>
      <w:r>
        <w:t xml:space="preserve">Software funcional con integración continua — RestoHub</w:t>
      </w:r>
    </w:p>
    <w:p>
      <w:pPr>
        <w:pStyle w:val="Heading2"/>
      </w:pPr>
      <w:r>
        <w:t xml:space="preserve">Datos de la entrega</w:t>
      </w:r>
    </w:p>
    <w:p>
      <w:pPr/>
      <w:r>
        <w:t xml:space="preserve">RestoHub integra cada cambio con un pipeline que compila y prueba backend, frontend y app móvil. Desde el 30 de julio de 2026 se ha ejecutado 339 veces en GitHub, con 306 corridas en verde y 32 en rojo.</w:t>
      </w:r>
    </w:p>
    <w:tbl>
      <w:tblPr>
        <w:tblStyle w:val="TableGrid"/>
        <w:tblW w:w="0" w:type="auto"/>
        <w:tblLayout w:type="fixed"/>
        <w:tblLook w:val="04A0" w:firstRow="1" w:lastRow="0" w:firstColumn="0" w:lastColumn="0" w:noHBand="0" w:noVBand="1"/>
      </w:tblPr>
      <w:tblGrid>
        <w:gridCol w:w="2977"/>
        <w:gridCol w:w="6382"/>
      </w:tblGrid>
      <w:tr>
        <w:trPr>
          <w:tblHeader/>
        </w:trPr>
        <w:tc>
          <w:tcPr>
            <w:tcW w:w="2977" w:type="dxa"/>
            <w:shd w:val="clear" w:color="auto" w:fill="F2F2F2"/>
          </w:tcPr>
          <w:p>
            <w:pPr/>
            <w:r>
              <w:t xml:space="preserve">Campo</w:t>
            </w:r>
          </w:p>
        </w:tc>
        <w:tc>
          <w:tcPr>
            <w:tcW w:w="6382" w:type="dxa"/>
            <w:shd w:val="clear" w:color="auto" w:fill="F2F2F2"/>
          </w:tcPr>
          <w:p>
            <w:pPr/>
            <w:r>
              <w:t xml:space="preserve">Valor</w:t>
            </w:r>
          </w:p>
        </w:tc>
      </w:tr>
      <w:tr>
        <w:tc>
          <w:tcPr>
            <w:tcW w:w="2977" w:type="dxa"/>
          </w:tcPr>
          <w:p>
            <w:pPr/>
            <w:r>
              <w:t xml:space="preserve">Asignatura</w:t>
            </w:r>
          </w:p>
        </w:tc>
        <w:tc>
          <w:tcPr>
            <w:tcW w:w="6382" w:type="dxa"/>
          </w:tcPr>
          <w:p>
            <w:pPr/>
            <w:r>
              <w:t xml:space="preserve">Gestión del proceso de desarrollo de software (GPDS)</w:t>
            </w:r>
          </w:p>
        </w:tc>
      </w:tr>
      <w:tr>
        <w:tc>
          <w:tcPr>
            <w:tcW w:w="2977" w:type="dxa"/>
          </w:tcPr>
          <w:p>
            <w:pPr/>
            <w:r>
              <w:t xml:space="preserve">Entregable</w:t>
            </w:r>
          </w:p>
        </w:tc>
        <w:tc>
          <w:tcPr>
            <w:tcW w:w="6382" w:type="dxa"/>
          </w:tcPr>
          <w:p>
            <w:pPr/>
            <w:r>
              <w:t xml:space="preserve">2 de 3: software funcional con integración continua (Linear CAL-70)</w:t>
            </w:r>
          </w:p>
        </w:tc>
      </w:tr>
      <w:tr>
        <w:tc>
          <w:tcPr>
            <w:tcW w:w="2977" w:type="dxa"/>
          </w:tcPr>
          <w:p>
            <w:pPr/>
            <w:r>
              <w:t xml:space="preserve">Capacidad evaluada</w:t>
            </w:r>
          </w:p>
        </w:tc>
        <w:tc>
          <w:tcPr>
            <w:tcW w:w="6382" w:type="dxa"/>
          </w:tcPr>
          <w:p>
            <w:pPr/>
            <w:r>
              <w:t xml:space="preserve">Gestionar el desarrollo del software mediante integración continua</w:t>
            </w:r>
          </w:p>
        </w:tc>
      </w:tr>
      <w:tr>
        <w:tc>
          <w:tcPr>
            <w:tcW w:w="2977" w:type="dxa"/>
          </w:tcPr>
          <w:p>
            <w:pPr/>
            <w:r>
              <w:t xml:space="preserve">Evaluadores</w:t>
            </w:r>
          </w:p>
        </w:tc>
        <w:tc>
          <w:tcPr>
            <w:tcW w:w="6382" w:type="dxa"/>
          </w:tcPr>
          <w:p>
            <w:pPr/>
            <w:r>
              <w:t xml:space="preserve">MIA Miguel Antonio Islas · ITIC Roberto Vinicio Camacho Mendoza · MEL Miguel Ángel Orona López</w:t>
            </w:r>
          </w:p>
        </w:tc>
      </w:tr>
      <w:tr>
        <w:tc>
          <w:tcPr>
            <w:tcW w:w="2977" w:type="dxa"/>
          </w:tcPr>
          <w:p>
            <w:pPr/>
            <w:r>
              <w:t xml:space="preserve">Equipo</w:t>
            </w:r>
          </w:p>
        </w:tc>
        <w:tc>
          <w:tcPr>
            <w:tcW w:w="6382" w:type="dxa"/>
          </w:tcPr>
          <w:p>
            <w:pPr/>
            <w:r>
              <w:t xml:space="preserve">Ludwin García Gaytan · Octavio Duarte Villavicencio · Braulio Hernández Mejía · Valeria Mercado Serrano (IDGS 101)</w:t>
            </w:r>
          </w:p>
        </w:tc>
      </w:tr>
      <w:tr>
        <w:tc>
          <w:tcPr>
            <w:tcW w:w="2977" w:type="dxa"/>
          </w:tcPr>
          <w:p>
            <w:pPr/>
            <w:r>
              <w:t xml:space="preserve">Fecha oficial</w:t>
            </w:r>
          </w:p>
        </w:tc>
        <w:tc>
          <w:tcPr>
            <w:tcW w:w="6382" w:type="dxa"/>
          </w:tcPr>
          <w:p>
            <w:pPr/>
            <w:r>
              <w:t xml:space="preserve">7 de noviembre de 2026 (fecha interna: 31 de octubre)</w:t>
            </w:r>
          </w:p>
        </w:tc>
      </w:tr>
    </w:tbl>
    <w:p>
      <w:pPr/>
      <w:r>
        <w:t xml:space="preserve">La guía pide el software funcional con integración continua, incluyendo código fuente, repositorio, pruebas y pipeline configurado y ejecutado. Evalúa cuatro puntos: desarrolla e integra componentes, utiliza control de versiones, automatiza compilación y pruebas, y configura y ejecuta un pipeline de integración continua. Cada uno tiene su sección abajo y el cierre los cruza con su evidencia.</w:t>
      </w:r>
    </w:p>
    <w:p>
      <w:pPr>
        <w:pStyle w:val="Heading2"/>
      </w:pPr>
      <w:r>
        <w:t xml:space="preserve">Dónde verlo</w:t>
      </w:r>
    </w:p>
    <w:p>
      <w:pPr/>
      <w:r>
        <w:t xml:space="preserve">Todo lo que afirma este documento se puede abrir y comprobar en GitHub sin pedir acceso: el repositorio es público y cada corrida del pipeline queda con su registro completo.</w:t>
      </w:r>
    </w:p>
    <w:tbl>
      <w:tblPr>
        <w:tblStyle w:val="TableGrid"/>
        <w:tblW w:w="0" w:type="auto"/>
        <w:tblLayout w:type="fixed"/>
        <w:tblLook w:val="04A0" w:firstRow="1" w:lastRow="0" w:firstColumn="0" w:lastColumn="0" w:noHBand="0" w:noVBand="1"/>
      </w:tblPr>
      <w:tblGrid>
        <w:gridCol w:w="4873"/>
        <w:gridCol w:w="4487"/>
      </w:tblGrid>
      <w:tr>
        <w:trPr>
          <w:tblHeader/>
        </w:trPr>
        <w:tc>
          <w:tcPr>
            <w:tcW w:w="4873" w:type="dxa"/>
            <w:shd w:val="clear" w:color="auto" w:fill="F2F2F2"/>
          </w:tcPr>
          <w:p>
            <w:pPr/>
            <w:r>
              <w:t xml:space="preserve">Qué</w:t>
            </w:r>
          </w:p>
        </w:tc>
        <w:tc>
          <w:tcPr>
            <w:tcW w:w="4487" w:type="dxa"/>
            <w:shd w:val="clear" w:color="auto" w:fill="F2F2F2"/>
          </w:tcPr>
          <w:p>
            <w:pPr/>
            <w:r>
              <w:t xml:space="preserve">Enlace</w:t>
            </w:r>
          </w:p>
        </w:tc>
      </w:tr>
      <w:tr>
        <w:tc>
          <w:tcPr>
            <w:tcW w:w="4873" w:type="dxa"/>
          </w:tcPr>
          <w:p>
            <w:pPr/>
            <w:r>
              <w:t xml:space="preserve">Repositorio y código fuente</w:t>
            </w:r>
          </w:p>
        </w:tc>
        <w:tc>
          <w:tcPr>
            <w:tcW w:w="4487" w:type="dxa"/>
          </w:tcPr>
          <w:p>
            <w:pPr/>
            <w:hyperlink r:id="rId3" w:history="1">
              <w:r>
                <w:rPr>
                  <w:rStyle w:val="Hyperlink"/>
                </w:rPr>
                <w:t xml:space="preserve">github.com/LudwinGarcia1/callejon9-saas</w:t>
              </w:r>
            </w:hyperlink>
          </w:p>
        </w:tc>
      </w:tr>
      <w:tr>
        <w:tc>
          <w:tcPr>
            <w:tcW w:w="4873" w:type="dxa"/>
          </w:tcPr>
          <w:p>
            <w:pPr/>
            <w:r>
              <w:t xml:space="preserve">Definición del pipeline en GitHub Actions</w:t>
            </w:r>
          </w:p>
        </w:tc>
        <w:tc>
          <w:tcPr>
            <w:tcW w:w="4487" w:type="dxa"/>
          </w:tcPr>
          <w:p>
            <w:pPr/>
            <w:hyperlink r:id="rId4" w:history="1">
              <w:r>
                <w:rPr>
                  <w:rStyle w:val="CodeChar"/>
                </w:rPr>
                <w:t xml:space="preserve">.github/workflows/ci.yml</w:t>
              </w:r>
            </w:hyperlink>
          </w:p>
        </w:tc>
      </w:tr>
      <w:tr>
        <w:tc>
          <w:tcPr>
            <w:tcW w:w="4873" w:type="dxa"/>
          </w:tcPr>
          <w:p>
            <w:pPr/>
            <w:r>
              <w:t xml:space="preserve">Definición del pipeline en Jenkins</w:t>
            </w:r>
          </w:p>
        </w:tc>
        <w:tc>
          <w:tcPr>
            <w:tcW w:w="4487" w:type="dxa"/>
          </w:tcPr>
          <w:p>
            <w:pPr/>
            <w:hyperlink r:id="rId5" w:history="1">
              <w:r>
                <w:rPr>
                  <w:rStyle w:val="CodeChar"/>
                </w:rPr>
                <w:t xml:space="preserve">Jenkinsfile</w:t>
              </w:r>
            </w:hyperlink>
          </w:p>
        </w:tc>
      </w:tr>
      <w:tr>
        <w:tc>
          <w:tcPr>
            <w:tcW w:w="4873" w:type="dxa"/>
          </w:tcPr>
          <w:p>
            <w:pPr/>
            <w:r>
              <w:t xml:space="preserve">Historial de todas las corridas</w:t>
            </w:r>
          </w:p>
        </w:tc>
        <w:tc>
          <w:tcPr>
            <w:tcW w:w="4487" w:type="dxa"/>
          </w:tcPr>
          <w:p>
            <w:pPr/>
            <w:hyperlink r:id="rId6" w:history="1">
              <w:r>
                <w:rPr>
                  <w:rStyle w:val="Hyperlink"/>
                </w:rPr>
                <w:t xml:space="preserve">Actions → CI</w:t>
              </w:r>
            </w:hyperlink>
          </w:p>
        </w:tc>
      </w:tr>
      <w:tr>
        <w:tc>
          <w:tcPr>
            <w:tcW w:w="4873" w:type="dxa"/>
          </w:tcPr>
          <w:p>
            <w:pPr/>
            <w:r>
              <w:t xml:space="preserve">Corrida en verde de referencia (</w:t>
            </w:r>
            <w:r>
              <w:rPr>
                <w:rStyle w:val="CodeChar"/>
              </w:rPr>
              <w:t xml:space="preserve">main</w:t>
            </w:r>
            <w:r>
              <w:t xml:space="preserve">, 28-oct)</w:t>
            </w:r>
          </w:p>
        </w:tc>
        <w:tc>
          <w:tcPr>
            <w:tcW w:w="4487" w:type="dxa"/>
          </w:tcPr>
          <w:p>
            <w:pPr/>
            <w:hyperlink r:id="rId7" w:history="1">
              <w:r>
                <w:rPr>
                  <w:rStyle w:val="Hyperlink"/>
                </w:rPr>
                <w:t xml:space="preserve">Run 40745028176</w:t>
              </w:r>
            </w:hyperlink>
          </w:p>
        </w:tc>
      </w:tr>
      <w:tr>
        <w:tc>
          <w:tcPr>
            <w:tcW w:w="4873" w:type="dxa"/>
          </w:tcPr>
          <w:p>
            <w:pPr/>
            <w:r>
              <w:t xml:space="preserve">Pull requests con sus checks</w:t>
            </w:r>
          </w:p>
        </w:tc>
        <w:tc>
          <w:tcPr>
            <w:tcW w:w="4487" w:type="dxa"/>
          </w:tcPr>
          <w:p>
            <w:pPr/>
            <w:hyperlink r:id="rId8" w:history="1">
              <w:r>
                <w:rPr>
                  <w:rStyle w:val="Hyperlink"/>
                </w:rPr>
                <w:t xml:space="preserve">Pull requests cerrados</w:t>
              </w:r>
            </w:hyperlink>
          </w:p>
        </w:tc>
      </w:tr>
      <w:tr>
        <w:tc>
          <w:tcPr>
            <w:tcW w:w="4873" w:type="dxa"/>
          </w:tcPr>
          <w:p>
            <w:pPr/>
            <w:r>
              <w:t xml:space="preserve">Aplicación desplegada</w:t>
            </w:r>
          </w:p>
        </w:tc>
        <w:tc>
          <w:tcPr>
            <w:tcW w:w="4487" w:type="dxa"/>
          </w:tcPr>
          <w:p>
            <w:pPr/>
            <w:hyperlink r:id="rId9" w:history="1">
              <w:r>
                <w:rPr>
                  <w:rStyle w:val="Hyperlink"/>
                </w:rPr>
                <w:t xml:space="preserve">restohub.azurewebsites.net</w:t>
              </w:r>
            </w:hyperlink>
          </w:p>
        </w:tc>
      </w:tr>
    </w:tbl>
    <w:p>
      <w:pPr>
        <w:pStyle w:val="Heading2"/>
      </w:pPr>
      <w:r>
        <w:t xml:space="preserve">1. Componentes desarrollados e integrados</w:t>
      </w:r>
    </w:p>
    <w:p>
      <w:pPr/>
      <w:r>
        <w:t xml:space="preserve">El repositorio integra en una sola rama </w:t>
      </w:r>
      <w:r>
        <w:rPr>
          <w:rStyle w:val="CodeChar"/>
        </w:rPr>
        <w:t xml:space="preserve">main</w:t>
      </w:r>
      <w:r>
        <w:t xml:space="preserve"> cuatro componentes que se construyen y prueban juntos en cada corrida. Las cifras son de </w:t>
      </w:r>
      <w:r>
        <w:rPr>
          <w:rStyle w:val="CodeChar"/>
        </w:rPr>
        <w:t xml:space="preserve">main</w:t>
      </w:r>
      <w:r>
        <w:t xml:space="preserve"> en </w:t>
      </w:r>
      <w:r>
        <w:rPr>
          <w:rStyle w:val="CodeChar"/>
        </w:rPr>
        <w:t xml:space="preserve">3f2a160</w:t>
      </w:r>
      <w:r>
        <w:t xml:space="preserve">.</w:t>
      </w:r>
    </w:p>
    <w:tbl>
      <w:tblPr>
        <w:tblStyle w:val="TableGrid"/>
        <w:tblW w:w="0" w:type="auto"/>
        <w:tblLayout w:type="fixed"/>
        <w:tblLook w:val="04A0" w:firstRow="1" w:lastRow="0" w:firstColumn="0" w:lastColumn="0" w:noHBand="0" w:noVBand="1"/>
      </w:tblPr>
      <w:tblGrid>
        <w:gridCol w:w="1741"/>
        <w:gridCol w:w="2095"/>
        <w:gridCol w:w="2525"/>
        <w:gridCol w:w="2999"/>
      </w:tblGrid>
      <w:tr>
        <w:trPr>
          <w:tblHeader/>
        </w:trPr>
        <w:tc>
          <w:tcPr>
            <w:tcW w:w="1741" w:type="dxa"/>
            <w:shd w:val="clear" w:color="auto" w:fill="F2F2F2"/>
          </w:tcPr>
          <w:p>
            <w:pPr/>
            <w:r>
              <w:t xml:space="preserve">Componente</w:t>
            </w:r>
          </w:p>
        </w:tc>
        <w:tc>
          <w:tcPr>
            <w:tcW w:w="2095" w:type="dxa"/>
            <w:shd w:val="clear" w:color="auto" w:fill="F2F2F2"/>
          </w:tcPr>
          <w:p>
            <w:pPr/>
            <w:r>
              <w:t xml:space="preserve">Tecnología</w:t>
            </w:r>
          </w:p>
        </w:tc>
        <w:tc>
          <w:tcPr>
            <w:tcW w:w="2525" w:type="dxa"/>
            <w:shd w:val="clear" w:color="auto" w:fill="F2F2F2"/>
          </w:tcPr>
          <w:p>
            <w:pPr/>
            <w:r>
              <w:t xml:space="preserve">Tamaño en </w:t>
            </w:r>
            <w:r>
              <w:rPr>
                <w:rStyle w:val="CodeChar"/>
              </w:rPr>
              <w:t xml:space="preserve">main</w:t>
            </w:r>
          </w:p>
        </w:tc>
        <w:tc>
          <w:tcPr>
            <w:tcW w:w="2999" w:type="dxa"/>
            <w:shd w:val="clear" w:color="auto" w:fill="F2F2F2"/>
          </w:tcPr>
          <w:p>
            <w:pPr/>
            <w:r>
              <w:t xml:space="preserve">Cómo se integra</w:t>
            </w:r>
          </w:p>
        </w:tc>
      </w:tr>
      <w:tr>
        <w:tc>
          <w:tcPr>
            <w:tcW w:w="1741" w:type="dxa"/>
          </w:tcPr>
          <w:p>
            <w:pPr/>
            <w:r>
              <w:t xml:space="preserve">Backend (</w:t>
            </w:r>
            <w:r>
              <w:rPr>
                <w:rStyle w:val="CodeChar"/>
              </w:rPr>
              <w:t xml:space="preserve">backend/</w:t>
            </w:r>
            <w:r>
              <w:t xml:space="preserve">)</w:t>
            </w:r>
          </w:p>
        </w:tc>
        <w:tc>
          <w:tcPr>
            <w:tcW w:w="2095" w:type="dxa"/>
          </w:tcPr>
          <w:p>
            <w:pPr/>
            <w:r>
              <w:t xml:space="preserve">Java 21, Spring Boot 3.4.13, PostgreSQL 16, Flyway</w:t>
            </w:r>
          </w:p>
        </w:tc>
        <w:tc>
          <w:tcPr>
            <w:tcW w:w="2525" w:type="dxa"/>
          </w:tcPr>
          <w:p>
            <w:pPr/>
            <w:r>
              <w:t xml:space="preserve">194 clases en 16 módulos (</w:t>
            </w:r>
            <w:r>
              <w:rPr>
                <w:rStyle w:val="CodeChar"/>
              </w:rPr>
              <w:t xml:space="preserve">auth</w:t>
            </w:r>
            <w:r>
              <w:t xml:space="preserve">, </w:t>
            </w:r>
            <w:r>
              <w:rPr>
                <w:rStyle w:val="CodeChar"/>
              </w:rPr>
              <w:t xml:space="preserve">order</w:t>
            </w:r>
            <w:r>
              <w:t xml:space="preserve">, </w:t>
            </w:r>
            <w:r>
              <w:rPr>
                <w:rStyle w:val="CodeChar"/>
              </w:rPr>
              <w:t xml:space="preserve">kitchen</w:t>
            </w:r>
            <w:r>
              <w:t xml:space="preserve">, </w:t>
            </w:r>
            <w:r>
              <w:rPr>
                <w:rStyle w:val="CodeChar"/>
              </w:rPr>
              <w:t xml:space="preserve">sale</w:t>
            </w:r>
            <w:r>
              <w:t xml:space="preserve">, </w:t>
            </w:r>
            <w:r>
              <w:rPr>
                <w:rStyle w:val="CodeChar"/>
              </w:rPr>
              <w:t xml:space="preserve">tenancy</w:t>
            </w:r>
            <w:r>
              <w:t xml:space="preserve">, …), 14 migraciones, 93 archivos de prueba</w:t>
            </w:r>
          </w:p>
        </w:tc>
        <w:tc>
          <w:tcPr>
            <w:tcW w:w="2999" w:type="dxa"/>
          </w:tcPr>
          <w:p>
            <w:pPr/>
            <w:r>
              <w:t xml:space="preserve">API REST </w:t>
            </w:r>
            <w:r>
              <w:rPr>
                <w:rStyle w:val="CodeChar"/>
              </w:rPr>
              <w:t xml:space="preserve">/api/v1</w:t>
            </w:r>
            <w:r>
              <w:t xml:space="preserve"> con aislamiento por restaurante mediante Row Level Security</w:t>
            </w:r>
          </w:p>
        </w:tc>
      </w:tr>
      <w:tr>
        <w:tc>
          <w:tcPr>
            <w:tcW w:w="1741" w:type="dxa"/>
          </w:tcPr>
          <w:p>
            <w:pPr/>
            <w:r>
              <w:t xml:space="preserve">Frontend (</w:t>
            </w:r>
            <w:r>
              <w:rPr>
                <w:rStyle w:val="CodeChar"/>
              </w:rPr>
              <w:t xml:space="preserve">frontend/</w:t>
            </w:r>
            <w:r>
              <w:t xml:space="preserve">)</w:t>
            </w:r>
          </w:p>
        </w:tc>
        <w:tc>
          <w:tcPr>
            <w:tcW w:w="2095" w:type="dxa"/>
          </w:tcPr>
          <w:p>
            <w:pPr/>
            <w:r>
              <w:t xml:space="preserve">Next.js 15.5, React 19.1, TypeScript</w:t>
            </w:r>
          </w:p>
        </w:tc>
        <w:tc>
          <w:tcPr>
            <w:tcW w:w="2525" w:type="dxa"/>
          </w:tcPr>
          <w:p>
            <w:pPr/>
            <w:r>
              <w:t xml:space="preserve">140 archivos </w:t>
            </w:r>
            <w:r>
              <w:rPr>
                <w:rStyle w:val="CodeChar"/>
              </w:rPr>
              <w:t xml:space="preserve">.ts</w:t>
            </w:r>
            <w:r>
              <w:t xml:space="preserve">/</w:t>
            </w:r>
            <w:r>
              <w:rPr>
                <w:rStyle w:val="CodeChar"/>
              </w:rPr>
              <w:t xml:space="preserve">.tsx</w:t>
            </w:r>
          </w:p>
        </w:tc>
        <w:tc>
          <w:tcPr>
            <w:tcW w:w="2999" w:type="dxa"/>
          </w:tcPr>
          <w:p>
            <w:pPr/>
            <w:r>
              <w:t xml:space="preserve">Llama rutas relativas </w:t>
            </w:r>
            <w:r>
              <w:rPr>
                <w:rStyle w:val="CodeChar"/>
              </w:rPr>
              <w:t xml:space="preserve">/api/v1/*</w:t>
            </w:r>
            <w:r>
              <w:t xml:space="preserve">; Next las reenvía al backend</w:t>
            </w:r>
          </w:p>
        </w:tc>
      </w:tr>
      <w:tr>
        <w:tc>
          <w:tcPr>
            <w:tcW w:w="1741" w:type="dxa"/>
          </w:tcPr>
          <w:p>
            <w:pPr/>
            <w:r>
              <w:t xml:space="preserve">App móvil de meseros (</w:t>
            </w:r>
            <w:r>
              <w:rPr>
                <w:rStyle w:val="CodeChar"/>
              </w:rPr>
              <w:t xml:space="preserve">mobile/</w:t>
            </w:r>
            <w:r>
              <w:t xml:space="preserve">)</w:t>
            </w:r>
          </w:p>
        </w:tc>
        <w:tc>
          <w:tcPr>
            <w:tcW w:w="2095" w:type="dxa"/>
          </w:tcPr>
          <w:p>
            <w:pPr/>
            <w:r>
              <w:t xml:space="preserve">Expo 57, React Native 0.86</w:t>
            </w:r>
          </w:p>
        </w:tc>
        <w:tc>
          <w:tcPr>
            <w:tcW w:w="2525" w:type="dxa"/>
          </w:tcPr>
          <w:p>
            <w:pPr/>
            <w:r>
              <w:t xml:space="preserve">18 archivos </w:t>
            </w:r>
            <w:r>
              <w:rPr>
                <w:rStyle w:val="CodeChar"/>
              </w:rPr>
              <w:t xml:space="preserve">.ts</w:t>
            </w:r>
            <w:r>
              <w:t xml:space="preserve">/</w:t>
            </w:r>
            <w:r>
              <w:rPr>
                <w:rStyle w:val="CodeChar"/>
              </w:rPr>
              <w:t xml:space="preserve">.tsx</w:t>
            </w:r>
          </w:p>
        </w:tc>
        <w:tc>
          <w:tcPr>
            <w:tcW w:w="2999" w:type="dxa"/>
          </w:tcPr>
          <w:p>
            <w:pPr/>
            <w:r>
              <w:t xml:space="preserve">Consume la misma API que la web</w:t>
            </w:r>
          </w:p>
        </w:tc>
      </w:tr>
      <w:tr>
        <w:tc>
          <w:tcPr>
            <w:tcW w:w="1741" w:type="dxa"/>
          </w:tcPr>
          <w:p>
            <w:pPr/>
            <w:r>
              <w:t xml:space="preserve">Infraestructura (</w:t>
            </w:r>
            <w:r>
              <w:rPr>
                <w:rStyle w:val="CodeChar"/>
              </w:rPr>
              <w:t xml:space="preserve">infra/</w:t>
            </w:r>
            <w:r>
              <w:t xml:space="preserve">)</w:t>
            </w:r>
          </w:p>
        </w:tc>
        <w:tc>
          <w:tcPr>
            <w:tcW w:w="2095" w:type="dxa"/>
          </w:tcPr>
          <w:p>
            <w:pPr/>
            <w:r>
              <w:t xml:space="preserve">Terraform (azurerm), Jenkins como código</w:t>
            </w:r>
          </w:p>
        </w:tc>
        <w:tc>
          <w:tcPr>
            <w:tcW w:w="2525" w:type="dxa"/>
          </w:tcPr>
          <w:p>
            <w:pPr/>
            <w:r>
              <w:t xml:space="preserve">30 archivos </w:t>
            </w:r>
            <w:r>
              <w:rPr>
                <w:rStyle w:val="CodeChar"/>
              </w:rPr>
              <w:t xml:space="preserve">.tf</w:t>
            </w:r>
            <w:r>
              <w:t xml:space="preserve"> en tres módulos de Azure</w:t>
            </w:r>
          </w:p>
        </w:tc>
        <w:tc>
          <w:tcPr>
            <w:tcW w:w="2999" w:type="dxa"/>
          </w:tcPr>
          <w:p>
            <w:pPr/>
            <w:r>
              <w:t xml:space="preserve">Despliega el backend y el frontend en Azure App Service</w:t>
            </w:r>
          </w:p>
        </w:tc>
      </w:tr>
    </w:tbl>
    <w:p>
      <w:pPr/>
      <w:r>
        <w:t xml:space="preserve">Un cambio en cualquiera de los cuatro dispara las mismas puertas de calidad. Por ejemplo, un cambio de contrato en el backend rompe las pruebas de tipos del frontend si este no se ajusta (sección 5).</w:t>
      </w:r>
    </w:p>
    <w:p>
      <w:pPr>
        <w:pStyle w:val="Heading2"/>
      </w:pPr>
      <w:r>
        <w:t xml:space="preserve">2. Control de versiones</w:t>
      </w:r>
    </w:p>
    <w:p>
      <w:pPr/>
      <w:r>
        <w:t xml:space="preserve">El trabajo entra a </w:t>
      </w:r>
      <w:r>
        <w:rPr>
          <w:rStyle w:val="CodeChar"/>
        </w:rPr>
        <w:t xml:space="preserve">main</w:t>
      </w:r>
      <w:r>
        <w:t xml:space="preserve"> por pull request desde ramas cortas. Al 28 de octubre van 96 pull requests fusionados, y el 98.6 % de los commits sigue la convención </w:t>
      </w:r>
      <w:r>
        <w:rPr>
          <w:rStyle w:val="CodeChar"/>
        </w:rPr>
        <w:t xml:space="preserve">tipo(ámbito): descripción</w:t>
      </w:r>
      <w:r>
        <w:t xml:space="preserve">.</w:t>
      </w:r>
    </w:p>
    <w:tbl>
      <w:tblPr>
        <w:tblStyle w:val="TableGrid"/>
        <w:tblW w:w="0" w:type="auto"/>
        <w:tblLayout w:type="fixed"/>
        <w:tblLook w:val="04A0" w:firstRow="1" w:lastRow="0" w:firstColumn="0" w:lastColumn="0" w:noHBand="0" w:noVBand="1"/>
      </w:tblPr>
      <w:tblGrid>
        <w:gridCol w:w="5178"/>
        <w:gridCol w:w="4181"/>
      </w:tblGrid>
      <w:tr>
        <w:trPr>
          <w:tblHeader/>
        </w:trPr>
        <w:tc>
          <w:tcPr>
            <w:tcW w:w="5178" w:type="dxa"/>
            <w:shd w:val="clear" w:color="auto" w:fill="F2F2F2"/>
          </w:tcPr>
          <w:p>
            <w:pPr/>
            <w:r>
              <w:t xml:space="preserve">Métrica (medida con </w:t>
            </w:r>
            <w:r>
              <w:rPr>
                <w:rStyle w:val="CodeChar"/>
              </w:rPr>
              <w:t xml:space="preserve">git</w:t>
            </w:r>
            <w:r>
              <w:t xml:space="preserve"> y la API de GitHub el 28-oct)</w:t>
            </w:r>
          </w:p>
        </w:tc>
        <w:tc>
          <w:tcPr>
            <w:tcW w:w="4181" w:type="dxa"/>
            <w:shd w:val="clear" w:color="auto" w:fill="F2F2F2"/>
          </w:tcPr>
          <w:p>
            <w:pPr/>
            <w:r>
              <w:t xml:space="preserve">Valor</w:t>
            </w:r>
          </w:p>
        </w:tc>
      </w:tr>
      <w:tr>
        <w:tc>
          <w:tcPr>
            <w:tcW w:w="5178" w:type="dxa"/>
          </w:tcPr>
          <w:p>
            <w:pPr/>
            <w:r>
              <w:t xml:space="preserve">Commits en </w:t>
            </w:r>
            <w:r>
              <w:rPr>
                <w:rStyle w:val="CodeChar"/>
              </w:rPr>
              <w:t xml:space="preserve">main</w:t>
            </w:r>
            <w:r>
              <w:t xml:space="preserve"> desde el 29-jul-2026</w:t>
            </w:r>
          </w:p>
        </w:tc>
        <w:tc>
          <w:tcPr>
            <w:tcW w:w="4181" w:type="dxa"/>
          </w:tcPr>
          <w:p>
            <w:pPr/>
            <w:r>
              <w:t xml:space="preserve">382 (282 de trabajo y 100 de fusión)</w:t>
            </w:r>
          </w:p>
        </w:tc>
      </w:tr>
      <w:tr>
        <w:tc>
          <w:tcPr>
            <w:tcW w:w="5178" w:type="dxa"/>
          </w:tcPr>
          <w:p>
            <w:pPr/>
            <w:r>
              <w:t xml:space="preserve">Pull requests fusionados / cerrados sin fusionar / abiertos</w:t>
            </w:r>
          </w:p>
        </w:tc>
        <w:tc>
          <w:tcPr>
            <w:tcW w:w="4181" w:type="dxa"/>
          </w:tcPr>
          <w:p>
            <w:pPr/>
            <w:r>
              <w:t xml:space="preserve">96 / 6 / 7</w:t>
            </w:r>
          </w:p>
        </w:tc>
      </w:tr>
      <w:tr>
        <w:tc>
          <w:tcPr>
            <w:tcW w:w="5178" w:type="dxa"/>
          </w:tcPr>
          <w:p>
            <w:pPr/>
            <w:r>
              <w:t xml:space="preserve">Ramas en GitHub</w:t>
            </w:r>
          </w:p>
        </w:tc>
        <w:tc>
          <w:tcPr>
            <w:tcW w:w="4181" w:type="dxa"/>
          </w:tcPr>
          <w:p>
            <w:pPr/>
            <w:r>
              <w:t xml:space="preserve">98</w:t>
            </w:r>
          </w:p>
        </w:tc>
      </w:tr>
      <w:tr>
        <w:tc>
          <w:tcPr>
            <w:tcW w:w="5178" w:type="dxa"/>
          </w:tcPr>
          <w:p>
            <w:pPr/>
            <w:r>
              <w:t xml:space="preserve">Commits de trabajo con formato convencional</w:t>
            </w:r>
          </w:p>
        </w:tc>
        <w:tc>
          <w:tcPr>
            <w:tcW w:w="4181" w:type="dxa"/>
          </w:tcPr>
          <w:p>
            <w:pPr/>
            <w:r>
              <w:t xml:space="preserve">278 de 282 (98.6 %)</w:t>
            </w:r>
          </w:p>
        </w:tc>
      </w:tr>
      <w:tr>
        <w:tc>
          <w:tcPr>
            <w:tcW w:w="5178" w:type="dxa"/>
          </w:tcPr>
          <w:p>
            <w:pPr/>
            <w:r>
              <w:t xml:space="preserve">Integrantes con commits</w:t>
            </w:r>
          </w:p>
        </w:tc>
        <w:tc>
          <w:tcPr>
            <w:tcW w:w="4181" w:type="dxa"/>
          </w:tcPr>
          <w:p>
            <w:pPr/>
            <w:r>
              <w:t xml:space="preserve">Los cuatro</w:t>
            </w:r>
          </w:p>
        </w:tc>
      </w:tr>
    </w:tbl>
    <w:p>
      <w:pPr/>
      <w:r>
        <w:rPr>
          <w:b/>
        </w:rPr>
        <w:t xml:space="preserve">Tipos de commit:</w:t>
      </w:r>
      <w:r>
        <w:t xml:space="preserve"> </w:t>
      </w:r>
      <w:r>
        <w:rPr>
          <w:rStyle w:val="CodeChar"/>
        </w:rPr>
        <w:t xml:space="preserve">feat</w:t>
      </w:r>
      <w:r>
        <w:t xml:space="preserve"> 116 · </w:t>
      </w:r>
      <w:r>
        <w:rPr>
          <w:rStyle w:val="CodeChar"/>
        </w:rPr>
        <w:t xml:space="preserve">docs</w:t>
      </w:r>
      <w:r>
        <w:t xml:space="preserve"> 62 · </w:t>
      </w:r>
      <w:r>
        <w:rPr>
          <w:rStyle w:val="CodeChar"/>
        </w:rPr>
        <w:t xml:space="preserve">fix</w:t>
      </w:r>
      <w:r>
        <w:t xml:space="preserve"> 55 · </w:t>
      </w:r>
      <w:r>
        <w:rPr>
          <w:rStyle w:val="CodeChar"/>
        </w:rPr>
        <w:t xml:space="preserve">test</w:t>
      </w:r>
      <w:r>
        <w:t xml:space="preserve"> 30 · </w:t>
      </w:r>
      <w:r>
        <w:rPr>
          <w:rStyle w:val="CodeChar"/>
        </w:rPr>
        <w:t xml:space="preserve">chore</w:t>
      </w:r>
      <w:r>
        <w:t xml:space="preserve"> 13 · </w:t>
      </w:r>
      <w:r>
        <w:rPr>
          <w:rStyle w:val="CodeChar"/>
        </w:rPr>
        <w:t xml:space="preserve">refactor</w:t>
      </w:r>
      <w:r>
        <w:t xml:space="preserve"> 1 · </w:t>
      </w:r>
      <w:r>
        <w:rPr>
          <w:rStyle w:val="CodeChar"/>
        </w:rPr>
        <w:t xml:space="preserve">ci</w:t>
      </w:r>
      <w:r>
        <w:t xml:space="preserve"> 1.</w:t>
      </w:r>
    </w:p>
    <w:p>
      <w:pPr/>
      <w:r>
        <w:rPr>
          <w:b/>
        </w:rPr>
        <w:t xml:space="preserve">Convención de ramas:</w:t>
      </w:r>
      <w:r>
        <w:t xml:space="preserve"> </w:t>
      </w:r>
      <w:r>
        <w:rPr>
          <w:rStyle w:val="CodeChar"/>
        </w:rPr>
        <w:t xml:space="preserve">feat/*</w:t>
      </w:r>
      <w:r>
        <w:t xml:space="preserve">, </w:t>
      </w:r>
      <w:r>
        <w:rPr>
          <w:rStyle w:val="CodeChar"/>
        </w:rPr>
        <w:t xml:space="preserve">fix/*</w:t>
      </w:r>
      <w:r>
        <w:t xml:space="preserve">, </w:t>
      </w:r>
      <w:r>
        <w:rPr>
          <w:rStyle w:val="CodeChar"/>
        </w:rPr>
        <w:t xml:space="preserve">docs/*</w:t>
      </w:r>
      <w:r>
        <w:t xml:space="preserve">, </w:t>
      </w:r>
      <w:r>
        <w:rPr>
          <w:rStyle w:val="CodeChar"/>
        </w:rPr>
        <w:t xml:space="preserve">test/*</w:t>
      </w:r>
      <w:r>
        <w:t xml:space="preserve"> y </w:t>
      </w:r>
      <w:r>
        <w:rPr>
          <w:rStyle w:val="CodeChar"/>
        </w:rPr>
        <w:t xml:space="preserve">chore/*</w:t>
      </w:r>
      <w:r>
        <w:t xml:space="preserve">, con la clave del issue de Linear, por ejemplo </w:t>
      </w:r>
      <w:r>
        <w:rPr>
          <w:rStyle w:val="CodeChar"/>
        </w:rPr>
        <w:t xml:space="preserve">test/cal-122-ut-usuarios-roles</w:t>
      </w:r>
      <w:r>
        <w:t xml:space="preserve"> o </w:t>
      </w:r>
      <w:r>
        <w:rPr>
          <w:rStyle w:val="CodeChar"/>
        </w:rPr>
        <w:t xml:space="preserve">fix/cal-169-ip-cliente-azure</w:t>
      </w:r>
      <w:r>
        <w:t xml:space="preserve">. El commit y el título del PR citan la misma clave, así que cada cambio se rastrea del issue al código y a su corrida de CI.</w:t>
      </w:r>
    </w:p>
    <w:p>
      <w:pPr/>
      <w:r>
        <w:rPr>
          <w:b/>
        </w:rPr>
        <w:t xml:space="preserve">Lo que no es convencional (4 commits):</w:t>
      </w:r>
      <w:r>
        <w:t xml:space="preserve"> mensajes antiguos como «Tarea Cal-7 primer sprint» o «Guardo de cambios en el frontend». Se dejan como están: reescribir la historia de </w:t>
      </w:r>
      <w:r>
        <w:rPr>
          <w:rStyle w:val="CodeChar"/>
        </w:rPr>
        <w:t xml:space="preserve">main</w:t>
      </w:r>
      <w:r>
        <w:t xml:space="preserve"> rompería las ramas de todo el equipo.</w:t>
      </w:r>
    </w:p>
    <w:p>
      <w:pPr>
        <w:pStyle w:val="Heading2"/>
      </w:pPr>
      <w:r>
        <w:t xml:space="preserve">3. Pipeline configurado</w:t>
      </w:r>
    </w:p>
    <w:p>
      <w:pPr/>
      <w:r>
        <w:t xml:space="preserve">El pipeline está definido como código en el repositorio: </w:t>
      </w:r>
      <w:hyperlink r:id="rId4" w:history="1">
        <w:r>
          <w:rPr>
            <w:rStyle w:val="CodeChar"/>
          </w:rPr>
          <w:t xml:space="preserve">.github/workflows/ci.yml</w:t>
        </w:r>
      </w:hyperlink>
      <w:r>
        <w:t xml:space="preserve"> para GitHub Actions y </w:t>
      </w:r>
      <w:hyperlink r:id="rId5" w:history="1">
        <w:r>
          <w:rPr>
            <w:rStyle w:val="CodeChar"/>
          </w:rPr>
          <w:t xml:space="preserve">Jenkinsfile</w:t>
        </w:r>
      </w:hyperlink>
      <w:r>
        <w:t xml:space="preserve"> para Jenkins. Los dos corren las mismas puertas. Actions las ejecuta en paralelo y Jenkins en serie.</w:t>
      </w:r>
    </w:p>
    <w:p>
      <w:pPr/>
      <w:r>
        <w:drawing>
          <wp:inline distT="0" distB="0" distL="0" distR="0">
            <wp:extent cx="5486400" cy="4122964"/>
            <wp:docPr id="1" name="image1" descr="Pipeline de integración continua · disparadores, cinco trabajos y resultado"/>
            <a:graphic xmlns:a="http://schemas.openxmlformats.org/drawingml/2006/main">
              <a:graphicData uri="http://schemas.openxmlformats.org/drawingml/2006/picture">
                <pic:pic xmlns:pic="http://schemas.openxmlformats.org/drawingml/2006/picture">
                  <pic:nvPicPr>
                    <pic:cNvPr id="1" name="image1" descr="Pipeline de integración continua · disparadores, cinco trabajos y resultado"/>
                    <pic:cNvPicPr/>
                  </pic:nvPicPr>
                  <pic:blipFill>
                    <a:blip r:embed="rId10"/>
                    <a:stretch>
                      <a:fillRect/>
                    </a:stretch>
                  </pic:blipFill>
                  <pic:spPr>
                    <a:xfrm>
                      <a:off x="0" y="0"/>
                      <a:ext cx="5486400" cy="4122964"/>
                    </a:xfrm>
                    <a:prstGeom prst="rect">
                      <a:avLst/>
                    </a:prstGeom>
                  </pic:spPr>
                </pic:pic>
              </a:graphicData>
            </a:graphic>
          </wp:inline>
        </w:drawing>
      </w:r>
    </w:p>
    <w:p>
      <w:pPr/>
      <w:r>
        <w:t xml:space="preserve">Pipeline de integración continua · disparadores, cinco trabajos y resultado</w:t>
      </w:r>
    </w:p>
    <w:p>
      <w:pPr/>
      <w:r>
        <w:t xml:space="preserve">Si un solo trabajo falla, toda la corrida queda en rojo y el commit lo muestra en GitHub. Los comandos son los mismos que define </w:t>
      </w:r>
      <w:r>
        <w:rPr>
          <w:rStyle w:val="CodeChar"/>
        </w:rPr>
        <w:t xml:space="preserve">AGENTS.md</w:t>
      </w:r>
      <w:r>
        <w:t xml:space="preserve"> como puertas de calidad del proyecto, así que un integrante obtiene en su máquina el mismo resultado que el CI.</w:t>
      </w:r>
    </w:p>
    <w:p>
      <w:pPr>
        <w:pStyle w:val="Heading2"/>
      </w:pPr>
      <w:r>
        <w:t xml:space="preserve">4. Pipeline ejecutado</w:t>
      </w:r>
    </w:p>
    <w:p>
      <w:pPr/>
      <w:r>
        <w:t xml:space="preserve">El pipeline corre solo, sin intervención manual, en cada push a </w:t>
      </w:r>
      <w:r>
        <w:rPr>
          <w:rStyle w:val="CodeChar"/>
        </w:rPr>
        <w:t xml:space="preserve">main</w:t>
      </w:r>
      <w:r>
        <w:t xml:space="preserve"> o a una rama </w:t>
      </w:r>
      <w:r>
        <w:rPr>
          <w:rStyle w:val="CodeChar"/>
        </w:rPr>
        <w:t xml:space="preserve">feat/**</w:t>
      </w:r>
      <w:r>
        <w:t xml:space="preserve"> y en cada pull request. Lleva 339 corridas: 306 en verde, 32 en rojo y 1 cancelada. Sobre </w:t>
      </w:r>
      <w:r>
        <w:rPr>
          <w:rStyle w:val="CodeChar"/>
        </w:rPr>
        <w:t xml:space="preserve">main</w:t>
      </w:r>
      <w:r>
        <w:t xml:space="preserve"> van 107 corridas, 101 de ellas en verde.</w:t>
      </w:r>
    </w:p>
    <w:p>
      <w:pPr/>
      <w:r>
        <w:rPr>
          <w:b/>
        </w:rPr>
        <w:t xml:space="preserve">Corrida de referencia:</w:t>
      </w:r>
      <w:r>
        <w:t xml:space="preserve"> </w:t>
      </w:r>
      <w:hyperlink r:id="rId7" w:history="1">
        <w:r>
          <w:rPr>
            <w:rStyle w:val="Hyperlink"/>
          </w:rPr>
          <w:t xml:space="preserve">Run 40745028176</w:t>
        </w:r>
      </w:hyperlink>
      <w:r>
        <w:t xml:space="preserve">, push a </w:t>
      </w:r>
      <w:r>
        <w:rPr>
          <w:rStyle w:val="CodeChar"/>
        </w:rPr>
        <w:t xml:space="preserve">main</w:t>
      </w:r>
      <w:r>
        <w:t xml:space="preserve"> del 28-oct-2026 a las 12:25 (America/Mexico_City), commit </w:t>
      </w:r>
      <w:r>
        <w:rPr>
          <w:rStyle w:val="CodeChar"/>
        </w:rPr>
        <w:t xml:space="preserve">3f2a160</w:t>
      </w:r>
      <w:r>
        <w:t xml:space="preserve">. Es la fusión del PR #105. Los cinco trabajos corren en paralelo y la corrida completa tardó 3 min 30 s.</w:t>
      </w:r>
    </w:p>
    <w:tbl>
      <w:tblPr>
        <w:tblStyle w:val="TableGrid"/>
        <w:tblW w:w="0" w:type="auto"/>
        <w:tblLayout w:type="fixed"/>
        <w:tblLook w:val="04A0" w:firstRow="1" w:lastRow="0" w:firstColumn="0" w:lastColumn="0" w:noHBand="0" w:noVBand="1"/>
      </w:tblPr>
      <w:tblGrid>
        <w:gridCol w:w="1196"/>
        <w:gridCol w:w="2954"/>
        <w:gridCol w:w="3858"/>
        <w:gridCol w:w="1352"/>
      </w:tblGrid>
      <w:tr>
        <w:trPr>
          <w:tblHeader/>
        </w:trPr>
        <w:tc>
          <w:tcPr>
            <w:tcW w:w="1196" w:type="dxa"/>
            <w:shd w:val="clear" w:color="auto" w:fill="F2F2F2"/>
          </w:tcPr>
          <w:p>
            <w:pPr/>
            <w:r>
              <w:t xml:space="preserve">Trabajo</w:t>
            </w:r>
          </w:p>
        </w:tc>
        <w:tc>
          <w:tcPr>
            <w:tcW w:w="2954" w:type="dxa"/>
            <w:shd w:val="clear" w:color="auto" w:fill="F2F2F2"/>
          </w:tcPr>
          <w:p>
            <w:pPr/>
            <w:r>
              <w:t xml:space="preserve">Qué ejecuta</w:t>
            </w:r>
          </w:p>
        </w:tc>
        <w:tc>
          <w:tcPr>
            <w:tcW w:w="3858" w:type="dxa"/>
            <w:shd w:val="clear" w:color="auto" w:fill="F2F2F2"/>
          </w:tcPr>
          <w:p>
            <w:pPr/>
            <w:r>
              <w:t xml:space="preserve">Resultado</w:t>
            </w:r>
          </w:p>
        </w:tc>
        <w:tc>
          <w:tcPr>
            <w:tcW w:w="1352" w:type="dxa"/>
            <w:shd w:val="clear" w:color="auto" w:fill="F2F2F2"/>
          </w:tcPr>
          <w:p>
            <w:pPr/>
            <w:r>
              <w:t xml:space="preserve">Duración</w:t>
            </w:r>
          </w:p>
        </w:tc>
      </w:tr>
      <w:tr>
        <w:tc>
          <w:tcPr>
            <w:tcW w:w="1196" w:type="dxa"/>
          </w:tcPr>
          <w:p>
            <w:pPr/>
            <w:r>
              <w:rPr>
                <w:rStyle w:val="CodeChar"/>
              </w:rPr>
              <w:t xml:space="preserve">backend</w:t>
            </w:r>
          </w:p>
        </w:tc>
        <w:tc>
          <w:tcPr>
            <w:tcW w:w="2954" w:type="dxa"/>
          </w:tcPr>
          <w:p>
            <w:pPr/>
            <w:r>
              <w:rPr>
                <w:rStyle w:val="CodeChar"/>
              </w:rPr>
              <w:t xml:space="preserve">./mvnw --batch-mode verify</w:t>
            </w:r>
            <w:r>
              <w:t xml:space="preserve"> con JDK 21</w:t>
            </w:r>
          </w:p>
        </w:tc>
        <w:tc>
          <w:tcPr>
            <w:tcW w:w="3858" w:type="dxa"/>
          </w:tcPr>
          <w:p>
            <w:pPr/>
            <w:r>
              <w:t xml:space="preserve">724 pruebas, 0 fallas, 3 omitidas a propósito · </w:t>
            </w:r>
            <w:r>
              <w:rPr>
                <w:rStyle w:val="CodeChar"/>
              </w:rPr>
              <w:t xml:space="preserve">BUILD SUCCESS</w:t>
            </w:r>
          </w:p>
        </w:tc>
        <w:tc>
          <w:tcPr>
            <w:tcW w:w="1352" w:type="dxa"/>
          </w:tcPr>
          <w:p>
            <w:pPr/>
            <w:r>
              <w:t xml:space="preserve">1 min 52 s</w:t>
            </w:r>
          </w:p>
        </w:tc>
      </w:tr>
      <w:tr>
        <w:tc>
          <w:tcPr>
            <w:tcW w:w="1196" w:type="dxa"/>
          </w:tcPr>
          <w:p>
            <w:pPr/>
            <w:r>
              <w:rPr>
                <w:rStyle w:val="CodeChar"/>
              </w:rPr>
              <w:t xml:space="preserve">frontend</w:t>
            </w:r>
          </w:p>
        </w:tc>
        <w:tc>
          <w:tcPr>
            <w:tcW w:w="2954" w:type="dxa"/>
          </w:tcPr>
          <w:p>
            <w:pPr/>
            <w:r>
              <w:rPr>
                <w:rStyle w:val="CodeChar"/>
              </w:rPr>
              <w:t xml:space="preserve">pnpm audit</w:t>
            </w:r>
            <w:r>
              <w:t xml:space="preserve">, </w:t>
            </w:r>
            <w:r>
              <w:rPr>
                <w:rStyle w:val="CodeChar"/>
              </w:rPr>
              <w:t xml:space="preserve">pnpm test:coverage</w:t>
            </w:r>
            <w:r>
              <w:t xml:space="preserve">, </w:t>
            </w:r>
            <w:r>
              <w:rPr>
                <w:rStyle w:val="CodeChar"/>
              </w:rPr>
              <w:t xml:space="preserve">pnpm lint</w:t>
            </w:r>
            <w:r>
              <w:t xml:space="preserve">, </w:t>
            </w:r>
            <w:r>
              <w:rPr>
                <w:rStyle w:val="CodeChar"/>
              </w:rPr>
              <w:t xml:space="preserve">tsc --noEmit</w:t>
            </w:r>
            <w:r>
              <w:t xml:space="preserve">, </w:t>
            </w:r>
            <w:r>
              <w:rPr>
                <w:rStyle w:val="CodeChar"/>
              </w:rPr>
              <w:t xml:space="preserve">pnpm build</w:t>
            </w:r>
          </w:p>
        </w:tc>
        <w:tc>
          <w:tcPr>
            <w:tcW w:w="3858" w:type="dxa"/>
          </w:tcPr>
          <w:p>
            <w:pPr/>
            <w:r>
              <w:t xml:space="preserve">25 archivos, 190 pruebas, 0 fallas · cobertura de líneas 92.5 %</w:t>
            </w:r>
          </w:p>
        </w:tc>
        <w:tc>
          <w:tcPr>
            <w:tcW w:w="1352" w:type="dxa"/>
          </w:tcPr>
          <w:p>
            <w:pPr/>
            <w:r>
              <w:t xml:space="preserve">52 s</w:t>
            </w:r>
          </w:p>
        </w:tc>
      </w:tr>
      <w:tr>
        <w:tc>
          <w:tcPr>
            <w:tcW w:w="1196" w:type="dxa"/>
          </w:tcPr>
          <w:p>
            <w:pPr/>
            <w:r>
              <w:rPr>
                <w:rStyle w:val="CodeChar"/>
              </w:rPr>
              <w:t xml:space="preserve">mobile</w:t>
            </w:r>
          </w:p>
        </w:tc>
        <w:tc>
          <w:tcPr>
            <w:tcW w:w="2954" w:type="dxa"/>
          </w:tcPr>
          <w:p>
            <w:pPr/>
            <w:r>
              <w:rPr>
                <w:rStyle w:val="CodeChar"/>
              </w:rPr>
              <w:t xml:space="preserve">tsc --noEmit</w:t>
            </w:r>
            <w:r>
              <w:t xml:space="preserve">, </w:t>
            </w:r>
            <w:r>
              <w:rPr>
                <w:rStyle w:val="CodeChar"/>
              </w:rPr>
              <w:t xml:space="preserve">pnpm test</w:t>
            </w:r>
          </w:p>
        </w:tc>
        <w:tc>
          <w:tcPr>
            <w:tcW w:w="3858" w:type="dxa"/>
          </w:tcPr>
          <w:p>
            <w:pPr/>
            <w:r>
              <w:t xml:space="preserve">3 archivos, 34 pruebas, 0 fallas</w:t>
            </w:r>
          </w:p>
        </w:tc>
        <w:tc>
          <w:tcPr>
            <w:tcW w:w="1352" w:type="dxa"/>
          </w:tcPr>
          <w:p>
            <w:pPr/>
            <w:r>
              <w:t xml:space="preserve">17 s</w:t>
            </w:r>
          </w:p>
        </w:tc>
      </w:tr>
      <w:tr>
        <w:tc>
          <w:tcPr>
            <w:tcW w:w="1196" w:type="dxa"/>
          </w:tcPr>
          <w:p>
            <w:pPr/>
            <w:r>
              <w:rPr>
                <w:rStyle w:val="CodeChar"/>
              </w:rPr>
              <w:t xml:space="preserve">security</w:t>
            </w:r>
          </w:p>
        </w:tc>
        <w:tc>
          <w:tcPr>
            <w:tcW w:w="2954" w:type="dxa"/>
          </w:tcPr>
          <w:p>
            <w:pPr/>
            <w:r>
              <w:rPr>
                <w:rStyle w:val="CodeChar"/>
              </w:rPr>
              <w:t xml:space="preserve">scripts/security-scan.sh</w:t>
            </w:r>
            <w:r>
              <w:t xml:space="preserve"> (secretos en archivos rastreados)</w:t>
            </w:r>
          </w:p>
        </w:tc>
        <w:tc>
          <w:tcPr>
            <w:tcW w:w="3858" w:type="dxa"/>
          </w:tcPr>
          <w:p>
            <w:pPr/>
            <w:r>
              <w:t xml:space="preserve">0 secretos detectados</w:t>
            </w:r>
          </w:p>
        </w:tc>
        <w:tc>
          <w:tcPr>
            <w:tcW w:w="1352" w:type="dxa"/>
          </w:tcPr>
          <w:p>
            <w:pPr/>
            <w:r>
              <w:t xml:space="preserve">31 s</w:t>
            </w:r>
          </w:p>
        </w:tc>
      </w:tr>
      <w:tr>
        <w:tc>
          <w:tcPr>
            <w:tcW w:w="1196" w:type="dxa"/>
          </w:tcPr>
          <w:p>
            <w:pPr/>
            <w:r>
              <w:rPr>
                <w:rStyle w:val="CodeChar"/>
              </w:rPr>
              <w:t xml:space="preserve">images</w:t>
            </w:r>
          </w:p>
        </w:tc>
        <w:tc>
          <w:tcPr>
            <w:tcW w:w="2954" w:type="dxa"/>
          </w:tcPr>
          <w:p>
            <w:pPr/>
            <w:r>
              <w:rPr>
                <w:rStyle w:val="CodeChar"/>
              </w:rPr>
              <w:t xml:space="preserve">scripts/verify-images.sh</w:t>
            </w:r>
          </w:p>
        </w:tc>
        <w:tc>
          <w:tcPr>
            <w:tcW w:w="3858" w:type="dxa"/>
          </w:tcPr>
          <w:p>
            <w:pPr/>
            <w:r>
              <w:t xml:space="preserve">Imágenes de producción verificadas: usuario no root 10001, backend en perfil </w:t>
            </w:r>
            <w:r>
              <w:rPr>
                <w:rStyle w:val="CodeChar"/>
              </w:rPr>
              <w:t xml:space="preserve">prod</w:t>
            </w:r>
            <w:r>
              <w:t xml:space="preserve">, frontend </w:t>
            </w:r>
            <w:r>
              <w:rPr>
                <w:rStyle w:val="CodeChar"/>
              </w:rPr>
              <w:t xml:space="preserve">standalone</w:t>
            </w:r>
            <w:r>
              <w:t xml:space="preserve"> sano, </w:t>
            </w:r>
            <w:r>
              <w:rPr>
                <w:rStyle w:val="CodeChar"/>
              </w:rPr>
              <w:t xml:space="preserve">/app</w:t>
            </w:r>
            <w:r>
              <w:t xml:space="preserve"> de solo lectura</w:t>
            </w:r>
          </w:p>
        </w:tc>
        <w:tc>
          <w:tcPr>
            <w:tcW w:w="1352" w:type="dxa"/>
          </w:tcPr>
          <w:p>
            <w:pPr/>
            <w:r>
              <w:t xml:space="preserve">3 min 27 s</w:t>
            </w:r>
          </w:p>
        </w:tc>
      </w:tr>
    </w:tbl>
    <w:p>
      <w:pPr/>
      <w:r>
        <w:t xml:space="preserve">Las 3 pruebas omitidas lo están con </w:t>
      </w:r>
      <w:r>
        <w:rPr>
          <w:rStyle w:val="CodeChar"/>
        </w:rPr>
        <w:t xml:space="preserve">@Disabled</w:t>
      </w:r>
      <w:r>
        <w:t xml:space="preserve"> y el defecto que las desactiva: CAL-178 (el límite de mesas del plan no se aplica) y CAL-180 (el correo distingue mayúsculas). Se activan cuando esos defectos se corrijan.</w:t>
      </w:r>
    </w:p>
    <w:p>
      <w:pPr>
        <w:pStyle w:val="Heading2"/>
      </w:pPr>
      <w:r>
        <w:t xml:space="preserve">5. El pipeline falla cuando algo se rompe</w:t>
      </w:r>
    </w:p>
    <w:p>
      <w:pPr/>
      <w:r>
        <w:t xml:space="preserve">El pipeline se ha puesto en rojo 32 veces. Casi siempre fue por errores del código y alguna vez por fallas de infraestructura, como la del 28-oct, cuando no pudo descargar Maven. En estos tres casos el error era del código, y la corrida volvió a verde solo después de corregirlo.</w:t>
      </w:r>
    </w:p>
    <w:tbl>
      <w:tblPr>
        <w:tblStyle w:val="TableGrid"/>
        <w:tblW w:w="0" w:type="auto"/>
        <w:tblLayout w:type="fixed"/>
        <w:tblLook w:val="04A0" w:firstRow="1" w:lastRow="0" w:firstColumn="0" w:lastColumn="0" w:noHBand="0" w:noVBand="1"/>
      </w:tblPr>
      <w:tblGrid>
        <w:gridCol w:w="1583"/>
        <w:gridCol w:w="1622"/>
        <w:gridCol w:w="4062"/>
        <w:gridCol w:w="2093"/>
      </w:tblGrid>
      <w:tr>
        <w:trPr>
          <w:tblHeader/>
        </w:trPr>
        <w:tc>
          <w:tcPr>
            <w:tcW w:w="1583" w:type="dxa"/>
            <w:shd w:val="clear" w:color="auto" w:fill="F2F2F2"/>
          </w:tcPr>
          <w:p>
            <w:pPr/>
            <w:r>
              <w:t xml:space="preserve">Fecha</w:t>
            </w:r>
          </w:p>
        </w:tc>
        <w:tc>
          <w:tcPr>
            <w:tcW w:w="1622" w:type="dxa"/>
            <w:shd w:val="clear" w:color="auto" w:fill="F2F2F2"/>
          </w:tcPr>
          <w:p>
            <w:pPr/>
            <w:r>
              <w:t xml:space="preserve">Corrida en rojo</w:t>
            </w:r>
          </w:p>
        </w:tc>
        <w:tc>
          <w:tcPr>
            <w:tcW w:w="4062" w:type="dxa"/>
            <w:shd w:val="clear" w:color="auto" w:fill="F2F2F2"/>
          </w:tcPr>
          <w:p>
            <w:pPr/>
            <w:r>
              <w:t xml:space="preserve">Qué se rompió</w:t>
            </w:r>
          </w:p>
        </w:tc>
        <w:tc>
          <w:tcPr>
            <w:tcW w:w="2093" w:type="dxa"/>
            <w:shd w:val="clear" w:color="auto" w:fill="F2F2F2"/>
          </w:tcPr>
          <w:p>
            <w:pPr/>
            <w:r>
              <w:t xml:space="preserve">Corrección y corrida en verde</w:t>
            </w:r>
          </w:p>
        </w:tc>
      </w:tr>
      <w:tr>
        <w:tc>
          <w:tcPr>
            <w:tcW w:w="1583" w:type="dxa"/>
          </w:tcPr>
          <w:p>
            <w:pPr/>
            <w:r>
              <w:t xml:space="preserve">13-oct, 11:24</w:t>
            </w:r>
          </w:p>
        </w:tc>
        <w:tc>
          <w:tcPr>
            <w:tcW w:w="1622" w:type="dxa"/>
          </w:tcPr>
          <w:p>
            <w:pPr/>
            <w:hyperlink r:id="rId11" w:history="1">
              <w:r>
                <w:rPr>
                  <w:rStyle w:val="Hyperlink"/>
                </w:rPr>
                <w:t xml:space="preserve">38438430123</w:t>
              </w:r>
            </w:hyperlink>
            <w:r>
              <w:t xml:space="preserve">, rama </w:t>
            </w:r>
            <w:r>
              <w:rPr>
                <w:rStyle w:val="CodeChar"/>
              </w:rPr>
              <w:t xml:space="preserve">feat/cal-13-…</w:t>
            </w:r>
            <w:r>
              <w:t xml:space="preserve">, commit </w:t>
            </w:r>
            <w:r>
              <w:rPr>
                <w:rStyle w:val="CodeChar"/>
              </w:rPr>
              <w:t xml:space="preserve">cd0251a</w:t>
            </w:r>
          </w:p>
        </w:tc>
        <w:tc>
          <w:tcPr>
            <w:tcW w:w="4062" w:type="dxa"/>
          </w:tcPr>
          <w:p>
            <w:pPr/>
            <w:r>
              <w:t xml:space="preserve">CAL-13 agregó una tabla con RLS. </w:t>
            </w:r>
            <w:r>
              <w:rPr>
                <w:rStyle w:val="CodeChar"/>
              </w:rPr>
              <w:t xml:space="preserve">SplitPaymentMigrationTest.upgradeBackfillsBothRestaurantsUnderForcedRlsWithoutDuplicatingExistingPayments</w:t>
            </w:r>
            <w:r>
              <w:t xml:space="preserve"> falló, porque la prueba exige que </w:t>
            </w:r>
            <w:r>
              <w:rPr>
                <w:b/>
              </w:rPr>
              <w:t xml:space="preserve">todas</w:t>
            </w:r>
            <w:r>
              <w:t xml:space="preserve"> las tablas del negocio tengan RLS forzado y lleva la cuenta exacta</w:t>
            </w:r>
          </w:p>
        </w:tc>
        <w:tc>
          <w:tcPr>
            <w:tcW w:w="2093" w:type="dxa"/>
          </w:tcPr>
          <w:p>
            <w:pPr/>
            <w:r>
              <w:t xml:space="preserve">3 minutos después, </w:t>
            </w:r>
            <w:r>
              <w:rPr>
                <w:rStyle w:val="CodeChar"/>
              </w:rPr>
              <w:t xml:space="preserve">3831352</w:t>
            </w:r>
            <w:r>
              <w:t xml:space="preserve"> actualizó la cuenta a 15 tablas: </w:t>
            </w:r>
            <w:hyperlink r:id="rId12" w:history="1">
              <w:r>
                <w:rPr>
                  <w:rStyle w:val="Hyperlink"/>
                </w:rPr>
                <w:t xml:space="preserve">38438796137</w:t>
              </w:r>
            </w:hyperlink>
            <w:r>
              <w:t xml:space="preserve"> en verde. El PR se fusionó hasta entonces</w:t>
            </w:r>
          </w:p>
        </w:tc>
      </w:tr>
      <w:tr>
        <w:tc>
          <w:tcPr>
            <w:tcW w:w="1583" w:type="dxa"/>
          </w:tcPr>
          <w:p>
            <w:pPr/>
            <w:r>
              <w:t xml:space="preserve">20-oct, 22:58</w:t>
            </w:r>
          </w:p>
        </w:tc>
        <w:tc>
          <w:tcPr>
            <w:tcW w:w="1622" w:type="dxa"/>
          </w:tcPr>
          <w:p>
            <w:pPr/>
            <w:hyperlink r:id="rId13" w:history="1">
              <w:r>
                <w:rPr>
                  <w:rStyle w:val="Hyperlink"/>
                </w:rPr>
                <w:t xml:space="preserve">39546917540</w:t>
              </w:r>
            </w:hyperlink>
            <w:r>
              <w:t xml:space="preserve"> y tres corridas más, sobre </w:t>
            </w:r>
            <w:r>
              <w:rPr>
                <w:rStyle w:val="CodeChar"/>
              </w:rPr>
              <w:t xml:space="preserve">main</w:t>
            </w:r>
          </w:p>
        </w:tc>
        <w:tc>
          <w:tcPr>
            <w:tcW w:w="4062" w:type="dxa"/>
          </w:tcPr>
          <w:p>
            <w:pPr/>
            <w:r>
              <w:t xml:space="preserve">La API de menú QR (#72) y la impresión de QR (#73) se fusionaron casi a la vez y no compilaron juntas. </w:t>
            </w:r>
            <w:r>
              <w:rPr>
                <w:rStyle w:val="CodeChar"/>
              </w:rPr>
              <w:t xml:space="preserve">tsc</w:t>
            </w:r>
            <w:r>
              <w:t xml:space="preserve"> reportó </w:t>
            </w:r>
            <w:r>
              <w:rPr>
                <w:rStyle w:val="CodeChar"/>
              </w:rPr>
              <w:t xml:space="preserve">error TS2353: … 'restaurantId' does not exist in type 'TableResponse'</w:t>
            </w:r>
          </w:p>
        </w:tc>
        <w:tc>
          <w:tcPr>
            <w:tcW w:w="2093" w:type="dxa"/>
          </w:tcPr>
          <w:p>
            <w:pPr/>
            <w:r>
              <w:t xml:space="preserve">PR #74 (</w:t>
            </w:r>
            <w:r>
              <w:rPr>
                <w:rStyle w:val="CodeChar"/>
              </w:rPr>
              <w:t xml:space="preserve">fix/menu-qr-publico-tenant</w:t>
            </w:r>
            <w:r>
              <w:t xml:space="preserve">), fusionado a las 00:36: </w:t>
            </w:r>
            <w:hyperlink r:id="rId14" w:history="1">
              <w:r>
                <w:rPr>
                  <w:rStyle w:val="Hyperlink"/>
                </w:rPr>
                <w:t xml:space="preserve">39556504909</w:t>
              </w:r>
            </w:hyperlink>
            <w:r>
              <w:t xml:space="preserve"> en verde</w:t>
            </w:r>
          </w:p>
        </w:tc>
      </w:tr>
      <w:tr>
        <w:tc>
          <w:tcPr>
            <w:tcW w:w="1583" w:type="dxa"/>
          </w:tcPr>
          <w:p>
            <w:pPr/>
            <w:r>
              <w:t xml:space="preserve">9-oct</w:t>
            </w:r>
          </w:p>
        </w:tc>
        <w:tc>
          <w:tcPr>
            <w:tcW w:w="1622" w:type="dxa"/>
          </w:tcPr>
          <w:p>
            <w:pPr/>
            <w:hyperlink r:id="rId15" w:history="1">
              <w:r>
                <w:rPr>
                  <w:rStyle w:val="Hyperlink"/>
                </w:rPr>
                <w:t xml:space="preserve">37864981004</w:t>
              </w:r>
            </w:hyperlink>
            <w:r>
              <w:t xml:space="preserve">, sobre </w:t>
            </w:r>
            <w:r>
              <w:rPr>
                <w:rStyle w:val="CodeChar"/>
              </w:rPr>
              <w:t xml:space="preserve">main</w:t>
            </w:r>
          </w:p>
        </w:tc>
        <w:tc>
          <w:tcPr>
            <w:tcW w:w="4062" w:type="dxa"/>
          </w:tcPr>
          <w:p>
            <w:pPr/>
            <w:r>
              <w:t xml:space="preserve">Al integrar las cabeceras de seguridad, el middleware de CSP cambió su matcher y </w:t>
            </w:r>
            <w:r>
              <w:rPr>
                <w:rStyle w:val="CodeChar"/>
              </w:rPr>
              <w:t xml:space="preserve">protected-pages.test.ts</w:t>
            </w:r>
            <w:r>
              <w:t xml:space="preserve">, que vigila la lista de rutas privadas, dejó de coincidir con el </w:t>
            </w:r>
            <w:r>
              <w:rPr>
                <w:i/>
              </w:rPr>
              <w:t xml:space="preserve">matcher</w:t>
            </w:r>
            <w:r>
              <w:t xml:space="preserve"> del middleware: </w:t>
            </w:r>
            <w:r>
              <w:rPr>
                <w:rStyle w:val="CodeChar"/>
              </w:rPr>
              <w:t xml:space="preserve">expected [ Array(1) ] to deeply equal [ '/admin/:path*', …(7) ]</w:t>
            </w:r>
          </w:p>
        </w:tc>
        <w:tc>
          <w:tcPr>
            <w:tcW w:w="2093" w:type="dxa"/>
          </w:tcPr>
          <w:p>
            <w:pPr/>
            <w:r>
              <w:t xml:space="preserve">El 10-oct, el commit ccda693 alineó la prueba con el nuevo middleware. Siguiente corrida de </w:t>
            </w:r>
            <w:r>
              <w:rPr>
                <w:rStyle w:val="CodeChar"/>
              </w:rPr>
              <w:t xml:space="preserve">main</w:t>
            </w:r>
            <w:r>
              <w:t xml:space="preserve"> el 13-oct: </w:t>
            </w:r>
            <w:hyperlink r:id="rId16" w:history="1">
              <w:r>
                <w:rPr>
                  <w:rStyle w:val="Hyperlink"/>
                </w:rPr>
                <w:t xml:space="preserve">38433342690</w:t>
              </w:r>
            </w:hyperlink>
            <w:r>
              <w:t xml:space="preserve"> en verde</w:t>
            </w:r>
          </w:p>
        </w:tc>
      </w:tr>
    </w:tbl>
    <w:p>
      <w:pPr/>
      <w:r>
        <w:t xml:space="preserve">El primer caso es la prueba más fuerte de la garantía central del proyecto: un cambio que pudo dejar una tabla sin aislamiento entre restaurantes no pasó el pipeline.</w:t>
      </w:r>
    </w:p>
    <w:p>
      <w:pPr/>
      <w:r>
        <w:t xml:space="preserve">Los otros dos casos llegaron a </w:t>
      </w:r>
      <w:r>
        <w:rPr>
          <w:rStyle w:val="CodeChar"/>
        </w:rPr>
        <w:t xml:space="preserve">main</w:t>
      </w:r>
      <w:r>
        <w:t xml:space="preserve"> porque </w:t>
      </w:r>
      <w:r>
        <w:rPr>
          <w:b/>
        </w:rPr>
        <w:t xml:space="preserve">la protección de rama no está activa</w:t>
      </w:r>
      <w:r>
        <w:t xml:space="preserve">: GitHub permite fusionar con el CI en rojo. El pipeline los detectó en el siguiente push, pero no los bloqueó. Esa es la mejora pendiente principal (sección 7).</w:t>
      </w:r>
    </w:p>
    <w:p>
      <w:pPr>
        <w:pStyle w:val="Heading2"/>
      </w:pPr>
      <w:r>
        <w:t xml:space="preserve">6. Pruebas automatizadas que corren</w:t>
      </w:r>
    </w:p>
    <w:p>
      <w:pPr/>
      <w:r>
        <w:t xml:space="preserve">En cada corrida se ejecutan 948 pruebas automatizadas: 724 del backend, 190 del frontend y 34 de la app móvil. Las del backend corren contra </w:t>
      </w:r>
      <w:r>
        <w:rPr>
          <w:b/>
        </w:rPr>
        <w:t xml:space="preserve">PostgreSQL 16 real</w:t>
      </w:r>
      <w:r>
        <w:t xml:space="preserve">: el registro de la corrida de referencia muestra </w:t>
      </w:r>
      <w:r>
        <w:rPr>
          <w:rStyle w:val="CodeChar"/>
        </w:rPr>
        <w:t xml:space="preserve">Creating container for image: postgres:16-alpine</w:t>
      </w:r>
      <w:r>
        <w:t xml:space="preserve"> (Testcontainers). Las pruebas no usan H2, porque H2 no demuestra Row Level Security.</w:t>
      </w:r>
    </w:p>
    <w:p>
      <w:pPr/>
      <w:r>
        <w:rPr>
          <w:rStyle w:val="CodeChar"/>
          <w:b/>
        </w:rPr>
        <w:t xml:space="preserve">TenantIsolationTest</w:t>
      </w:r>
      <w:r>
        <w:t xml:space="preserve"> («Aislamiento multi-tenant impuesto por RLS») es la prueba de la garantía central: un restaurante nunca ve ni toca datos de otro. Corre sus 6 casos en cada corrida y los 6 pasan en la de referencia:</w:t>
      </w:r>
    </w:p>
    <w:p>
      <w:pPr>
        <w:pStyle w:val="ListParagraph"/>
        <w:numPr>
          <w:ilvl w:val="0"/>
          <w:numId w:val="2"/>
        </w:numPr>
      </w:pPr>
      <w:r>
        <w:t xml:space="preserve">Cada tenant ve únicamente sus propias filas.</w:t>
      </w:r>
    </w:p>
    <w:p>
      <w:pPr>
        <w:pStyle w:val="ListParagraph"/>
        <w:numPr>
          <w:ilvl w:val="0"/>
          <w:numId w:val="2"/>
        </w:numPr>
      </w:pPr>
      <w:r>
        <w:t xml:space="preserve">Sin tenant activo no se ve ninguna fila.</w:t>
      </w:r>
    </w:p>
    <w:p>
      <w:pPr>
        <w:pStyle w:val="ListParagraph"/>
        <w:numPr>
          <w:ilvl w:val="0"/>
          <w:numId w:val="2"/>
        </w:numPr>
      </w:pPr>
      <w:r>
        <w:t xml:space="preserve">Un tenant no puede actualizar filas de otro.</w:t>
      </w:r>
    </w:p>
    <w:p>
      <w:pPr>
        <w:pStyle w:val="ListParagraph"/>
        <w:numPr>
          <w:ilvl w:val="0"/>
          <w:numId w:val="2"/>
        </w:numPr>
      </w:pPr>
      <w:r>
        <w:t xml:space="preserve">Un tenant no puede borrar filas de otro.</w:t>
      </w:r>
    </w:p>
    <w:p>
      <w:pPr>
        <w:pStyle w:val="ListParagraph"/>
        <w:numPr>
          <w:ilvl w:val="0"/>
          <w:numId w:val="2"/>
        </w:numPr>
      </w:pPr>
      <w:r>
        <w:t xml:space="preserve">Un tenant no puede insertar filas a nombre de otro.</w:t>
      </w:r>
    </w:p>
    <w:p>
      <w:pPr>
        <w:pStyle w:val="ListParagraph"/>
        <w:numPr>
          <w:ilvl w:val="0"/>
          <w:numId w:val="2"/>
        </w:numPr>
      </w:pPr>
      <w:r>
        <w:t xml:space="preserve">Las sesiones y movimientos de caja quedan aislados y sus llaves impiden referencias cruzadas.</w:t>
      </w:r>
    </w:p>
    <w:p>
      <w:pPr/>
      <w:r>
        <w:t xml:space="preserve">Las suites con más casos en la misma corrida muestran qué se cubre en profundidad:</w:t>
      </w:r>
    </w:p>
    <w:tbl>
      <w:tblPr>
        <w:tblStyle w:val="TableGrid"/>
        <w:tblW w:w="0" w:type="auto"/>
        <w:tblLayout w:type="fixed"/>
        <w:tblLook w:val="04A0" w:firstRow="1" w:lastRow="0" w:firstColumn="0" w:lastColumn="0" w:noHBand="0" w:noVBand="1"/>
      </w:tblPr>
      <w:tblGrid>
        <w:gridCol w:w="7213"/>
        <w:gridCol w:w="2146"/>
      </w:tblGrid>
      <w:tr>
        <w:trPr>
          <w:tblHeader/>
        </w:trPr>
        <w:tc>
          <w:tcPr>
            <w:tcW w:w="7213" w:type="dxa"/>
            <w:shd w:val="clear" w:color="auto" w:fill="F2F2F2"/>
          </w:tcPr>
          <w:p>
            <w:pPr/>
            <w:r>
              <w:t xml:space="preserve">Suite (nombre en el reporte)</w:t>
            </w:r>
          </w:p>
        </w:tc>
        <w:tc>
          <w:tcPr>
            <w:tcW w:w="2146" w:type="dxa"/>
            <w:shd w:val="clear" w:color="auto" w:fill="F2F2F2"/>
          </w:tcPr>
          <w:p>
            <w:pPr/>
            <w:r>
              <w:t xml:space="preserve">Pruebas</w:t>
            </w:r>
          </w:p>
        </w:tc>
      </w:tr>
      <w:tr>
        <w:tc>
          <w:tcPr>
            <w:tcW w:w="7213" w:type="dxa"/>
          </w:tcPr>
          <w:p>
            <w:pPr/>
            <w:r>
              <w:t xml:space="preserve">Matriz de autorización de la API</w:t>
            </w:r>
          </w:p>
        </w:tc>
        <w:tc>
          <w:tcPr>
            <w:tcW w:w="2146" w:type="dxa"/>
          </w:tcPr>
          <w:p>
            <w:pPr/>
            <w:r>
              <w:t xml:space="preserve">109</w:t>
            </w:r>
          </w:p>
        </w:tc>
      </w:tr>
      <w:tr>
        <w:tc>
          <w:tcPr>
            <w:tcW w:w="7213" w:type="dxa"/>
          </w:tcPr>
          <w:p>
            <w:pPr/>
            <w:r>
              <w:t xml:space="preserve">CAL-7: verificador de autorización con mappings y filtros reales</w:t>
            </w:r>
          </w:p>
        </w:tc>
        <w:tc>
          <w:tcPr>
            <w:tcW w:w="2146" w:type="dxa"/>
          </w:tcPr>
          <w:p>
            <w:pPr/>
            <w:r>
              <w:t xml:space="preserve">26</w:t>
            </w:r>
          </w:p>
        </w:tc>
      </w:tr>
      <w:tr>
        <w:tc>
          <w:tcPr>
            <w:tcW w:w="7213" w:type="dxa"/>
          </w:tcPr>
          <w:p>
            <w:pPr/>
            <w:r>
              <w:t xml:space="preserve">Carrera entre desactivar un usuario y abrir o renovar su sesión</w:t>
            </w:r>
          </w:p>
        </w:tc>
        <w:tc>
          <w:tcPr>
            <w:tcW w:w="2146" w:type="dxa"/>
          </w:tcPr>
          <w:p>
            <w:pPr/>
            <w:r>
              <w:t xml:space="preserve">21</w:t>
            </w:r>
          </w:p>
        </w:tc>
      </w:tr>
      <w:tr>
        <w:tc>
          <w:tcPr>
            <w:tcW w:w="7213" w:type="dxa"/>
          </w:tcPr>
          <w:p>
            <w:pPr/>
            <w:r>
              <w:t xml:space="preserve">Transiciones de estado de ítems de cocina</w:t>
            </w:r>
          </w:p>
        </w:tc>
        <w:tc>
          <w:tcPr>
            <w:tcW w:w="2146" w:type="dxa"/>
          </w:tcPr>
          <w:p>
            <w:pPr/>
            <w:r>
              <w:t xml:space="preserve">20</w:t>
            </w:r>
          </w:p>
        </w:tc>
      </w:tr>
      <w:tr>
        <w:tc>
          <w:tcPr>
            <w:tcW w:w="7213" w:type="dxa"/>
          </w:tcPr>
          <w:p>
            <w:pPr/>
            <w:r>
              <w:t xml:space="preserve">Mesas · Movimientos de inventario · Política de contraseñas</w:t>
            </w:r>
          </w:p>
        </w:tc>
        <w:tc>
          <w:tcPr>
            <w:tcW w:w="2146" w:type="dxa"/>
          </w:tcPr>
          <w:p>
            <w:pPr/>
            <w:r>
              <w:t xml:space="preserve">20 cada una</w:t>
            </w:r>
          </w:p>
        </w:tc>
      </w:tr>
      <w:tr>
        <w:tc>
          <w:tcPr>
            <w:tcW w:w="7213" w:type="dxa"/>
          </w:tcPr>
          <w:p>
            <w:pPr/>
            <w:r>
              <w:t xml:space="preserve">Órdenes de mesero</w:t>
            </w:r>
          </w:p>
        </w:tc>
        <w:tc>
          <w:tcPr>
            <w:tcW w:w="2146" w:type="dxa"/>
          </w:tcPr>
          <w:p>
            <w:pPr/>
            <w:r>
              <w:t xml:space="preserve">19</w:t>
            </w:r>
          </w:p>
        </w:tc>
      </w:tr>
      <w:tr>
        <w:tc>
          <w:tcPr>
            <w:tcW w:w="7213" w:type="dxa"/>
          </w:tcPr>
          <w:p>
            <w:pPr/>
            <w:r>
              <w:t xml:space="preserve">Checkout</w:t>
            </w:r>
          </w:p>
        </w:tc>
        <w:tc>
          <w:tcPr>
            <w:tcW w:w="2146" w:type="dxa"/>
          </w:tcPr>
          <w:p>
            <w:pPr/>
            <w:r>
              <w:t xml:space="preserve">17</w:t>
            </w:r>
          </w:p>
        </w:tc>
      </w:tr>
    </w:tbl>
    <w:p>
      <w:pPr/>
      <w:r>
        <w:t xml:space="preserve">Además, </w:t>
      </w:r>
      <w:r>
        <w:rPr>
          <w:rStyle w:val="CodeChar"/>
        </w:rPr>
        <w:t xml:space="preserve">SplitPaymentMigrationTest</w:t>
      </w:r>
      <w:r>
        <w:t xml:space="preserve"> cuenta las tablas con RLS forzado y exige exactamente 15. Si una tabla nueva llega sin aislamiento, el pipeline se pone en rojo, como pasó el 13-oct (sección 5).</w:t>
      </w:r>
    </w:p>
    <w:p>
      <w:pPr>
        <w:pStyle w:val="Heading2"/>
      </w:pPr>
      <w:r>
        <w:t xml:space="preserve">7. Estado de Jenkins y mejoras pendientes</w:t>
      </w:r>
    </w:p>
    <w:p>
      <w:pPr/>
      <w:r>
        <w:t xml:space="preserve">El plan DevOps (entrega 1) eligió Jenkins como motor de CI. Su pipeline está configurado y versionado, pero al 28 de octubre </w:t>
      </w:r>
      <w:r>
        <w:rPr>
          <w:b/>
        </w:rPr>
        <w:t xml:space="preserve">no hay evidencia verificable de que se haya ejecutado</w:t>
      </w:r>
      <w:r>
        <w:t xml:space="preserve">. Por eso este documento usa como evidencia de ejecución las corridas de GitHub Actions, que corren las mismas puertas.</w:t>
      </w:r>
    </w:p>
    <w:tbl>
      <w:tblPr>
        <w:tblStyle w:val="TableGrid"/>
        <w:tblW w:w="0" w:type="auto"/>
        <w:tblLayout w:type="fixed"/>
        <w:tblLook w:val="04A0" w:firstRow="1" w:lastRow="0" w:firstColumn="0" w:lastColumn="0" w:noHBand="0" w:noVBand="1"/>
      </w:tblPr>
      <w:tblGrid>
        <w:gridCol w:w="3814"/>
        <w:gridCol w:w="3096"/>
        <w:gridCol w:w="2450"/>
      </w:tblGrid>
      <w:tr>
        <w:trPr>
          <w:tblHeader/>
        </w:trPr>
        <w:tc>
          <w:tcPr>
            <w:tcW w:w="3814" w:type="dxa"/>
            <w:shd w:val="clear" w:color="auto" w:fill="F2F2F2"/>
          </w:tcPr>
          <w:p>
            <w:pPr/>
            <w:r>
              <w:t xml:space="preserve">Pieza</w:t>
            </w:r>
          </w:p>
        </w:tc>
        <w:tc>
          <w:tcPr>
            <w:tcW w:w="3096" w:type="dxa"/>
            <w:shd w:val="clear" w:color="auto" w:fill="F2F2F2"/>
          </w:tcPr>
          <w:p>
            <w:pPr/>
            <w:r>
              <w:t xml:space="preserve">Estado comprobable al 28-oct</w:t>
            </w:r>
          </w:p>
        </w:tc>
        <w:tc>
          <w:tcPr>
            <w:tcW w:w="2450" w:type="dxa"/>
            <w:shd w:val="clear" w:color="auto" w:fill="F2F2F2"/>
          </w:tcPr>
          <w:p>
            <w:pPr/>
            <w:r>
              <w:t xml:space="preserve">Issue</w:t>
            </w:r>
          </w:p>
        </w:tc>
      </w:tr>
      <w:tr>
        <w:tc>
          <w:tcPr>
            <w:tcW w:w="3814" w:type="dxa"/>
          </w:tcPr>
          <w:p>
            <w:pPr/>
            <w:r>
              <w:rPr>
                <w:rStyle w:val="CodeChar"/>
              </w:rPr>
              <w:t xml:space="preserve">Jenkinsfile</w:t>
            </w:r>
            <w:r>
              <w:t xml:space="preserve"> con seis etapas: PostgreSQL, seguridad, backend, frontend, móvil e imágenes</w:t>
            </w:r>
          </w:p>
        </w:tc>
        <w:tc>
          <w:tcPr>
            <w:tcW w:w="3096" w:type="dxa"/>
          </w:tcPr>
          <w:p>
            <w:pPr/>
            <w:r>
              <w:t xml:space="preserve">En </w:t>
            </w:r>
            <w:r>
              <w:rPr>
                <w:rStyle w:val="CodeChar"/>
              </w:rPr>
              <w:t xml:space="preserve">main</w:t>
            </w:r>
            <w:r>
              <w:t xml:space="preserve">, versionado</w:t>
            </w:r>
          </w:p>
        </w:tc>
        <w:tc>
          <w:tcPr>
            <w:tcW w:w="2450" w:type="dxa"/>
          </w:tcPr>
          <w:p>
            <w:pPr/>
            <w:r>
              <w:t xml:space="preserve">CAL-87 (Done)</w:t>
            </w:r>
          </w:p>
        </w:tc>
      </w:tr>
      <w:tr>
        <w:tc>
          <w:tcPr>
            <w:tcW w:w="3814" w:type="dxa"/>
          </w:tcPr>
          <w:p>
            <w:pPr/>
            <w:r>
              <w:t xml:space="preserve">Infraestructura de la VM de CI en Azure con Terraform (</w:t>
            </w:r>
            <w:r>
              <w:rPr>
                <w:rStyle w:val="CodeChar"/>
              </w:rPr>
              <w:t xml:space="preserve">infra/terraform/azure-ci</w:t>
            </w:r>
            <w:r>
              <w:t xml:space="preserve">)</w:t>
            </w:r>
          </w:p>
        </w:tc>
        <w:tc>
          <w:tcPr>
            <w:tcW w:w="3096" w:type="dxa"/>
          </w:tcPr>
          <w:p>
            <w:pPr/>
            <w:r>
              <w:t xml:space="preserve">Código en </w:t>
            </w:r>
            <w:r>
              <w:rPr>
                <w:rStyle w:val="CodeChar"/>
              </w:rPr>
              <w:t xml:space="preserve">main</w:t>
            </w:r>
            <w:r>
              <w:t xml:space="preserve">; falta revisión</w:t>
            </w:r>
          </w:p>
        </w:tc>
        <w:tc>
          <w:tcPr>
            <w:tcW w:w="2450" w:type="dxa"/>
          </w:tcPr>
          <w:p>
            <w:pPr/>
            <w:r>
              <w:t xml:space="preserve">CAL-48 (In review)</w:t>
            </w:r>
          </w:p>
        </w:tc>
      </w:tr>
      <w:tr>
        <w:tc>
          <w:tcPr>
            <w:tcW w:w="3814" w:type="dxa"/>
          </w:tcPr>
          <w:p>
            <w:pPr/>
            <w:r>
              <w:t xml:space="preserve">Jenkins privado operando, configurado como código (</w:t>
            </w:r>
            <w:r>
              <w:rPr>
                <w:rStyle w:val="CodeChar"/>
              </w:rPr>
              <w:t xml:space="preserve">infra/jenkins/casc</w:t>
            </w:r>
            <w:r>
              <w:t xml:space="preserve">)</w:t>
            </w:r>
          </w:p>
        </w:tc>
        <w:tc>
          <w:tcPr>
            <w:tcW w:w="3096" w:type="dxa"/>
          </w:tcPr>
          <w:p>
            <w:pPr/>
            <w:r>
              <w:t xml:space="preserve">Código en </w:t>
            </w:r>
            <w:r>
              <w:rPr>
                <w:rStyle w:val="CodeChar"/>
              </w:rPr>
              <w:t xml:space="preserve">main</w:t>
            </w:r>
            <w:r>
              <w:t xml:space="preserve">; sin evidencia de operación</w:t>
            </w:r>
          </w:p>
        </w:tc>
        <w:tc>
          <w:tcPr>
            <w:tcW w:w="2450" w:type="dxa"/>
          </w:tcPr>
          <w:p>
            <w:pPr/>
            <w:r>
              <w:t xml:space="preserve">CAL-86 (In review)</w:t>
            </w:r>
          </w:p>
        </w:tc>
      </w:tr>
      <w:tr>
        <w:tc>
          <w:tcPr>
            <w:tcW w:w="3814" w:type="dxa"/>
          </w:tcPr>
          <w:p>
            <w:pPr/>
            <w:r>
              <w:t xml:space="preserve">Resultado de Jenkins publicado en cada pull request</w:t>
            </w:r>
          </w:p>
        </w:tc>
        <w:tc>
          <w:tcPr>
            <w:tcW w:w="3096" w:type="dxa"/>
          </w:tcPr>
          <w:p>
            <w:pPr/>
            <w:r>
              <w:rPr>
                <w:b/>
              </w:rPr>
              <w:t xml:space="preserve">No ocurre</w:t>
            </w:r>
            <w:r>
              <w:t xml:space="preserve">: ningún PR ni commit reciente de </w:t>
            </w:r>
            <w:r>
              <w:rPr>
                <w:rStyle w:val="CodeChar"/>
              </w:rPr>
              <w:t xml:space="preserve">main</w:t>
            </w:r>
            <w:r>
              <w:t xml:space="preserve"> tiene un estado de Jenkins en GitHub (verificado con la API de estados)</w:t>
            </w:r>
          </w:p>
        </w:tc>
        <w:tc>
          <w:tcPr>
            <w:tcW w:w="2450" w:type="dxa"/>
          </w:tcPr>
          <w:p>
            <w:pPr/>
            <w:r>
              <w:t xml:space="preserve">CAL-89 (In Progress)</w:t>
            </w:r>
          </w:p>
        </w:tc>
      </w:tr>
      <w:tr>
        <w:tc>
          <w:tcPr>
            <w:tcW w:w="3814" w:type="dxa"/>
          </w:tcPr>
          <w:p>
            <w:pPr/>
            <w:r>
              <w:t xml:space="preserve">Protección de </w:t>
            </w:r>
            <w:r>
              <w:rPr>
                <w:rStyle w:val="CodeChar"/>
              </w:rPr>
              <w:t xml:space="preserve">main</w:t>
            </w:r>
            <w:r>
              <w:t xml:space="preserve"> que exija el CI en verde</w:t>
            </w:r>
          </w:p>
        </w:tc>
        <w:tc>
          <w:tcPr>
            <w:tcW w:w="3096" w:type="dxa"/>
          </w:tcPr>
          <w:p>
            <w:pPr/>
            <w:r>
              <w:t xml:space="preserve">Regla creada el 15-ago, </w:t>
            </w:r>
            <w:r>
              <w:rPr>
                <w:b/>
              </w:rPr>
              <w:t xml:space="preserve">desactivada</w:t>
            </w:r>
          </w:p>
        </w:tc>
        <w:tc>
          <w:tcPr>
            <w:tcW w:w="2450" w:type="dxa"/>
          </w:tcPr>
          <w:p>
            <w:pPr/>
            <w:r>
              <w:t xml:space="preserve">—</w:t>
            </w:r>
          </w:p>
        </w:tc>
      </w:tr>
    </w:tbl>
    <w:p>
      <w:pPr/>
      <w:r>
        <w:rPr>
          <w:b/>
        </w:rPr>
        <w:t xml:space="preserve">Qué falta para que Jenkins sea la evidencia de ejecución:</w:t>
      </w:r>
    </w:p>
    <w:p>
      <w:pPr>
        <w:pStyle w:val="ListParagraph"/>
        <w:numPr>
          <w:ilvl w:val="0"/>
          <w:numId w:val="3"/>
        </w:numPr>
      </w:pPr>
      <w:r>
        <w:t xml:space="preserve">Encender la VM y mostrar el job multibranch con su historial de builds (CAL-86).</w:t>
      </w:r>
    </w:p>
    <w:p>
      <w:pPr>
        <w:pStyle w:val="ListParagraph"/>
        <w:numPr>
          <w:ilvl w:val="0"/>
          <w:numId w:val="3"/>
        </w:numPr>
      </w:pPr>
      <w:r>
        <w:t xml:space="preserve">Que cada build publique su estado en el PR (CAL-89), con al menos una corrida verde y una roja.</w:t>
      </w:r>
    </w:p>
    <w:p>
      <w:pPr>
        <w:pStyle w:val="ListParagraph"/>
        <w:numPr>
          <w:ilvl w:val="0"/>
          <w:numId w:val="3"/>
        </w:numPr>
      </w:pPr>
      <w:r>
        <w:t xml:space="preserve">Activar la protección de </w:t>
      </w:r>
      <w:r>
        <w:rPr>
          <w:rStyle w:val="CodeChar"/>
        </w:rPr>
        <w:t xml:space="preserve">main</w:t>
      </w:r>
      <w:r>
        <w:t xml:space="preserve"> exigiendo ese estado. Así un pipeline en rojo bloquea la fusión, en lugar de solo avisar, como pasó el 20-oct y el 9-oct (sección 5).</w:t>
      </w:r>
    </w:p>
    <w:p>
      <w:pPr/>
      <w:r>
        <w:t xml:space="preserve">GitHub Actions sigue activo hasta que esto funcione. El plan DevOps establece que no se retira (CAL-90) antes de firmar esta entrega.</w:t>
      </w:r>
    </w:p>
    <w:p>
      <w:pPr>
        <w:pStyle w:val="Heading2"/>
      </w:pPr>
      <w:r>
        <w:t xml:space="preserve">8. Cumplimiento</w:t>
      </w:r>
    </w:p>
    <w:p>
      <w:pPr/>
      <w:r>
        <w:t xml:space="preserve">Los cuatro puntos de la guía y los cinco criterios internos de CAL-70 se cumplen con el pipeline de GitHub Actions. El único pendiente es que la ejecución visible sea la de Jenkins, el motor que eligió el plan DevOps.</w:t>
      </w:r>
    </w:p>
    <w:tbl>
      <w:tblPr>
        <w:tblStyle w:val="TableGrid"/>
        <w:tblW w:w="0" w:type="auto"/>
        <w:tblLayout w:type="fixed"/>
        <w:tblLook w:val="04A0" w:firstRow="1" w:lastRow="0" w:firstColumn="0" w:lastColumn="0" w:noHBand="0" w:noVBand="1"/>
      </w:tblPr>
      <w:tblGrid>
        <w:gridCol w:w="2905"/>
        <w:gridCol w:w="3824"/>
        <w:gridCol w:w="1080"/>
        <w:gridCol w:w="1550"/>
      </w:tblGrid>
      <w:tr>
        <w:trPr>
          <w:tblHeader/>
        </w:trPr>
        <w:tc>
          <w:tcPr>
            <w:tcW w:w="2905" w:type="dxa"/>
            <w:shd w:val="clear" w:color="auto" w:fill="F2F2F2"/>
          </w:tcPr>
          <w:p>
            <w:pPr/>
            <w:r>
              <w:t xml:space="preserve">Qué se evalúa</w:t>
            </w:r>
          </w:p>
        </w:tc>
        <w:tc>
          <w:tcPr>
            <w:tcW w:w="3824" w:type="dxa"/>
            <w:shd w:val="clear" w:color="auto" w:fill="F2F2F2"/>
          </w:tcPr>
          <w:p>
            <w:pPr/>
            <w:r>
              <w:t xml:space="preserve">Evidencia</w:t>
            </w:r>
          </w:p>
        </w:tc>
        <w:tc>
          <w:tcPr>
            <w:tcW w:w="1080" w:type="dxa"/>
            <w:shd w:val="clear" w:color="auto" w:fill="F2F2F2"/>
          </w:tcPr>
          <w:p>
            <w:pPr/>
            <w:r>
              <w:t xml:space="preserve">Sección</w:t>
            </w:r>
          </w:p>
        </w:tc>
        <w:tc>
          <w:tcPr>
            <w:tcW w:w="1550" w:type="dxa"/>
            <w:shd w:val="clear" w:color="auto" w:fill="F2F2F2"/>
          </w:tcPr>
          <w:p>
            <w:pPr/>
            <w:r>
              <w:t xml:space="preserve">Estado</w:t>
            </w:r>
          </w:p>
        </w:tc>
      </w:tr>
      <w:tr>
        <w:tc>
          <w:tcPr>
            <w:tcW w:w="2905" w:type="dxa"/>
          </w:tcPr>
          <w:p>
            <w:pPr/>
            <w:r>
              <w:t xml:space="preserve">Desarrolla e integra componentes</w:t>
            </w:r>
          </w:p>
        </w:tc>
        <w:tc>
          <w:tcPr>
            <w:tcW w:w="3824" w:type="dxa"/>
          </w:tcPr>
          <w:p>
            <w:pPr/>
            <w:r>
              <w:t xml:space="preserve">Backend, frontend, app móvil e infraestructura en un solo </w:t>
            </w:r>
            <w:r>
              <w:rPr>
                <w:rStyle w:val="CodeChar"/>
              </w:rPr>
              <w:t xml:space="preserve">main</w:t>
            </w:r>
            <w:r>
              <w:t xml:space="preserve">, probados juntos en cada corrida</w:t>
            </w:r>
          </w:p>
        </w:tc>
        <w:tc>
          <w:tcPr>
            <w:tcW w:w="1080" w:type="dxa"/>
          </w:tcPr>
          <w:p>
            <w:pPr/>
            <w:r>
              <w:t xml:space="preserve">1</w:t>
            </w:r>
          </w:p>
        </w:tc>
        <w:tc>
          <w:tcPr>
            <w:tcW w:w="1550" w:type="dxa"/>
          </w:tcPr>
          <w:p>
            <w:pPr/>
            <w:r>
              <w:t xml:space="preserve">Cumple</w:t>
            </w:r>
          </w:p>
        </w:tc>
      </w:tr>
      <w:tr>
        <w:tc>
          <w:tcPr>
            <w:tcW w:w="2905" w:type="dxa"/>
          </w:tcPr>
          <w:p>
            <w:pPr/>
            <w:r>
              <w:t xml:space="preserve">Utiliza control de versiones</w:t>
            </w:r>
          </w:p>
        </w:tc>
        <w:tc>
          <w:tcPr>
            <w:tcW w:w="3824" w:type="dxa"/>
          </w:tcPr>
          <w:p>
            <w:pPr/>
            <w:r>
              <w:t xml:space="preserve">96 PR fusionados, 98 ramas, 98.6 % de commits convencionales</w:t>
            </w:r>
          </w:p>
        </w:tc>
        <w:tc>
          <w:tcPr>
            <w:tcW w:w="1080" w:type="dxa"/>
          </w:tcPr>
          <w:p>
            <w:pPr/>
            <w:r>
              <w:t xml:space="preserve">2</w:t>
            </w:r>
          </w:p>
        </w:tc>
        <w:tc>
          <w:tcPr>
            <w:tcW w:w="1550" w:type="dxa"/>
          </w:tcPr>
          <w:p>
            <w:pPr/>
            <w:r>
              <w:t xml:space="preserve">Cumple</w:t>
            </w:r>
          </w:p>
        </w:tc>
      </w:tr>
      <w:tr>
        <w:tc>
          <w:tcPr>
            <w:tcW w:w="2905" w:type="dxa"/>
          </w:tcPr>
          <w:p>
            <w:pPr/>
            <w:r>
              <w:t xml:space="preserve">Automatiza compilación y pruebas</w:t>
            </w:r>
          </w:p>
        </w:tc>
        <w:tc>
          <w:tcPr>
            <w:tcW w:w="3824" w:type="dxa"/>
          </w:tcPr>
          <w:p>
            <w:pPr/>
            <w:r>
              <w:t xml:space="preserve">948 pruebas y la compilación de los tres componentes y sus imágenes, sin intervención manual</w:t>
            </w:r>
          </w:p>
        </w:tc>
        <w:tc>
          <w:tcPr>
            <w:tcW w:w="1080" w:type="dxa"/>
          </w:tcPr>
          <w:p>
            <w:pPr/>
            <w:r>
              <w:t xml:space="preserve">4, 6</w:t>
            </w:r>
          </w:p>
        </w:tc>
        <w:tc>
          <w:tcPr>
            <w:tcW w:w="1550" w:type="dxa"/>
          </w:tcPr>
          <w:p>
            <w:pPr/>
            <w:r>
              <w:t xml:space="preserve">Cumple</w:t>
            </w:r>
          </w:p>
        </w:tc>
      </w:tr>
      <w:tr>
        <w:tc>
          <w:tcPr>
            <w:tcW w:w="2905" w:type="dxa"/>
          </w:tcPr>
          <w:p>
            <w:pPr/>
            <w:r>
              <w:t xml:space="preserve">Configura y ejecuta un pipeline de CI</w:t>
            </w:r>
          </w:p>
        </w:tc>
        <w:tc>
          <w:tcPr>
            <w:tcW w:w="3824" w:type="dxa"/>
          </w:tcPr>
          <w:p>
            <w:pPr/>
            <w:r>
              <w:rPr>
                <w:rStyle w:val="CodeChar"/>
              </w:rPr>
              <w:t xml:space="preserve">ci.yml</w:t>
            </w:r>
            <w:r>
              <w:t xml:space="preserve"> con 339 corridas; </w:t>
            </w:r>
            <w:r>
              <w:rPr>
                <w:rStyle w:val="CodeChar"/>
              </w:rPr>
              <w:t xml:space="preserve">Jenkinsfile</w:t>
            </w:r>
            <w:r>
              <w:t xml:space="preserve"> configurado</w:t>
            </w:r>
          </w:p>
        </w:tc>
        <w:tc>
          <w:tcPr>
            <w:tcW w:w="1080" w:type="dxa"/>
          </w:tcPr>
          <w:p>
            <w:pPr/>
            <w:r>
              <w:t xml:space="preserve">3, 4</w:t>
            </w:r>
          </w:p>
        </w:tc>
        <w:tc>
          <w:tcPr>
            <w:tcW w:w="1550" w:type="dxa"/>
          </w:tcPr>
          <w:p>
            <w:pPr/>
            <w:r>
              <w:t xml:space="preserve">Cumple con Actions; Jenkins sin ejecución comprobable</w:t>
            </w:r>
          </w:p>
        </w:tc>
      </w:tr>
      <w:tr>
        <w:tc>
          <w:tcPr>
            <w:tcW w:w="2905" w:type="dxa"/>
          </w:tcPr>
          <w:p>
            <w:pPr/>
            <w:r>
              <w:t xml:space="preserve">CAL-70 · 1. Ejecución real y visible, no una captura</w:t>
            </w:r>
          </w:p>
        </w:tc>
        <w:tc>
          <w:tcPr>
            <w:tcW w:w="3824" w:type="dxa"/>
          </w:tcPr>
          <w:p>
            <w:pPr/>
            <w:r>
              <w:t xml:space="preserve">Corridas públicas con registro completo, enlazadas</w:t>
            </w:r>
          </w:p>
        </w:tc>
        <w:tc>
          <w:tcPr>
            <w:tcW w:w="1080" w:type="dxa"/>
          </w:tcPr>
          <w:p>
            <w:pPr/>
            <w:r>
              <w:t xml:space="preserve">4</w:t>
            </w:r>
          </w:p>
        </w:tc>
        <w:tc>
          <w:tcPr>
            <w:tcW w:w="1550" w:type="dxa"/>
          </w:tcPr>
          <w:p>
            <w:pPr/>
            <w:r>
              <w:t xml:space="preserve">Cumple con Actions</w:t>
            </w:r>
          </w:p>
        </w:tc>
      </w:tr>
      <w:tr>
        <w:tc>
          <w:tcPr>
            <w:tcW w:w="2905" w:type="dxa"/>
          </w:tcPr>
          <w:p>
            <w:pPr/>
            <w:r>
              <w:t xml:space="preserve">CAL-70 · 2. </w:t>
            </w:r>
            <w:r>
              <w:rPr>
                <w:rStyle w:val="CodeChar"/>
              </w:rPr>
              <w:t xml:space="preserve">mvnw verify</w:t>
            </w:r>
            <w:r>
              <w:t xml:space="preserve"> con PostgreSQL real; lint, tipos y build del frontend</w:t>
            </w:r>
          </w:p>
        </w:tc>
        <w:tc>
          <w:tcPr>
            <w:tcW w:w="3824" w:type="dxa"/>
          </w:tcPr>
          <w:p>
            <w:pPr/>
            <w:r>
              <w:rPr>
                <w:rStyle w:val="CodeChar"/>
              </w:rPr>
              <w:t xml:space="preserve">postgres:16-alpine</w:t>
            </w:r>
            <w:r>
              <w:t xml:space="preserve"> por Testcontainers; </w:t>
            </w:r>
            <w:r>
              <w:rPr>
                <w:rStyle w:val="CodeChar"/>
              </w:rPr>
              <w:t xml:space="preserve">pnpm lint</w:t>
            </w:r>
            <w:r>
              <w:t xml:space="preserve">, </w:t>
            </w:r>
            <w:r>
              <w:rPr>
                <w:rStyle w:val="CodeChar"/>
              </w:rPr>
              <w:t xml:space="preserve">tsc --noEmit</w:t>
            </w:r>
            <w:r>
              <w:t xml:space="preserve"> y </w:t>
            </w:r>
            <w:r>
              <w:rPr>
                <w:rStyle w:val="CodeChar"/>
              </w:rPr>
              <w:t xml:space="preserve">pnpm build</w:t>
            </w:r>
            <w:r>
              <w:t xml:space="preserve"> en el trabajo </w:t>
            </w:r>
            <w:r>
              <w:rPr>
                <w:rStyle w:val="CodeChar"/>
              </w:rPr>
              <w:t xml:space="preserve">frontend</w:t>
            </w:r>
          </w:p>
        </w:tc>
        <w:tc>
          <w:tcPr>
            <w:tcW w:w="1080" w:type="dxa"/>
          </w:tcPr>
          <w:p>
            <w:pPr/>
            <w:r>
              <w:t xml:space="preserve">4, 6</w:t>
            </w:r>
          </w:p>
        </w:tc>
        <w:tc>
          <w:tcPr>
            <w:tcW w:w="1550" w:type="dxa"/>
          </w:tcPr>
          <w:p>
            <w:pPr/>
            <w:r>
              <w:t xml:space="preserve">Cumple</w:t>
            </w:r>
          </w:p>
        </w:tc>
      </w:tr>
      <w:tr>
        <w:tc>
          <w:tcPr>
            <w:tcW w:w="2905" w:type="dxa"/>
          </w:tcPr>
          <w:p>
            <w:pPr/>
            <w:r>
              <w:t xml:space="preserve">CAL-70 · 3. Corren las pruebas reales, incluida </w:t>
            </w:r>
            <w:r>
              <w:rPr>
                <w:rStyle w:val="CodeChar"/>
              </w:rPr>
              <w:t xml:space="preserve">TenantIsolationTest</w:t>
            </w:r>
          </w:p>
        </w:tc>
        <w:tc>
          <w:tcPr>
            <w:tcW w:w="3824" w:type="dxa"/>
          </w:tcPr>
          <w:p>
            <w:pPr/>
            <w:r>
              <w:t xml:space="preserve">6 de 6 casos en verde en la corrida de referencia</w:t>
            </w:r>
          </w:p>
        </w:tc>
        <w:tc>
          <w:tcPr>
            <w:tcW w:w="1080" w:type="dxa"/>
          </w:tcPr>
          <w:p>
            <w:pPr/>
            <w:r>
              <w:t xml:space="preserve">6</w:t>
            </w:r>
          </w:p>
        </w:tc>
        <w:tc>
          <w:tcPr>
            <w:tcW w:w="1550" w:type="dxa"/>
          </w:tcPr>
          <w:p>
            <w:pPr/>
            <w:r>
              <w:t xml:space="preserve">Cumple</w:t>
            </w:r>
          </w:p>
        </w:tc>
      </w:tr>
      <w:tr>
        <w:tc>
          <w:tcPr>
            <w:tcW w:w="2905" w:type="dxa"/>
          </w:tcPr>
          <w:p>
            <w:pPr/>
            <w:r>
              <w:t xml:space="preserve">CAL-70 · 4. Se demuestra que el pipeline falla</w:t>
            </w:r>
          </w:p>
        </w:tc>
        <w:tc>
          <w:tcPr>
            <w:tcW w:w="3824" w:type="dxa"/>
          </w:tcPr>
          <w:p>
            <w:pPr/>
            <w:r>
              <w:t xml:space="preserve">Tres corridas rojas reales con su causa y su corrección</w:t>
            </w:r>
          </w:p>
        </w:tc>
        <w:tc>
          <w:tcPr>
            <w:tcW w:w="1080" w:type="dxa"/>
          </w:tcPr>
          <w:p>
            <w:pPr/>
            <w:r>
              <w:t xml:space="preserve">5</w:t>
            </w:r>
          </w:p>
        </w:tc>
        <w:tc>
          <w:tcPr>
            <w:tcW w:w="1550" w:type="dxa"/>
          </w:tcPr>
          <w:p>
            <w:pPr/>
            <w:r>
              <w:t xml:space="preserve">Cumple</w:t>
            </w:r>
          </w:p>
        </w:tc>
      </w:tr>
      <w:tr>
        <w:tc>
          <w:tcPr>
            <w:tcW w:w="2905" w:type="dxa"/>
          </w:tcPr>
          <w:p>
            <w:pPr/>
            <w:r>
              <w:t xml:space="preserve">CAL-70 · 5. Historia real: ramas, PR y commits convencionales</w:t>
            </w:r>
          </w:p>
        </w:tc>
        <w:tc>
          <w:tcPr>
            <w:tcW w:w="3824" w:type="dxa"/>
          </w:tcPr>
          <w:p>
            <w:pPr/>
            <w:r>
              <w:t xml:space="preserve">Métricas medidas sobre </w:t>
            </w:r>
            <w:r>
              <w:rPr>
                <w:rStyle w:val="CodeChar"/>
              </w:rPr>
              <w:t xml:space="preserve">main</w:t>
            </w:r>
            <w:r>
              <w:t xml:space="preserve"> y la API de GitHub</w:t>
            </w:r>
          </w:p>
        </w:tc>
        <w:tc>
          <w:tcPr>
            <w:tcW w:w="1080" w:type="dxa"/>
          </w:tcPr>
          <w:p>
            <w:pPr/>
            <w:r>
              <w:t xml:space="preserve">2</w:t>
            </w:r>
          </w:p>
        </w:tc>
        <w:tc>
          <w:tcPr>
            <w:tcW w:w="1550" w:type="dxa"/>
          </w:tcPr>
          <w:p>
            <w:pPr/>
            <w:r>
              <w:t xml:space="preserve">Cumple</w:t>
            </w:r>
          </w:p>
        </w:tc>
      </w:tr>
    </w:tbl>
    <w:p>
      <w:pPr/>
      <w:r>
        <w:rPr>
          <w:b/>
        </w:rPr>
        <w:t xml:space="preserve">Fuentes y fecha de corte:</w:t>
      </w:r>
      <w:r>
        <w:t xml:space="preserve"> todas las cifras se midieron el 28-oct-2026 entre las 12:25 y las 13:10 (America/Mexico_City), con </w:t>
      </w:r>
      <w:r>
        <w:rPr>
          <w:rStyle w:val="CodeChar"/>
        </w:rPr>
        <w:t xml:space="preserve">git</w:t>
      </w:r>
      <w:r>
        <w:t xml:space="preserve"> sobre </w:t>
      </w:r>
      <w:r>
        <w:rPr>
          <w:rStyle w:val="CodeChar"/>
        </w:rPr>
        <w:t xml:space="preserve">main</w:t>
      </w:r>
      <w:r>
        <w:t xml:space="preserve"> en </w:t>
      </w:r>
      <w:r>
        <w:rPr>
          <w:rStyle w:val="CodeChar"/>
        </w:rPr>
        <w:t xml:space="preserve">3f2a160</w:t>
      </w:r>
      <w:r>
        <w:t xml:space="preserve">, la API de GitHub y el registro de la corrida 40745028176. Las corridas posteriores pueden cambiar los totales, pero no los ejemplos citados.</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1"/>
    <w:lvlOverride w:ilvl="0">
      <w:startOverride w:val="1"/>
    </w:lvlOverride>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hyperlink" Target="https://github.com/LudwinGarcia1/callejon9-saas" TargetMode="External"/><Relationship Id="rId4" Type="http://schemas.openxmlformats.org/officeDocument/2006/relationships/hyperlink" Target="https://github.com/LudwinGarcia1/callejon9-saas/blob/main/.github/workflows/ci.yml" TargetMode="External"/><Relationship Id="rId5" Type="http://schemas.openxmlformats.org/officeDocument/2006/relationships/hyperlink" Target="https://github.com/LudwinGarcia1/callejon9-saas/blob/main/Jenkinsfile" TargetMode="External"/><Relationship Id="rId6" Type="http://schemas.openxmlformats.org/officeDocument/2006/relationships/hyperlink" Target="https://github.com/LudwinGarcia1/callejon9-saas/actions/workflows/ci.yml" TargetMode="External"/><Relationship Id="rId7" Type="http://schemas.openxmlformats.org/officeDocument/2006/relationships/hyperlink" Target="https://github.com/LudwinGarcia1/callejon9-saas/actions/runs/40745028176" TargetMode="External"/><Relationship Id="rId8" Type="http://schemas.openxmlformats.org/officeDocument/2006/relationships/hyperlink" Target="https://github.com/LudwinGarcia1/callejon9-saas/pulls?q=is%3Apr+is%3Amerged" TargetMode="External"/><Relationship Id="rId9" Type="http://schemas.openxmlformats.org/officeDocument/2006/relationships/hyperlink" Target="https://restohub.azurewebsites.net" TargetMode="External"/><Relationship Id="rId10" Type="http://schemas.openxmlformats.org/officeDocument/2006/relationships/image" Target="media/image1.png"/><Relationship Id="rId11" Type="http://schemas.openxmlformats.org/officeDocument/2006/relationships/hyperlink" Target="https://github.com/LudwinGarcia1/callejon9-saas/actions/runs/38438430123" TargetMode="External"/><Relationship Id="rId12" Type="http://schemas.openxmlformats.org/officeDocument/2006/relationships/hyperlink" Target="https://github.com/LudwinGarcia1/callejon9-saas/actions/runs/38438796137" TargetMode="External"/><Relationship Id="rId13" Type="http://schemas.openxmlformats.org/officeDocument/2006/relationships/hyperlink" Target="https://github.com/LudwinGarcia1/callejon9-saas/actions/runs/39546917540" TargetMode="External"/><Relationship Id="rId14" Type="http://schemas.openxmlformats.org/officeDocument/2006/relationships/hyperlink" Target="https://github.com/LudwinGarcia1/callejon9-saas/actions/runs/39556504909" TargetMode="External"/><Relationship Id="rId15" Type="http://schemas.openxmlformats.org/officeDocument/2006/relationships/hyperlink" Target="https://github.com/LudwinGarcia1/callejon9-saas/actions/runs/37864981004" TargetMode="External"/><Relationship Id="rId16" Type="http://schemas.openxmlformats.org/officeDocument/2006/relationships/hyperlink" Target="https://github.com/LudwinGarcia1/callejon9-saas/actions/runs/38433342690" TargetMode="External"/><Relationship Id="rId101" Type="http://schemas.openxmlformats.org/officeDocument/2006/relationships/image" Target="media/cover1.png"/><Relationship Id="rId102" Type="http://schemas.openxmlformats.org/officeDocument/2006/relationships/image" Target="media/cover2.emf"/><Relationship Id="rId103" Type="http://schemas.openxmlformats.org/officeDocument/2006/relationships/image" Target="media/cover3.emf"/></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Software funcional con integración continua — RestoHub</dc:title>
  <dc:description>Claude Docs node/75bb2441-8ce6@17 docx-w7</dc:description>
  <cp:revision>17</cp:revision>
</cp:coreProperties>
</file>