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emf" ContentType="image/x-emf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m="http://schemas.openxmlformats.org/officeDocument/2006/math" xmlns:v="urn:schemas-microsoft-com:vml" xmlns:wp14="http://schemas.microsoft.com/office/word/2010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44674A" w14:textId="77777777" w:rsidR="00836859" w:rsidRPr="003C344E" w:rsidRDefault="00836859" w:rsidP="00836859">
      <w:pPr>
        <w:tabs>
          <w:tab w:val="center" w:pos="4419"/>
          <w:tab w:val="right" w:pos="8838"/>
        </w:tabs>
        <w:spacing w:after="0" w:line="240" w:lineRule="auto"/>
        <w:ind w:left="4419" w:hanging="4419"/>
        <w:rPr>
          <w:rFonts w:eastAsia="Times New Roman"/>
          <w:lang w:eastAsia="es-MX"/>
        </w:rPr>
      </w:pPr>
      <w:r>
        <w:rPr>
          <w:noProof/>
          <w:lang w:eastAsia="es-MX"/>
        </w:rPr>
        <w:drawing>
          <wp:anchor distT="0" distB="0" distL="114300" distR="114300" simplePos="0" relativeHeight="251673600" behindDoc="1" locked="0" layoutInCell="1" allowOverlap="1" wp14:anchorId="7E7007AF" wp14:editId="2AE3BF62">
            <wp:simplePos x="0" y="0"/>
            <wp:positionH relativeFrom="column">
              <wp:posOffset>5054871</wp:posOffset>
            </wp:positionH>
            <wp:positionV relativeFrom="paragraph">
              <wp:posOffset>-116660</wp:posOffset>
            </wp:positionV>
            <wp:extent cx="1768649" cy="424543"/>
            <wp:effectExtent l="0" t="0" r="3175" b="0"/>
            <wp:wrapNone/>
            <wp:docPr id="1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8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9785" cy="429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678720" behindDoc="0" locked="0" layoutInCell="1" allowOverlap="1" wp14:anchorId="7E31E159" wp14:editId="5A9F0FDD">
            <wp:simplePos x="0" y="0"/>
            <wp:positionH relativeFrom="column">
              <wp:posOffset>221615</wp:posOffset>
            </wp:positionH>
            <wp:positionV relativeFrom="paragraph">
              <wp:posOffset>-116659</wp:posOffset>
            </wp:positionV>
            <wp:extent cx="1004160" cy="483870"/>
            <wp:effectExtent l="0" t="0" r="5715" b="0"/>
            <wp:wrapNone/>
            <wp:docPr id="1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0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2371" cy="487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anchor distT="0" distB="0" distL="114300" distR="114300" simplePos="0" relativeHeight="251679744" behindDoc="0" locked="0" layoutInCell="1" allowOverlap="1" wp14:anchorId="233066EE" wp14:editId="12E9838B">
            <wp:simplePos x="0" y="0"/>
            <wp:positionH relativeFrom="column">
              <wp:posOffset>4633595</wp:posOffset>
            </wp:positionH>
            <wp:positionV relativeFrom="paragraph">
              <wp:posOffset>-115570</wp:posOffset>
            </wp:positionV>
            <wp:extent cx="11430" cy="483870"/>
            <wp:effectExtent l="0" t="0" r="0" b="0"/>
            <wp:wrapNone/>
            <wp:docPr id="1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1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3B5B45" w14:textId="77777777" w:rsidR="00836859" w:rsidRPr="003C344E" w:rsidRDefault="00836859" w:rsidP="00836859">
      <w:pPr>
        <w:tabs>
          <w:tab w:val="center" w:pos="4419"/>
          <w:tab w:val="right" w:pos="8838"/>
        </w:tabs>
        <w:spacing w:after="0" w:line="240" w:lineRule="auto"/>
        <w:ind w:left="4419" w:hanging="4419"/>
        <w:rPr>
          <w:rFonts w:eastAsia="Times New Roman"/>
          <w:lang w:eastAsia="es-MX"/>
        </w:rPr>
      </w:pPr>
    </w:p>
    <w:p w14:paraId="19295AA8" w14:textId="77777777" w:rsidR="00836859" w:rsidRPr="003C344E" w:rsidRDefault="00836859" w:rsidP="00836859">
      <w:pPr>
        <w:tabs>
          <w:tab w:val="center" w:pos="4419"/>
          <w:tab w:val="right" w:pos="8838"/>
        </w:tabs>
        <w:spacing w:after="0" w:line="240" w:lineRule="auto"/>
        <w:ind w:left="4419" w:hanging="4419"/>
        <w:rPr>
          <w:rFonts w:eastAsia="Times New Roman"/>
          <w:lang w:eastAsia="es-MX"/>
        </w:rPr>
      </w:pPr>
    </w:p>
    <w:p w14:paraId="6287AAC8" w14:textId="77777777" w:rsidR="00836859" w:rsidRPr="003C344E" w:rsidRDefault="00836859" w:rsidP="00836859">
      <w:pPr>
        <w:tabs>
          <w:tab w:val="center" w:pos="4419"/>
          <w:tab w:val="right" w:pos="8838"/>
        </w:tabs>
        <w:spacing w:after="0" w:line="240" w:lineRule="auto"/>
        <w:ind w:right="-284"/>
        <w:jc w:val="center"/>
        <w:rPr>
          <w:rFonts w:cs="Arial"/>
          <w:sz w:val="28"/>
          <w:szCs w:val="28"/>
        </w:rPr>
      </w:pPr>
      <w:r>
        <w:rPr>
          <w:noProof/>
          <w:lang w:eastAsia="es-MX"/>
        </w:rPr>
        <mc:AlternateContent>
          <mc:Choice Requires="wps">
            <w:drawing>
              <wp:anchor distT="4294967294" distB="4294967294" distL="114300" distR="114300" simplePos="0" relativeHeight="251676672" behindDoc="0" locked="0" layoutInCell="1" allowOverlap="1" wp14:anchorId="23681F20" wp14:editId="6C7EC7DE">
                <wp:simplePos x="0" y="0"/>
                <wp:positionH relativeFrom="column">
                  <wp:posOffset>1361440</wp:posOffset>
                </wp:positionH>
                <wp:positionV relativeFrom="paragraph">
                  <wp:posOffset>260984</wp:posOffset>
                </wp:positionV>
                <wp:extent cx="4044950" cy="0"/>
                <wp:effectExtent l="38100" t="38100" r="50800" b="76200"/>
                <wp:wrapNone/>
                <wp:docPr id="13" name="13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04495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9BBB59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3EAA145" id="13 Conector recto" o:spid="_x0000_s1026" style="position:absolute;z-index:25167667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page" from="107.2pt,20.55pt" to="425.7pt,20.5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9Ktt2DAIAABYEAAAOAAAAZHJzL2Uyb0RvYy54bWysU8Fu2zAMvQ/YPwi6L3aaZGiMJgWSoLsU W7Fu2JmR5ViYLAmUEid/P1JO0na9DfNBNkXy8T2Svrs/dlYcNEbj3UKOR6UU2ilfG7dbyJ8/Hj7d ShETuBqsd3ohTzrK++XHD3d9qPSNb72tNQoCcbHqw0K2KYWqKKJqdQdx5IN25Gw8dpDIxF1RI/SE 3tnipiw/F73HOqBXOka63QxOucz4TaNV+tY0USdhF5K4pXxiPrd8Fss7qHYIoTXqTAP+gUUHxlHR K9QGEog9mndQnVHoo2/SSPmu8E1jlM4aSM24/EvNcwtBZy3UnBiubYr/D1Z9PTyhMDXNbiKFg45m NJ6INQ1LJY8C+cVd6kOsKHjtnpB1qqN7Do9e/Y7kK9442YhhCDs22HE4CRXH3PXTtev6mISiy2k5 nc5nNBx18RVQXRIDxvRF+07wx0Ja47ghUMHhMSYuDdUlhK+dfzDW5qFaJ3rSMi8zNNBuNRYSVekC qY1uJwXYHS2tSpgho7em5nQGirjbri2KA9DizFer1WzOXaByb8K49gZiO8Rl1znMOobReQWJKht+ nzQ+t3UvtnaP34FoTEt6pKgNi6N9Hgzaz1n2kAt9+mVSm1eBW/eOHCdRGt+DDS0MVCa3fHlmPGjJ 7K8csvWKXp7hMDYe4NbXpyfkfLZo+XL8+Ufh7X5t56iX33n5BwAA//8DAFBLAwQUAAYACAAAACEA vKgM6d8AAAAJAQAADwAAAGRycy9kb3ducmV2LnhtbEyPwU7DMAyG70i8Q2QkLhVLO5WpK02nMYkT mzQGl928xrQVjVM16da9PUEc4Ojfn35/LlaT6cSZBtdaVpDMYhDEldUt1wo+3l8eMhDOI2vsLJOC KzlYlbc3BebaXviNzgdfi1DCLkcFjfd9LqWrGjLoZrYnDrtPOxj0YRxqqQe8hHLTyXkcL6TBlsOF BnvaNFR9HUajwG+Xuz0uouz1+Wi36+tm3O2jSKn7u2n9BMLT5P9g+NEP6lAGp5MdWTvRKZgnaRpQ BWmSgAhA9piE4PQbyLKQ/z8ovwEAAP//AwBQSwECLQAUAAYACAAAACEAtoM4kv4AAADhAQAAEwAA AAAAAAAAAAAAAAAAAAAAW0NvbnRlbnRfVHlwZXNdLnhtbFBLAQItABQABgAIAAAAIQA4/SH/1gAA AJQBAAALAAAAAAAAAAAAAAAAAC8BAABfcmVscy8ucmVsc1BLAQItABQABgAIAAAAIQC9Ktt2DAIA ABYEAAAOAAAAAAAAAAAAAAAAAC4CAABkcnMvZTJvRG9jLnhtbFBLAQItABQABgAIAAAAIQC8qAzp 3wAAAAkBAAAPAAAAAAAAAAAAAAAAAGYEAABkcnMvZG93bnJldi54bWxQSwUGAAAAAAQABADzAAAA cgUAAAAA " strokecolor="#9bbb59" strokeweight="1.5pt">
                <v:shadow on="t" color="black" opacity="24903f" origin=",.5" offset="0,.55556mm"/>
                <o:lock v:ext="edit" shapetype="f"/>
              </v:line>
            </w:pict>
          </mc:Fallback>
        </mc:AlternateContent>
        <mc:AlternateContent>
          <mc:Choice Requires="wps">
            <w:drawing>
              <wp:anchor distT="4294967294" distB="4294967294" distL="114300" distR="114300" simplePos="0" relativeHeight="251677696" behindDoc="0" locked="0" layoutInCell="1" allowOverlap="1" wp14:anchorId="56C68728" wp14:editId="193BFEF2">
                <wp:simplePos x="0" y="0"/>
                <wp:positionH relativeFrom="column">
                  <wp:posOffset>1499870</wp:posOffset>
                </wp:positionH>
                <wp:positionV relativeFrom="paragraph">
                  <wp:posOffset>448944</wp:posOffset>
                </wp:positionV>
                <wp:extent cx="3788410" cy="0"/>
                <wp:effectExtent l="38100" t="38100" r="40640" b="76200"/>
                <wp:wrapNone/>
                <wp:docPr id="14" name="14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78841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9BBB59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8AC2538" id="14 Conector recto" o:spid="_x0000_s1026" style="position:absolute;z-index:25167769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page" from="118.1pt,35.35pt" to="416.4pt,35.3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JvzRoDAIAABYEAAAOAAAAZHJzL2Uyb0RvYy54bWysU02P2jAQvVfqf7B8L4FdaCECVgK0vaza VWnV8+A4xKpjW2ND4N93xgG6271VzcHJfD2/NzOZP5xaK44ao/FuIUeDoRTaKV8Zt1/IH98fP0yl iAlcBdY7vZBnHeXD8v27eRdKfecbbyuNgkBcLLuwkE1KoSyKqBrdQhz4oB0Fa48tJDJxX1QIHaG3 trgbDj8WnccqoFc6RvJu+qBcZvy61ip9reuok7ALSdxSPjGfOz6L5RzKPUJojLrQgH9g0YJxdOkN agMJxAHNG6jWKPTR12mgfFv4ujZKZw2kZjT8S822gaCzFmpODLc2xf8Hq74cn1GYimY3lsJBSzMa jcWahqWSR4H84i51IZaUvHbPyDrVyW3Dk1e/IsWKV0E2YujTTjW2nE5CxSl3/Xzruj4loch5/2k6 HY9oOOoaK6C8FgaM6bP2reCPhbTGcUOghONTTHw1lNcUdjv/aKzNQ7VOdKRlNpwwNNBu1RYSfbaB 1Ea3lwLsnpZWJcyQ0VtTcTkDRdzv1hbFEWhxZqvVajLjLtB1r9L47g3Eps/LoUuadQyj8woSVTb8 IWncNlUndvaA34BojIf0SFEZFkf73Bu0n5McoRD69NOkJq8Ct+4NOS6iMvaDDQ30VO6n7Lww7rVk 9jcO2XpBL8+wHxsPcOer8zNyPVu0fDn/8qPwdr+0c9af33n5GwAA//8DAFBLAwQUAAYACAAAACEA TGAzwd8AAAAJAQAADwAAAGRycy9kb3ducmV2LnhtbEyPwU7DMAyG75N4h8hIXCqW0kldKU2nMYkT mzQGF25ZY9qKxqmadOveHk8c4Gj70+/vL1aT7cQJB986UvAwj0EgVc60VCv4eH+5z0D4oMnozhEq uKCHVXkzK3Ru3Jne8HQIteAQ8rlW0ITQ51L6qkGr/dz1SHz7coPVgcehlmbQZw63nUziOJVWt8Qf Gt3jpsHq+zBaBWH7uNvrNMpenz/ddn3ZjLt9FCl1dzutn0AEnMIfDFd9VoeSnY5uJONFpyBZpAmj CpbxEgQD2SLhLsffhSwL+b9B+QMAAP//AwBQSwECLQAUAAYACAAAACEAtoM4kv4AAADhAQAAEwAA AAAAAAAAAAAAAAAAAAAAW0NvbnRlbnRfVHlwZXNdLnhtbFBLAQItABQABgAIAAAAIQA4/SH/1gAA AJQBAAALAAAAAAAAAAAAAAAAAC8BAABfcmVscy8ucmVsc1BLAQItABQABgAIAAAAIQAJvzRoDAIA ABYEAAAOAAAAAAAAAAAAAAAAAC4CAABkcnMvZTJvRG9jLnhtbFBLAQItABQABgAIAAAAIQBMYDPB 3wAAAAkBAAAPAAAAAAAAAAAAAAAAAGYEAABkcnMvZG93bnJldi54bWxQSwUGAAAAAAQABADzAAAA cgUAAAAA " strokecolor="#9bbb59" strokeweight="1.5pt">
                <v:shadow on="t" color="black" opacity="24903f" origin=",.5" offset="0,.55556mm"/>
                <o:lock v:ext="edit" shapetype="f"/>
              </v:line>
            </w:pict>
          </mc:Fallback>
        </mc:AlternateContent>
        <mc:AlternateContent>
          <mc:Choice Requires="wps">
            <w:drawing>
              <wp:anchor distT="0" distB="0" distL="114298" distR="114298" simplePos="0" relativeHeight="251674624" behindDoc="0" locked="0" layoutInCell="1" allowOverlap="1" wp14:anchorId="2DB05598" wp14:editId="60D06D3A">
                <wp:simplePos x="0" y="0"/>
                <wp:positionH relativeFrom="column">
                  <wp:posOffset>172084</wp:posOffset>
                </wp:positionH>
                <wp:positionV relativeFrom="paragraph">
                  <wp:posOffset>279400</wp:posOffset>
                </wp:positionV>
                <wp:extent cx="0" cy="5805170"/>
                <wp:effectExtent l="57150" t="19050" r="57150" b="62230"/>
                <wp:wrapNone/>
                <wp:docPr id="142045215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805170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9BBB59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7B5337B" id="2 Conector recto" o:spid="_x0000_s1026" style="position:absolute;z-index:251674624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margin" from="13.55pt,22pt" to="13.55pt,479.1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tewOEAIAAB0EAAAOAAAAZHJzL2Uyb0RvYy54bWysU02P2jAQvVfqf7B8LwmUtGxEWAnQ9rJq 0dKq58FxEquObdmGwL/vjMPS3e6t6sXJfPq9mefl/bnX7CR9UNZUfDrJOZNG2FqZtuI/vj98WHAW IpgatDWy4hcZ+P3q/bvl4Eo5s53VtfQMm5hQDq7iXYyuzLIgOtlDmFgnDQYb63uIaPo2qz0M2L3X 2SzPP2WD9bXzVsgQ0Lsdg3yV+jeNFPFb0wQZma44Yovp9Ok80JmtllC2HlynxBUG/AOKHpTBS2+t thCBHb1606pXwttgmzgRts9s0yghEwdkM83/YrPvwMnEBYcT3G1M4f+1FV9PO89Ujbubz/J5MZsW U84M9LirGdvgzkS0nnn60LAGF0qs2ZidJ7ribPbu0YpfAWPZqyAZwY1p58b3lI582TkN/3IbvjxH JkanQG+xyIvp57SYDMrnQudD/CJtz+in4loZmguUcHoMka6G8jmF3MY+KK3TbrVhA1Ip5jmuXwBK rNEQ8bd3SDqYljPQLWpXRJ9aBqtVTeXUKPj2sNGenQD1c7der4s7mgJe9yqN7t5C6Ma8FLqmaUNt ZFIiQiXDHqP0+64e2EEf/RMgDARH8GpF5FDWo4EyJdjJ8jb+VLFLiqDRvQGX8kY/aNfBCOXjgqqv iEcuCf0NQ7JewEs7HNdGCzzY+rLzVE8WajDlX98LifylnbL+vOrVbwAAAP//AwBQSwMEFAAGAAgA AAAhAFQEBT7eAAAACAEAAA8AAABkcnMvZG93bnJldi54bWxMj8tOwzAURPdI/IN1kdhRp1GfIU6F QJVALBCl7dqNL0lUv7DdNPD1XNjAcjSjmTPlajCa9Rhi56yA8SgDhrZ2qrONgO3b+mYBLCZpldTO ooBPjLCqLi9KWSh3tq/Yb1LDqMTGQgpoU/IF57Fu0cg4ch4tee8uGJlIhoarIM9UbjTPs2zGjews LbTS432L9XFzMgJe1g/bj8e9nn3lT8/TY7/3Yb7zQlxfDXe3wBIO6S8MP/iEDhUxHdzJqsi0gHw+ pqSAyYQukf+rDwKW00UOvCr5/wPVNwAAAP//AwBQSwECLQAUAAYACAAAACEAtoM4kv4AAADhAQAA EwAAAAAAAAAAAAAAAAAAAAAAW0NvbnRlbnRfVHlwZXNdLnhtbFBLAQItABQABgAIAAAAIQA4/SH/ 1gAAAJQBAAALAAAAAAAAAAAAAAAAAC8BAABfcmVscy8ucmVsc1BLAQItABQABgAIAAAAIQAUtewO EAIAAB0EAAAOAAAAAAAAAAAAAAAAAC4CAABkcnMvZTJvRG9jLnhtbFBLAQItABQABgAIAAAAIQBU BAU+3gAAAAgBAAAPAAAAAAAAAAAAAAAAAGoEAABkcnMvZG93bnJldi54bWxQSwUGAAAAAAQABADz AAAAdQUAAAAA " strokecolor="#9bbb59" strokeweight="2pt">
                <v:shadow on="t" color="black" opacity="24903f" origin=",.5" offset="0,.55556mm"/>
                <o:lock v:ext="edit" shapetype="f"/>
              </v:line>
            </w:pict>
          </mc:Fallback>
        </mc:AlternateContent>
      </w:r>
    </w:p>
    <w:p w14:paraId="09AFAD00" w14:textId="77777777" w:rsidR="00836859" w:rsidRPr="003C344E" w:rsidRDefault="00836859" w:rsidP="00836859">
      <w:pPr>
        <w:tabs>
          <w:tab w:val="center" w:pos="4419"/>
          <w:tab w:val="right" w:pos="8838"/>
        </w:tabs>
        <w:spacing w:after="0" w:line="240" w:lineRule="auto"/>
        <w:ind w:right="-284"/>
        <w:jc w:val="center"/>
        <w:rPr>
          <w:rFonts w:cs="Arial"/>
          <w:sz w:val="28"/>
          <w:szCs w:val="28"/>
        </w:rPr>
      </w:pPr>
    </w:p>
    <w:p w14:paraId="338C9385" w14:textId="77777777" w:rsidR="00836859" w:rsidRPr="003C344E" w:rsidRDefault="00836859" w:rsidP="00836859">
      <w:pPr>
        <w:spacing w:after="0" w:line="360" w:lineRule="auto"/>
        <w:jc w:val="center"/>
        <w:rPr>
          <w:rFonts w:cs="Arial"/>
          <w:sz w:val="28"/>
          <w:szCs w:val="28"/>
        </w:rPr>
      </w:pPr>
    </w:p>
    <w:p w14:paraId="330429D6" w14:textId="77777777" w:rsidR="00836859" w:rsidRPr="003C344E" w:rsidRDefault="00836859" w:rsidP="00836859">
      <w:pPr>
        <w:spacing w:after="0" w:line="360" w:lineRule="auto"/>
        <w:jc w:val="center"/>
        <w:rPr>
          <w:rFonts w:cs="Arial"/>
          <w:sz w:val="28"/>
          <w:szCs w:val="28"/>
        </w:rPr>
      </w:pPr>
      <w:r>
        <w:rPr>
          <w:rFonts w:cs="Arial"/>
          <w:sz w:val="28"/>
          <w:szCs w:val="28"/>
        </w:rPr>
        <w:t xml:space="preserve">               UNIVERSIDAD TECNOLÓGICA DEL VALLE DE TOLUCA</w:t>
      </w:r>
    </w:p>
    <w:p w14:paraId="41C5CC63" w14:textId="77777777" w:rsidR="00836859" w:rsidRPr="003C344E" w:rsidRDefault="00836859" w:rsidP="00836859">
      <w:pPr>
        <w:spacing w:after="0" w:line="360" w:lineRule="auto"/>
        <w:ind w:left="1134"/>
        <w:jc w:val="center"/>
        <w:rPr>
          <w:rFonts w:cs="Arial"/>
        </w:rPr>
      </w:pPr>
      <w:r>
        <w:rPr>
          <w:noProof/>
          <w:lang w:eastAsia="es-MX"/>
        </w:rPr>
        <mc:AlternateContent>
          <mc:Choice Requires="wps">
            <w:drawing>
              <wp:anchor distT="0" distB="0" distL="114298" distR="114298" simplePos="0" relativeHeight="251675648" behindDoc="0" locked="0" layoutInCell="1" allowOverlap="1" wp14:anchorId="36FB2F13" wp14:editId="5D49C00C">
                <wp:simplePos x="0" y="0"/>
                <wp:positionH relativeFrom="column">
                  <wp:posOffset>374014</wp:posOffset>
                </wp:positionH>
                <wp:positionV relativeFrom="paragraph">
                  <wp:posOffset>207010</wp:posOffset>
                </wp:positionV>
                <wp:extent cx="0" cy="4986655"/>
                <wp:effectExtent l="57150" t="19050" r="57150" b="61595"/>
                <wp:wrapNone/>
                <wp:docPr id="15" name="3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4986655"/>
                        </a:xfrm>
                        <a:prstGeom prst="line">
                          <a:avLst/>
                        </a:prstGeom>
                        <a:noFill/>
                        <a:ln w="25400" cap="flat" cmpd="sng" algn="ctr">
                          <a:solidFill>
                            <a:srgbClr val="9BBB59"/>
                          </a:solidFill>
                          <a:prstDash val="solid"/>
                        </a:ln>
                        <a:effectLst>
                          <a:outerShdw blurRad="40000" dist="20000" dir="5400000" rotWithShape="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1E2414F" id="3 Conector recto" o:spid="_x0000_s1026" style="position:absolute;z-index:251675648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margin" from="29.45pt,16.3pt" to="29.45pt,408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enFpuCQIAABUEAAAOAAAAZHJzL2Uyb0RvYy54bWysU8Fu2zAMvQ/YPwi6L07TJmiMOAWSoLsU W7Fs2JmR5ViYLAmUEid/P1JOs3a9DbvIJvlIPZJPi4dTZ8VRYzTeVfJmNJZCO+Vr4/aV/PH98dO9 FDGBq8F6pyt51lE+LD9+WPSh1BPfeltrFFTExbIPlWxTCmVRRNXqDuLIB+0o2HjsIJGJ+6JG6Kl6 Z4vJeDwreo91QK90jOTdDEG5zPWbRqv0tWmiTsJWkrilfGI+d3wWywWUe4TQGnWhAf/AogPj6NJr qQ0kEAc070p1RqGPvkkj5bvCN41ROvdA3dyM/+pm20LQuRcaTgzXMcX/V1Z9OT6jMDXtbiqFg452 dCvWtCuVPArkDw+pD7Ek7No9I7epTm4bnrz6FSlWvAmyEcMAOzXYMZz6FKc89PN16PqUhBqcirx3 8/vZbDrluwooXxIDxvRZ+07wTyWtcTwPKOH4FNMAfYGw2/lHYy35obRO9JWcTO/GtHYFJK3GQqLf LlCz0e2lALsnzaqEuWT01tScztkR97u1RXEE0s18tVpN5xdmb2B89wZiO+By6AKzjsvorECiyoY/ JI3btu7Fzh7wGxANIsf0asPNkZwHg+TJtLOFPv00qc1K4NG9I5dxgx9saGGgcnvP2cOALr3kuV45 ZOsVvbzDYW28wJ2vz8/I+WyR9jL+8k5Y3K/tjPrzmpe/AQAA//8DAFBLAwQUAAYACAAAACEA1fMK jN8AAAAIAQAADwAAAGRycy9kb3ducmV2LnhtbEyPzU7DMBCE70i8g7VI3KjToKZpmk2FQJVAHBCl 7dmNlyRq/IPtpoGnx3CB42hGM9+Uq1H1bCDnO6MRppMEGOnayE43CNu39U0OzAehpeiNJoRP8rCq Li9KUUhz1q80bELDYon2hUBoQ7AF575uSQk/MZZ09N6NUyJE6RounTjHctXzNEkyrkSn40IrLN23 VB83J4Xwsn7Yfjzu++wrfXqeHYe9dfOdRby+Gu+WwAKN4S8MP/gRHarIdDAnLT3rEWb5IiYRbtMM WPR/9QEhn84XwKuS/z9QfQMAAP//AwBQSwECLQAUAAYACAAAACEAtoM4kv4AAADhAQAAEwAAAAAA AAAAAAAAAAAAAAAAW0NvbnRlbnRfVHlwZXNdLnhtbFBLAQItABQABgAIAAAAIQA4/SH/1gAAAJQB AAALAAAAAAAAAAAAAAAAAC8BAABfcmVscy8ucmVsc1BLAQItABQABgAIAAAAIQBenFpuCQIAABUE AAAOAAAAAAAAAAAAAAAAAC4CAABkcnMvZTJvRG9jLnhtbFBLAQItABQABgAIAAAAIQDV8wqM3wAA AAgBAAAPAAAAAAAAAAAAAAAAAGMEAABkcnMvZG93bnJldi54bWxQSwUGAAAAAAQABADzAAAAbwUA AAAA " strokecolor="#9bbb59" strokeweight="2pt">
                <v:shadow on="t" color="black" opacity="24903f" origin=",.5" offset="0,.55556mm"/>
                <o:lock v:ext="edit" shapetype="f"/>
              </v:line>
            </w:pict>
          </mc:Fallback>
        </mc:AlternateContent>
      </w:r>
      <w:r>
        <w:rPr>
          <w:rFonts w:cs="Arial"/>
        </w:rPr>
        <w:t>DIRECCIÓN DE CARRERA DE TECNOLOGÍAS DE LA INFORMACIÓN Y COMUNICACIÓN</w:t>
      </w:r>
    </w:p>
    <w:p w14:paraId="5C3EBD0B" w14:textId="77777777" w:rsidR="00836859" w:rsidRPr="003C344E" w:rsidRDefault="00836859" w:rsidP="00836859">
      <w:pPr>
        <w:jc w:val="center"/>
        <w:rPr>
          <w:rFonts w:cs="Calibri"/>
        </w:rPr>
      </w:pPr>
      <w:r>
        <w:rPr>
          <w:rFonts w:cs="Calibri"/>
        </w:rPr>
        <w:t xml:space="preserve">                     INGENIERÍA EN DESARROLLO Y GESTIÓN DE SOFTWARE</w:t>
      </w:r>
    </w:p>
    <w:p w14:paraId="6DE728FC" w14:textId="77777777" w:rsidR="00836859" w:rsidRPr="003C344E" w:rsidRDefault="00836859" w:rsidP="00836859">
      <w:pPr>
        <w:spacing w:after="0" w:line="360" w:lineRule="auto"/>
        <w:ind w:left="1134"/>
        <w:jc w:val="center"/>
        <w:rPr>
          <w:rFonts w:cs="Arial"/>
          <w:sz w:val="18"/>
          <w:szCs w:val="15"/>
        </w:rPr>
      </w:pPr>
    </w:p>
    <w:p w14:paraId="581C2B27" w14:textId="77777777" w:rsidR="00836859" w:rsidRDefault="00836859" w:rsidP="00836859">
      <w:pPr>
        <w:spacing w:before="80" w:after="80" w:line="264" w:lineRule="auto"/>
        <w:ind w:left="1134"/>
        <w:jc w:val="center"/>
        <w:rPr>
          <w:rFonts w:cs="Arial"/>
          <w:b/>
          <w:sz w:val="28"/>
          <w:szCs w:val="28"/>
        </w:rPr>
      </w:pPr>
      <w:r>
        <w:rPr>
          <w:rFonts w:cs="Arial"/>
          <w:b/>
          <w:sz w:val="28"/>
          <w:szCs w:val="28"/>
        </w:rPr>
        <w:t>Plan DevOps y repositorio inicial</w:t>
      </w:r>
    </w:p>
    <w:p w14:paraId="4BB06EAE" w14:textId="77777777" w:rsidR="00836859" w:rsidRPr="003C344E" w:rsidRDefault="00836859" w:rsidP="00836859">
      <w:pPr>
        <w:spacing w:before="80" w:after="80" w:line="264" w:lineRule="auto"/>
        <w:ind w:left="1134"/>
        <w:jc w:val="center"/>
        <w:rPr>
          <w:rFonts w:cs="Arial"/>
          <w:b/>
          <w:sz w:val="20"/>
          <w:szCs w:val="20"/>
        </w:rPr>
      </w:pPr>
      <w:r>
        <w:rPr>
          <w:rFonts w:cs="Arial"/>
          <w:b/>
          <w:sz w:val="20"/>
          <w:szCs w:val="20"/>
        </w:rPr>
        <w:t>Nombre del Proyecto</w:t>
      </w:r>
    </w:p>
    <w:p w14:paraId="4A92D82F" w14:textId="77777777" w:rsidR="00836859" w:rsidRPr="009D129F" w:rsidRDefault="00836859" w:rsidP="00836859">
      <w:pPr>
        <w:spacing w:before="80" w:after="80" w:line="264" w:lineRule="auto"/>
        <w:ind w:left="1134"/>
        <w:jc w:val="center"/>
        <w:rPr>
          <w:rFonts w:cs="Arial"/>
          <w:color w:val="000000" w:themeColor="text1"/>
        </w:rPr>
      </w:pPr>
      <w:r>
        <w:rPr>
          <w:rFonts w:cs="Arial"/>
          <w:color w:val="000000" w:themeColor="text1"/>
        </w:rPr>
        <w:t>“Restaurant Hub (RestoHub)”</w:t>
      </w:r>
    </w:p>
    <w:p w14:paraId="7E7C6E25" w14:textId="77777777" w:rsidR="00836859" w:rsidRPr="003C344E" w:rsidRDefault="00836859" w:rsidP="00836859">
      <w:pPr>
        <w:spacing w:before="80" w:after="80" w:line="264" w:lineRule="auto"/>
        <w:ind w:left="1134"/>
        <w:jc w:val="center"/>
        <w:rPr>
          <w:rFonts w:cs="Arial"/>
          <w:color w:val="FF0000"/>
        </w:rPr>
      </w:pPr>
      <w:r>
        <w:rPr>
          <w:rFonts w:cs="Arial"/>
          <w:b/>
          <w:sz w:val="20"/>
          <w:szCs w:val="20"/>
        </w:rPr>
        <w:t>Nombres de los Estudiantes</w:t>
      </w:r>
    </w:p>
    <w:p w14:paraId="069A70F0" w14:textId="77777777" w:rsidR="00F320F0" w:rsidRDefault="001F217F">
      <w:pPr>
        <w:spacing w:before="80" w:after="80" w:line="240" w:lineRule="auto"/>
        <w:ind w:left="1134"/>
        <w:jc w:val="center"/>
        <w:rPr>
          <w:rFonts w:cs="Arial"/>
          <w:color w:val="000000" w:themeColor="text1"/>
          <w:sz w:val="20"/>
          <w:szCs w:val="20"/>
        </w:rPr>
      </w:pPr>
      <w:r>
        <w:rPr>
          <w:rFonts w:cs="Arial"/>
          <w:color w:val="000000" w:themeColor="text1"/>
          <w:sz w:val="20"/>
          <w:szCs w:val="20"/>
        </w:rPr>
        <w:t>García Gaytan Ludwin – 222310777</w:t>
      </w:r>
    </w:p>
    <w:p w14:paraId="6DEB6573" w14:textId="77777777" w:rsidR="00F320F0" w:rsidRDefault="001F217F">
      <w:pPr>
        <w:spacing w:before="80" w:after="80" w:line="240" w:lineRule="auto"/>
        <w:ind w:left="1134"/>
        <w:jc w:val="center"/>
        <w:rPr>
          <w:rFonts w:cs="Arial"/>
          <w:color w:val="000000" w:themeColor="text1"/>
          <w:sz w:val="20"/>
          <w:szCs w:val="20"/>
        </w:rPr>
      </w:pPr>
      <w:r>
        <w:rPr>
          <w:rFonts w:cs="Arial"/>
          <w:color w:val="000000" w:themeColor="text1"/>
          <w:sz w:val="20"/>
          <w:szCs w:val="20"/>
        </w:rPr>
        <w:t>Duarte Villavicencio Octavio – 222310422</w:t>
      </w:r>
    </w:p>
    <w:p w14:paraId="7A9FEACE" w14:textId="77777777" w:rsidR="00F320F0" w:rsidRDefault="001F217F">
      <w:pPr>
        <w:spacing w:before="80" w:after="80" w:line="240" w:lineRule="auto"/>
        <w:ind w:left="1134"/>
        <w:jc w:val="center"/>
        <w:rPr>
          <w:rFonts w:cs="Arial"/>
          <w:color w:val="000000" w:themeColor="text1"/>
          <w:sz w:val="20"/>
          <w:szCs w:val="20"/>
        </w:rPr>
      </w:pPr>
      <w:r>
        <w:rPr>
          <w:rFonts w:cs="Arial"/>
          <w:color w:val="000000" w:themeColor="text1"/>
          <w:sz w:val="20"/>
          <w:szCs w:val="20"/>
        </w:rPr>
        <w:t xml:space="preserve">Mercado Serrano Valeria – 222310838</w:t>
      </w:r>
    </w:p>
    <w:p w14:paraId="63FFCEC1" w14:textId="77777777" w:rsidR="00F320F0" w:rsidRDefault="001F217F">
      <w:pPr>
        <w:spacing w:before="80" w:after="80" w:line="240" w:lineRule="auto"/>
        <w:ind w:left="1134"/>
        <w:jc w:val="center"/>
        <w:rPr>
          <w:rFonts w:cs="Arial"/>
          <w:color w:val="000000" w:themeColor="text1"/>
          <w:sz w:val="20"/>
          <w:szCs w:val="20"/>
        </w:rPr>
      </w:pPr>
      <w:r>
        <w:rPr>
          <w:rFonts w:cs="Arial"/>
          <w:color w:val="000000" w:themeColor="text1"/>
          <w:sz w:val="20"/>
          <w:szCs w:val="20"/>
        </w:rPr>
        <w:t>Hernández Mejía Braulio – 222310435</w:t>
      </w:r>
    </w:p>
    <w:p w14:paraId="67ABADEF" w14:textId="77777777" w:rsidR="00836859" w:rsidRPr="003C344E" w:rsidRDefault="00836859" w:rsidP="00836859">
      <w:pPr>
        <w:spacing w:before="80" w:after="80" w:line="264" w:lineRule="auto"/>
        <w:ind w:left="1134"/>
        <w:jc w:val="center"/>
        <w:rPr>
          <w:rFonts w:cs="Arial"/>
          <w:b/>
          <w:sz w:val="20"/>
          <w:szCs w:val="20"/>
        </w:rPr>
      </w:pPr>
      <w:r>
        <w:rPr>
          <w:rFonts w:cs="Arial"/>
          <w:b/>
          <w:sz w:val="20"/>
          <w:szCs w:val="20"/>
        </w:rPr>
        <w:t>Grupo</w:t>
      </w:r>
    </w:p>
    <w:p w14:paraId="403C9246" w14:textId="77777777" w:rsidR="00836859" w:rsidRPr="009D129F" w:rsidRDefault="00836859" w:rsidP="00836859">
      <w:pPr>
        <w:spacing w:before="80" w:after="80" w:line="240" w:lineRule="auto"/>
        <w:ind w:left="1134"/>
        <w:jc w:val="center"/>
        <w:rPr>
          <w:rFonts w:cs="Arial"/>
          <w:color w:val="000000" w:themeColor="text1"/>
          <w:sz w:val="20"/>
          <w:szCs w:val="20"/>
        </w:rPr>
      </w:pPr>
      <w:r>
        <w:rPr>
          <w:rFonts w:cs="Arial"/>
          <w:color w:val="000000" w:themeColor="text1"/>
          <w:sz w:val="20"/>
          <w:szCs w:val="20"/>
        </w:rPr>
        <w:t>IDGS 101</w:t>
      </w:r>
    </w:p>
    <w:p w14:paraId="6EC46935" w14:textId="77777777" w:rsidR="00836859" w:rsidRPr="003C344E" w:rsidRDefault="00836859" w:rsidP="00836859">
      <w:pPr>
        <w:spacing w:before="160" w:after="80" w:line="264" w:lineRule="auto"/>
        <w:ind w:left="1134"/>
        <w:jc w:val="center"/>
        <w:rPr>
          <w:rFonts w:cs="Arial"/>
          <w:b/>
          <w:sz w:val="20"/>
          <w:szCs w:val="20"/>
        </w:rPr>
      </w:pPr>
      <w:r>
        <w:rPr>
          <w:rFonts w:cs="Arial"/>
          <w:b/>
          <w:sz w:val="20"/>
          <w:szCs w:val="20"/>
        </w:rPr>
        <w:t>Cuatrimestre</w:t>
      </w:r>
    </w:p>
    <w:p w14:paraId="00051809" w14:textId="77777777" w:rsidR="00836859" w:rsidRPr="003C344E" w:rsidRDefault="00836859" w:rsidP="00836859">
      <w:pPr>
        <w:spacing w:before="80" w:after="80" w:line="240" w:lineRule="auto"/>
        <w:ind w:left="1134"/>
        <w:jc w:val="center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10mo</w:t>
      </w:r>
    </w:p>
    <w:p w14:paraId="5E77B575" w14:textId="77777777" w:rsidR="00836859" w:rsidRPr="003C344E" w:rsidRDefault="00836859" w:rsidP="00836859">
      <w:pPr>
        <w:spacing w:before="80" w:after="80" w:line="264" w:lineRule="auto"/>
        <w:ind w:left="1134"/>
        <w:jc w:val="center"/>
        <w:rPr>
          <w:rFonts w:cs="Arial"/>
          <w:b/>
          <w:sz w:val="20"/>
          <w:szCs w:val="20"/>
        </w:rPr>
      </w:pPr>
      <w:r>
        <w:rPr>
          <w:rFonts w:cs="Arial"/>
          <w:b/>
          <w:sz w:val="20"/>
          <w:szCs w:val="20"/>
        </w:rPr>
        <w:t>Lugar</w:t>
      </w:r>
    </w:p>
    <w:p w14:paraId="31793F72" w14:textId="77777777" w:rsidR="00836859" w:rsidRPr="003C344E" w:rsidRDefault="00836859" w:rsidP="00836859">
      <w:pPr>
        <w:spacing w:before="80" w:after="80" w:line="240" w:lineRule="auto"/>
        <w:ind w:left="1134"/>
        <w:jc w:val="center"/>
        <w:rPr>
          <w:rFonts w:cs="Arial"/>
          <w:szCs w:val="24"/>
        </w:rPr>
      </w:pPr>
      <w:r>
        <w:rPr>
          <w:rFonts w:cs="Arial"/>
          <w:noProof/>
          <w:sz w:val="20"/>
          <w:szCs w:val="20"/>
          <w:lang w:eastAsia="es-ES"/>
        </w:rPr>
        <w:t>Santa María Atarasquillo, Lerma, México.</w:t>
      </w:r>
    </w:p>
    <w:p w14:paraId="3EEA2A0B" w14:textId="77777777" w:rsidR="00836859" w:rsidRDefault="00836859" w:rsidP="00836859">
      <w:pPr>
        <w:spacing w:before="80" w:after="80" w:line="264" w:lineRule="auto"/>
        <w:ind w:left="1134"/>
        <w:jc w:val="center"/>
        <w:rPr>
          <w:rFonts w:cs="Arial"/>
          <w:b/>
          <w:sz w:val="20"/>
          <w:szCs w:val="20"/>
        </w:rPr>
      </w:pPr>
      <w:r>
        <w:rPr>
          <w:rFonts w:cs="Arial"/>
          <w:b/>
          <w:sz w:val="20"/>
          <w:szCs w:val="20"/>
        </w:rPr>
        <w:t>Fecha de Entrega</w:t>
      </w:r>
    </w:p>
    <w:p w14:paraId="385BAE21" w14:textId="77777777" w:rsidR="00836859" w:rsidRPr="003C344E" w:rsidRDefault="00836859" w:rsidP="00836859">
      <w:pPr>
        <w:spacing w:before="80" w:after="80" w:line="264" w:lineRule="auto"/>
        <w:ind w:left="1134"/>
        <w:jc w:val="center"/>
        <w:rPr>
          <w:rFonts w:cs="Arial"/>
          <w:b/>
          <w:sz w:val="20"/>
          <w:szCs w:val="20"/>
        </w:rPr>
      </w:pPr>
      <w:r>
        <w:rPr>
          <w:rFonts w:cs="Arial"/>
          <w:b/>
          <w:sz w:val="20"/>
          <w:szCs w:val="20"/>
        </w:rPr>
        <w:t>26 de octubre de 2026</w:t>
      </w:r>
    </w:p>
    <w:p>
      <w:pPr>
        <w:pStyle w:val="Heading1"/>
        <w:pageBreakBefore/>
      </w:pPr>
      <w:r>
        <w:t xml:space="preserve">Plan DevOps y repositorio inicial — RestoHub</w:t>
      </w:r>
    </w:p>
    <w:p>
      <w:pPr>
        <w:pStyle w:val="Heading2"/>
      </w:pPr>
      <w:r>
        <w:t xml:space="preserve">Datos de la entrega</w:t>
      </w:r>
    </w:p>
    <w:p>
      <w:pPr/>
      <w:r>
        <w:t xml:space="preserve">RestoHub planea su proceso de desarrollo con un enfoque DevOps: Scrum en ciclos semanales, integración continua en Jenkins y despliegue en Microsoft Azure aprovisionado con Terraform.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977"/>
        <w:gridCol w:w="6382"/>
      </w:tblGrid>
      <w:tr>
        <w:trPr>
          <w:tblHeader/>
        </w:trPr>
        <w:tc>
          <w:tcPr>
            <w:tcW w:w="2977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6382" w:type="dxa"/>
            <w:shd w:val="clear" w:color="auto" w:fill="F2F2F2"/>
          </w:tcPr>
          <w:p>
            <w:pPr/>
            <w:r>
              <w:t xml:space="preserve">Valor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Asignatura</w:t>
            </w:r>
          </w:p>
        </w:tc>
        <w:tc>
          <w:tcPr>
            <w:tcW w:w="6382" w:type="dxa"/>
          </w:tcPr>
          <w:p>
            <w:pPr/>
            <w:r>
              <w:t xml:space="preserve">Gestión del proceso de desarrollo de software (GPDS)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Entregable</w:t>
            </w:r>
          </w:p>
        </w:tc>
        <w:tc>
          <w:tcPr>
            <w:tcW w:w="6382" w:type="dxa"/>
          </w:tcPr>
          <w:p>
            <w:pPr/>
            <w:r>
              <w:t xml:space="preserve">1 de 3: Plan DevOps y repositorio inicial (Linear CAL-66)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Capacidad evaluada</w:t>
            </w:r>
          </w:p>
        </w:tc>
        <w:tc>
          <w:tcPr>
            <w:tcW w:w="6382" w:type="dxa"/>
          </w:tcPr>
          <w:p>
            <w:pPr/>
            <w:r>
              <w:t xml:space="preserve">Planear el proceso de desarrollo de software mediante un enfoque DevOps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Evaluadores</w:t>
            </w:r>
          </w:p>
        </w:tc>
        <w:tc>
          <w:tcPr>
            <w:tcW w:w="6382" w:type="dxa"/>
          </w:tcPr>
          <w:p>
            <w:pPr/>
            <w:r>
              <w:t xml:space="preserve">MIA Miguel Antonio Islas · ITIC Roberto Vinicio Camacho Mendoza · MEL Miguel Ángel Orona López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Equipo</w:t>
            </w:r>
          </w:p>
        </w:tc>
        <w:tc>
          <w:tcPr>
            <w:tcW w:w="6382" w:type="dxa"/>
          </w:tcPr>
          <w:p>
            <w:pPr/>
            <w:r>
              <w:t xml:space="preserve">Ludwin García Gaytan (Product Owner) · Octavio Duarte Villavicencio (Scrum Master) · Braulio Hernández Mejía y Valeria Mercado Serrano (Developers)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Grupo</w:t>
            </w:r>
          </w:p>
        </w:tc>
        <w:tc>
          <w:tcPr>
            <w:tcW w:w="6382" w:type="dxa"/>
          </w:tcPr>
          <w:p>
            <w:pPr/>
            <w:r>
              <w:t xml:space="preserve">IDGS 101, décimo cuatrimestre, UTVT</w:t>
            </w:r>
          </w:p>
        </w:tc>
      </w:tr>
      <w:tr>
        <w:tc>
          <w:tcPr>
            <w:tcW w:w="2977" w:type="dxa"/>
          </w:tcPr>
          <w:p>
            <w:pPr/>
            <w:r>
              <w:t xml:space="preserve">Fecha oficial</w:t>
            </w:r>
          </w:p>
        </w:tc>
        <w:tc>
          <w:tcPr>
            <w:tcW w:w="6382" w:type="dxa"/>
          </w:tcPr>
          <w:p>
            <w:pPr/>
            <w:r>
              <w:t xml:space="preserve">26 de octubre de 2026 (fecha interna: 19 de octubre, ciclo 5)</w:t>
            </w:r>
          </w:p>
        </w:tc>
      </w:tr>
    </w:tbl>
    <w:p>
      <w:pPr/>
      <w:r>
        <w:t xml:space="preserve">Los criterios de evaluación son tres: definir objetivos, alcance y requisitos; seleccionar metodología y herramientas; y establecer control de versiones, pruebas y estrategia de despliegue. Cada uno tiene su sección abajo.</w:t>
      </w:r>
    </w:p>
    <w:p>
      <w:pPr>
        <w:pStyle w:val="Heading2"/>
      </w:pPr>
      <w:r>
        <w:t xml:space="preserve">1. Objetivos, alcance y requisitos</w:t>
      </w:r>
    </w:p>
    <w:p>
      <w:pPr/>
      <w:r>
        <w:t xml:space="preserve">El objetivo del proceso es que ningún cambio llegue a </w:t>
      </w:r>
      <w:r>
        <w:rPr>
          <w:rStyle w:val="CodeChar"/>
        </w:rPr>
        <w:t xml:space="preserve">main</w:t>
      </w:r>
      <w:r>
        <w:t xml:space="preserve"> ni a Azure sin pasar las mismas puertas de calidad, y que el aislamiento entre restaurantes (Row Level Security de PostgreSQL) se verifique en cada corrida.</w:t>
      </w:r>
    </w:p>
    <w:p>
      <w:pPr/>
      <w:r>
        <w:rPr>
          <w:b/>
        </w:rPr>
        <w:t xml:space="preserve">Objetivos del proceso DevOps</w:t>
      </w:r>
    </w:p>
    <w:p>
      <w:pPr>
        <w:pStyle w:val="ListParagraph"/>
        <w:numPr>
          <w:ilvl w:val="0"/>
          <w:numId w:val="2"/>
        </w:numPr>
      </w:pPr>
      <w:r>
        <w:t xml:space="preserve">Integrar cada cambio por pull request, con pruebas automáticas de backend, frontend y app móvil antes de fusionar.</w:t>
      </w:r>
    </w:p>
    <w:p>
      <w:pPr>
        <w:pStyle w:val="ListParagraph"/>
        <w:numPr>
          <w:ilvl w:val="0"/>
          <w:numId w:val="2"/>
        </w:numPr>
      </w:pPr>
      <w:r>
        <w:t xml:space="preserve">Ejecutar las pruebas de backend contra PostgreSQL 16 real (Testcontainers), porque H2 no demuestra RLS.</w:t>
      </w:r>
    </w:p>
    <w:p>
      <w:pPr>
        <w:pStyle w:val="ListParagraph"/>
        <w:numPr>
          <w:ilvl w:val="0"/>
          <w:numId w:val="2"/>
        </w:numPr>
      </w:pPr>
      <w:r>
        <w:t xml:space="preserve">Aprovisionar toda la infraestructura como código con Terraform, reproducible y destruible.</w:t>
      </w:r>
    </w:p>
    <w:p>
      <w:pPr>
        <w:pStyle w:val="ListParagraph"/>
        <w:numPr>
          <w:ilvl w:val="0"/>
          <w:numId w:val="2"/>
        </w:numPr>
      </w:pPr>
      <w:r>
        <w:t xml:space="preserve">Desplegar en Azure sin secretos en el repositorio: credenciales en Key Vault e identidades administradas.</w:t>
      </w:r>
    </w:p>
    <w:p>
      <w:pPr>
        <w:pStyle w:val="ListParagraph"/>
        <w:numPr>
          <w:ilvl w:val="0"/>
          <w:numId w:val="2"/>
        </w:numPr>
      </w:pPr>
      <w:r>
        <w:t xml:space="preserve">Mantener la trazabilidad de cada cambio desde el issue de Linear hasta el commit y el despliegue.</w:t>
      </w:r>
    </w:p>
    <w:p>
      <w:pPr/>
      <w:r>
        <w:rPr>
          <w:b/>
        </w:rPr>
        <w:t xml:space="preserve">Alcance.</w:t>
      </w:r>
      <w:r>
        <w:t xml:space="preserve"> El proceso cubre los tres componentes del repositorio — backend Spring Boot, frontend Next.js y app móvil Expo —, la infraestructura de CI y la de producción en Azure. Quedan fuera la integración real con MercadoPago y la publicación de la app en tiendas.</w:t>
      </w:r>
    </w:p>
    <w:p>
      <w:pPr/>
      <w:r>
        <w:rPr>
          <w:b/>
        </w:rPr>
        <w:t xml:space="preserve">Requisitos del proceso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27"/>
        <w:gridCol w:w="7032"/>
      </w:tblGrid>
      <w:tr>
        <w:trPr>
          <w:tblHeader/>
        </w:trPr>
        <w:tc>
          <w:tcPr>
            <w:tcW w:w="2327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7032" w:type="dxa"/>
            <w:shd w:val="clear" w:color="auto" w:fill="F2F2F2"/>
          </w:tcPr>
          <w:p>
            <w:pPr/>
            <w:r>
              <w:t xml:space="preserve">Requisito</w:t>
            </w:r>
          </w:p>
        </w:tc>
      </w:tr>
      <w:tr>
        <w:tc>
          <w:tcPr>
            <w:tcW w:w="2327" w:type="dxa"/>
          </w:tcPr>
          <w:p>
            <w:pPr/>
            <w:r>
              <w:t xml:space="preserve">Seguridad</w:t>
            </w:r>
          </w:p>
        </w:tc>
        <w:tc>
          <w:tcPr>
            <w:tcW w:w="7032" w:type="dxa"/>
          </w:tcPr>
          <w:p>
            <w:pPr/>
            <w:r>
              <w:rPr>
                <w:rStyle w:val="CodeChar"/>
              </w:rPr>
              <w:t xml:space="preserve">callejon9_app</w:t>
            </w:r>
            <w:r>
              <w:t xml:space="preserve"> no es dueño de tablas ni tiene </w:t>
            </w:r>
            <w:r>
              <w:rPr>
                <w:rStyle w:val="CodeChar"/>
              </w:rPr>
              <w:t xml:space="preserve">BYPASSRLS</w:t>
            </w:r>
            <w:r>
              <w:t xml:space="preserve">; las 15 tablas por restaurante conservan RLS forzado</w:t>
            </w:r>
          </w:p>
        </w:tc>
      </w:tr>
      <w:tr>
        <w:tc>
          <w:tcPr>
            <w:tcW w:w="2327" w:type="dxa"/>
          </w:tcPr>
          <w:p>
            <w:pPr/>
            <w:r>
              <w:t xml:space="preserve">Seguridad</w:t>
            </w:r>
          </w:p>
        </w:tc>
        <w:tc>
          <w:tcPr>
            <w:tcW w:w="7032" w:type="dxa"/>
          </w:tcPr>
          <w:p>
            <w:pPr/>
            <w:r>
              <w:t xml:space="preserve">El tenant sale de la cookie JWT firmada, nunca del cliente</w:t>
            </w:r>
          </w:p>
        </w:tc>
      </w:tr>
      <w:tr>
        <w:tc>
          <w:tcPr>
            <w:tcW w:w="2327" w:type="dxa"/>
          </w:tcPr>
          <w:p>
            <w:pPr/>
            <w:r>
              <w:t xml:space="preserve">Datos</w:t>
            </w:r>
          </w:p>
        </w:tc>
        <w:tc>
          <w:tcPr>
            <w:tcW w:w="7032" w:type="dxa"/>
          </w:tcPr>
          <w:p>
            <w:pPr/>
            <w:r>
              <w:t xml:space="preserve">Migraciones Flyway solo de adición: nunca se reescribe una migración aplicada</w:t>
            </w:r>
          </w:p>
        </w:tc>
      </w:tr>
      <w:tr>
        <w:tc>
          <w:tcPr>
            <w:tcW w:w="2327" w:type="dxa"/>
          </w:tcPr>
          <w:p>
            <w:pPr/>
            <w:r>
              <w:t xml:space="preserve">Calidad</w:t>
            </w:r>
          </w:p>
        </w:tc>
        <w:tc>
          <w:tcPr>
            <w:tcW w:w="7032" w:type="dxa"/>
          </w:tcPr>
          <w:p>
            <w:pPr/>
            <w:r>
              <w:t xml:space="preserve">Una puerta que no se ejecutó no se reporta como aprobada</w:t>
            </w:r>
          </w:p>
        </w:tc>
      </w:tr>
      <w:tr>
        <w:tc>
          <w:tcPr>
            <w:tcW w:w="2327" w:type="dxa"/>
          </w:tcPr>
          <w:p>
            <w:pPr/>
            <w:r>
              <w:t xml:space="preserve">Costo</w:t>
            </w:r>
          </w:p>
        </w:tc>
        <w:tc>
          <w:tcPr>
            <w:tcW w:w="7032" w:type="dxa"/>
          </w:tcPr>
          <w:p>
            <w:pPr/>
            <w:r>
              <w:t xml:space="preserve">Presupuesto mensual de 20 USD con alertas, dentro del crédito de Azure for Students</w:t>
            </w:r>
          </w:p>
        </w:tc>
      </w:tr>
      <w:tr>
        <w:tc>
          <w:tcPr>
            <w:tcW w:w="2327" w:type="dxa"/>
          </w:tcPr>
          <w:p>
            <w:pPr/>
            <w:r>
              <w:t xml:space="preserve">Herramientas</w:t>
            </w:r>
          </w:p>
        </w:tc>
        <w:tc>
          <w:tcPr>
            <w:tcW w:w="7032" w:type="dxa"/>
          </w:tcPr>
          <w:p>
            <w:pPr/>
            <w:r>
              <w:t xml:space="preserve">Frontend y móvil solo con </w:t>
            </w:r>
            <w:r>
              <w:rPr>
                <w:rStyle w:val="CodeChar"/>
              </w:rPr>
              <w:t xml:space="preserve">pnpm</w:t>
            </w:r>
            <w:r>
              <w:t xml:space="preserve"> y lockfile versionado</w:t>
            </w:r>
          </w:p>
        </w:tc>
      </w:tr>
    </w:tbl>
    <w:p>
      <w:pPr>
        <w:pStyle w:val="Heading2"/>
      </w:pPr>
      <w:r>
        <w:t xml:space="preserve">2. Metodología</w:t>
      </w:r>
    </w:p>
    <w:p>
      <w:pPr/>
      <w:r>
        <w:t xml:space="preserve">El equipo trabaja con Scrum en ciclos de Linear de una semana (ciclos 1 a 4, del 14 de septiembre al 13 de octubre) que pasan a dos semanas desde el ciclo 6 (23 de octubre), para dar espacio a las pruebas SIT y UAT.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85"/>
        <w:gridCol w:w="2761"/>
        <w:gridCol w:w="4814"/>
      </w:tblGrid>
      <w:tr>
        <w:trPr>
          <w:tblHeader/>
        </w:trPr>
        <w:tc>
          <w:tcPr>
            <w:tcW w:w="1785" w:type="dxa"/>
            <w:shd w:val="clear" w:color="auto" w:fill="F2F2F2"/>
          </w:tcPr>
          <w:p>
            <w:pPr/>
            <w:r>
              <w:t xml:space="preserve">Rol Scrum</w:t>
            </w:r>
          </w:p>
        </w:tc>
        <w:tc>
          <w:tcPr>
            <w:tcW w:w="2761" w:type="dxa"/>
            <w:shd w:val="clear" w:color="auto" w:fill="F2F2F2"/>
          </w:tcPr>
          <w:p>
            <w:pPr/>
            <w:r>
              <w:t xml:space="preserve">Responsable</w:t>
            </w:r>
          </w:p>
        </w:tc>
        <w:tc>
          <w:tcPr>
            <w:tcW w:w="4814" w:type="dxa"/>
            <w:shd w:val="clear" w:color="auto" w:fill="F2F2F2"/>
          </w:tcPr>
          <w:p>
            <w:pPr/>
            <w:r>
              <w:t xml:space="preserve">Responsabilidad en el proceso DevOps</w:t>
            </w:r>
          </w:p>
        </w:tc>
      </w:tr>
      <w:tr>
        <w:tc>
          <w:tcPr>
            <w:tcW w:w="1785" w:type="dxa"/>
          </w:tcPr>
          <w:p>
            <w:pPr/>
            <w:r>
              <w:t xml:space="preserve">Product Owner</w:t>
            </w:r>
          </w:p>
        </w:tc>
        <w:tc>
          <w:tcPr>
            <w:tcW w:w="2761" w:type="dxa"/>
          </w:tcPr>
          <w:p>
            <w:pPr/>
            <w:r>
              <w:t xml:space="preserve">Ludwin García Gaytan</w:t>
            </w:r>
          </w:p>
        </w:tc>
        <w:tc>
          <w:tcPr>
            <w:tcW w:w="4814" w:type="dxa"/>
          </w:tcPr>
          <w:p>
            <w:pPr/>
            <w:r>
              <w:t xml:space="preserve">Prioriza el backlog en Linear y acepta cada issue terminado</w:t>
            </w:r>
          </w:p>
        </w:tc>
      </w:tr>
      <w:tr>
        <w:tc>
          <w:tcPr>
            <w:tcW w:w="1785" w:type="dxa"/>
          </w:tcPr>
          <w:p>
            <w:pPr/>
            <w:r>
              <w:t xml:space="preserve">Scrum Master</w:t>
            </w:r>
          </w:p>
        </w:tc>
        <w:tc>
          <w:tcPr>
            <w:tcW w:w="2761" w:type="dxa"/>
          </w:tcPr>
          <w:p>
            <w:pPr/>
            <w:r>
              <w:t xml:space="preserve">Octavio Duarte Villavicencio</w:t>
            </w:r>
          </w:p>
        </w:tc>
        <w:tc>
          <w:tcPr>
            <w:tcW w:w="4814" w:type="dxa"/>
          </w:tcPr>
          <w:p>
            <w:pPr/>
            <w:r>
              <w:t xml:space="preserve">Facilita los eventos, elimina bloqueos y cuida el flujo de trabajo</w:t>
            </w:r>
          </w:p>
        </w:tc>
      </w:tr>
      <w:tr>
        <w:tc>
          <w:tcPr>
            <w:tcW w:w="1785" w:type="dxa"/>
          </w:tcPr>
          <w:p>
            <w:pPr/>
            <w:r>
              <w:t xml:space="preserve">Developers</w:t>
            </w:r>
          </w:p>
        </w:tc>
        <w:tc>
          <w:tcPr>
            <w:tcW w:w="2761" w:type="dxa"/>
          </w:tcPr>
          <w:p>
            <w:pPr/>
            <w:r>
              <w:t xml:space="preserve">Braulio Hernández Mejía, Valeria Mercado Serrano</w:t>
            </w:r>
          </w:p>
        </w:tc>
        <w:tc>
          <w:tcPr>
            <w:tcW w:w="4814" w:type="dxa"/>
          </w:tcPr>
          <w:p>
            <w:pPr/>
            <w:r>
              <w:t xml:space="preserve">Implementan, prueban y revisan pull requests</w:t>
            </w:r>
          </w:p>
        </w:tc>
      </w:tr>
    </w:tbl>
    <w:p>
      <w:pPr/>
      <w:r>
        <w:rPr>
          <w:b/>
        </w:rPr>
        <w:t xml:space="preserve">Flujo de cada issue.</w:t>
      </w:r>
      <w:r>
        <w:t xml:space="preserve"> El repositorio define el procedimiento en </w:t>
      </w:r>
      <w:r>
        <w:rPr>
          <w:rStyle w:val="CodeChar"/>
        </w:rPr>
        <w:t xml:space="preserve">workflow/workflow.md</w:t>
      </w:r>
      <w:r>
        <w:t xml:space="preserve"> y las reglas en </w:t>
      </w:r>
      <w:r>
        <w:rPr>
          <w:rStyle w:val="CodeChar"/>
        </w:rPr>
        <w:t xml:space="preserve">AGENTS.md</w:t>
      </w:r>
      <w:r>
        <w:t xml:space="preserve">, que gobiernan a personas y a asistentes de IA por igual: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Definir:</w:t>
      </w:r>
      <w:r>
        <w:t xml:space="preserve"> el issue se redacta como brief verificable, con criterios de aceptación y Definition of Done (</w:t>
      </w:r>
      <w:r>
        <w:rPr>
          <w:rStyle w:val="CodeChar"/>
        </w:rPr>
        <w:t xml:space="preserve">pm-create-issue</w:t>
      </w:r>
      <w:r>
        <w:t xml:space="preserve"> / </w:t>
      </w:r>
      <w:r>
        <w:rPr>
          <w:rStyle w:val="CodeChar"/>
        </w:rPr>
        <w:t xml:space="preserve">pm-validate-issue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Construir:</w:t>
      </w:r>
      <w:r>
        <w:t xml:space="preserve"> se trabaja en una rama propia, con la prueba más estrecha posible durante el desarrollo (</w:t>
      </w:r>
      <w:r>
        <w:rPr>
          <w:rStyle w:val="CodeChar"/>
        </w:rPr>
        <w:t xml:space="preserve">wf-build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Revisar:</w:t>
      </w:r>
      <w:r>
        <w:t xml:space="preserve"> otra persona revisa el diff y se ejecutan las puertas afectadas (</w:t>
      </w:r>
      <w:r>
        <w:rPr>
          <w:rStyle w:val="CodeChar"/>
        </w:rPr>
        <w:t xml:space="preserve">wf-review</w:t>
      </w:r>
      <w:r>
        <w:t xml:space="preserve">); la revisión queda registrada en </w:t>
      </w:r>
      <w:r>
        <w:rPr>
          <w:rStyle w:val="CodeChar"/>
        </w:rPr>
        <w:t xml:space="preserve">workflow/state/review-history.jsonl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Entregar:</w:t>
      </w:r>
      <w:r>
        <w:t xml:space="preserve"> pull request a </w:t>
      </w:r>
      <w:r>
        <w:rPr>
          <w:rStyle w:val="CodeChar"/>
        </w:rPr>
        <w:t xml:space="preserve">main</w:t>
      </w:r>
      <w:r>
        <w:t xml:space="preserve"> con referencia al issue (</w:t>
      </w:r>
      <w:r>
        <w:rPr>
          <w:rStyle w:val="CodeChar"/>
        </w:rPr>
        <w:t xml:space="preserve">wf-ship</w:t>
      </w:r>
      <w:r>
        <w:t xml:space="preserve">); el issue pasa a Done solo después de la revisión (</w:t>
      </w:r>
      <w:r>
        <w:rPr>
          <w:rStyle w:val="CodeChar"/>
        </w:rPr>
        <w:t xml:space="preserve">done_requires_review: true</w:t>
      </w:r>
      <w:r>
        <w:t xml:space="preserve">).</w:t>
      </w:r>
    </w:p>
    <w:p>
      <w:pPr/>
      <w:r>
        <w:rPr>
          <w:b/>
        </w:rPr>
        <w:t xml:space="preserve">Fases.</w:t>
      </w:r>
      <w:r>
        <w:t xml:space="preserve"> El trabajo se agrupa en seis fases de resultado (</w:t>
      </w:r>
      <w:r>
        <w:rPr>
          <w:rStyle w:val="CodeChar"/>
        </w:rPr>
        <w:t xml:space="preserve">workflow/plan/roadmap.md</w:t>
      </w:r>
      <w:r>
        <w:t xml:space="preserve">): base segura, plataforma reproducible y CI, despliegue seguro, entorno observable, beta funcional y cierre académico. Los ciclos son la planeación de corto plazo; las fases, el resultado al que contribuye cada issue.</w:t>
      </w:r>
    </w:p>
    <w:p>
      <w:pPr>
        <w:pStyle w:val="Heading2"/>
      </w:pPr>
      <w:r>
        <w:t xml:space="preserve">3. Herramientas</w:t>
      </w:r>
    </w:p>
    <w:p>
      <w:pPr/>
      <w:r>
        <w:t xml:space="preserve">Jenkins es el motor de CI/CD del proyecto; GitHub Actions sigue corriendo en paralelo hasta que Jenkins publique sus checks en los pull requests (CAL-89) y se retire en CAL-90.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78"/>
        <w:gridCol w:w="2406"/>
        <w:gridCol w:w="4376"/>
      </w:tblGrid>
      <w:tr>
        <w:trPr>
          <w:tblHeader/>
        </w:trPr>
        <w:tc>
          <w:tcPr>
            <w:tcW w:w="2578" w:type="dxa"/>
            <w:shd w:val="clear" w:color="auto" w:fill="F2F2F2"/>
          </w:tcPr>
          <w:p>
            <w:pPr/>
            <w:r>
              <w:t xml:space="preserve">Etapa</w:t>
            </w:r>
          </w:p>
        </w:tc>
        <w:tc>
          <w:tcPr>
            <w:tcW w:w="2406" w:type="dxa"/>
            <w:shd w:val="clear" w:color="auto" w:fill="F2F2F2"/>
          </w:tcPr>
          <w:p>
            <w:pPr/>
            <w:r>
              <w:t xml:space="preserve">Herramienta</w:t>
            </w:r>
          </w:p>
        </w:tc>
        <w:tc>
          <w:tcPr>
            <w:tcW w:w="4376" w:type="dxa"/>
            <w:shd w:val="clear" w:color="auto" w:fill="F2F2F2"/>
          </w:tcPr>
          <w:p>
            <w:pPr/>
            <w:r>
              <w:t xml:space="preserve">Por qué</w:t>
            </w:r>
          </w:p>
        </w:tc>
      </w:tr>
      <w:tr>
        <w:tc>
          <w:tcPr>
            <w:tcW w:w="2578" w:type="dxa"/>
          </w:tcPr>
          <w:p>
            <w:pPr/>
            <w:r>
              <w:t xml:space="preserve">Planeación</w:t>
            </w:r>
          </w:p>
        </w:tc>
        <w:tc>
          <w:tcPr>
            <w:tcW w:w="2406" w:type="dxa"/>
          </w:tcPr>
          <w:p>
            <w:pPr/>
            <w:r>
              <w:t xml:space="preserve">Linear (ciclos, issues CAL-n)</w:t>
            </w:r>
          </w:p>
        </w:tc>
        <w:tc>
          <w:tcPr>
            <w:tcW w:w="4376" w:type="dxa"/>
          </w:tcPr>
          <w:p>
            <w:pPr/>
            <w:r>
              <w:t xml:space="preserve">Backlog, ciclos y trazabilidad issue → rama → PR</w:t>
            </w:r>
          </w:p>
        </w:tc>
      </w:tr>
      <w:tr>
        <w:tc>
          <w:tcPr>
            <w:tcW w:w="2578" w:type="dxa"/>
          </w:tcPr>
          <w:p>
            <w:pPr/>
            <w:r>
              <w:t xml:space="preserve">Código</w:t>
            </w:r>
          </w:p>
        </w:tc>
        <w:tc>
          <w:tcPr>
            <w:tcW w:w="2406" w:type="dxa"/>
          </w:tcPr>
          <w:p>
            <w:pPr/>
            <w:r>
              <w:t xml:space="preserve">Git + GitHub</w:t>
            </w:r>
          </w:p>
        </w:tc>
        <w:tc>
          <w:tcPr>
            <w:tcW w:w="4376" w:type="dxa"/>
          </w:tcPr>
          <w:p>
            <w:pPr/>
            <w:r>
              <w:t xml:space="preserve">Repositorio único (monorepo) con backend, frontend, móvil e infraestructura</w:t>
            </w:r>
          </w:p>
        </w:tc>
      </w:tr>
      <w:tr>
        <w:tc>
          <w:tcPr>
            <w:tcW w:w="2578" w:type="dxa"/>
          </w:tcPr>
          <w:p>
            <w:pPr/>
            <w:r>
              <w:t xml:space="preserve">Backend</w:t>
            </w:r>
          </w:p>
        </w:tc>
        <w:tc>
          <w:tcPr>
            <w:tcW w:w="2406" w:type="dxa"/>
          </w:tcPr>
          <w:p>
            <w:pPr/>
            <w:r>
              <w:t xml:space="preserve">Java 21, Spring Boot 3.4, Maven Wrapper, Flyway</w:t>
            </w:r>
          </w:p>
        </w:tc>
        <w:tc>
          <w:tcPr>
            <w:tcW w:w="4376" w:type="dxa"/>
          </w:tcPr>
          <w:p>
            <w:pPr/>
            <w:r>
              <w:t xml:space="preserve">Build reproducible sin instalar Maven; migraciones versionadas</w:t>
            </w:r>
          </w:p>
        </w:tc>
      </w:tr>
      <w:tr>
        <w:tc>
          <w:tcPr>
            <w:tcW w:w="2578" w:type="dxa"/>
          </w:tcPr>
          <w:p>
            <w:pPr/>
            <w:r>
              <w:t xml:space="preserve">Frontend y móvil</w:t>
            </w:r>
          </w:p>
        </w:tc>
        <w:tc>
          <w:tcPr>
            <w:tcW w:w="2406" w:type="dxa"/>
          </w:tcPr>
          <w:p>
            <w:pPr/>
            <w:r>
              <w:t xml:space="preserve">Next.js 15, React 19, Expo, pnpm</w:t>
            </w:r>
          </w:p>
        </w:tc>
        <w:tc>
          <w:tcPr>
            <w:tcW w:w="4376" w:type="dxa"/>
          </w:tcPr>
          <w:p>
            <w:pPr/>
            <w:r>
              <w:t xml:space="preserve">Un solo gestor de paquetes con lockfile congelado en CI</w:t>
            </w:r>
          </w:p>
        </w:tc>
      </w:tr>
      <w:tr>
        <w:tc>
          <w:tcPr>
            <w:tcW w:w="2578" w:type="dxa"/>
          </w:tcPr>
          <w:p>
            <w:pPr/>
            <w:r>
              <w:t xml:space="preserve">Pruebas</w:t>
            </w:r>
          </w:p>
        </w:tc>
        <w:tc>
          <w:tcPr>
            <w:tcW w:w="2406" w:type="dxa"/>
          </w:tcPr>
          <w:p>
            <w:pPr/>
            <w:r>
              <w:t xml:space="preserve">JUnit 5, Testcontainers (PostgreSQL 16), Vitest</w:t>
            </w:r>
          </w:p>
        </w:tc>
        <w:tc>
          <w:tcPr>
            <w:tcW w:w="4376" w:type="dxa"/>
          </w:tcPr>
          <w:p>
            <w:pPr/>
            <w:r>
              <w:t xml:space="preserve">PostgreSQL real para demostrar RLS</w:t>
            </w:r>
          </w:p>
        </w:tc>
      </w:tr>
      <w:tr>
        <w:tc>
          <w:tcPr>
            <w:tcW w:w="2578" w:type="dxa"/>
          </w:tcPr>
          <w:p>
            <w:pPr/>
            <w:r>
              <w:t xml:space="preserve">Seguridad</w:t>
            </w:r>
          </w:p>
        </w:tc>
        <w:tc>
          <w:tcPr>
            <w:tcW w:w="2406" w:type="dxa"/>
          </w:tcPr>
          <w:p>
            <w:pPr/>
            <w:r>
              <w:t xml:space="preserve">SpotBugs + FindSecBugs, </w:t>
            </w:r>
            <w:r>
              <w:rPr>
                <w:rStyle w:val="CodeChar"/>
              </w:rPr>
              <w:t xml:space="preserve">pnpm audit</w:t>
            </w:r>
            <w:r>
              <w:t xml:space="preserve">, escaneo de secretos propio</w:t>
            </w:r>
          </w:p>
        </w:tc>
        <w:tc>
          <w:tcPr>
            <w:tcW w:w="4376" w:type="dxa"/>
          </w:tcPr>
          <w:p>
            <w:pPr/>
            <w:r>
              <w:t xml:space="preserve">SAST de backend, dependencias y secretos en cada corrida</w:t>
            </w:r>
          </w:p>
        </w:tc>
      </w:tr>
      <w:tr>
        <w:tc>
          <w:tcPr>
            <w:tcW w:w="2578" w:type="dxa"/>
          </w:tcPr>
          <w:p>
            <w:pPr/>
            <w:r>
              <w:t xml:space="preserve">Integración continua</w:t>
            </w:r>
          </w:p>
        </w:tc>
        <w:tc>
          <w:tcPr>
            <w:tcW w:w="2406" w:type="dxa"/>
          </w:tcPr>
          <w:p>
            <w:pPr/>
            <w:r>
              <w:t xml:space="preserve">Jenkins (Multibranch Pipeline)</w:t>
            </w:r>
          </w:p>
        </w:tc>
        <w:tc>
          <w:tcPr>
            <w:tcW w:w="4376" w:type="dxa"/>
          </w:tcPr>
          <w:p>
            <w:pPr/>
            <w:r>
              <w:t xml:space="preserve">Servidor propio, sin límite de minutos, configurado como código (CasC)</w:t>
            </w:r>
          </w:p>
        </w:tc>
      </w:tr>
      <w:tr>
        <w:tc>
          <w:tcPr>
            <w:tcW w:w="2578" w:type="dxa"/>
          </w:tcPr>
          <w:p>
            <w:pPr/>
            <w:r>
              <w:t xml:space="preserve">Contenedores</w:t>
            </w:r>
          </w:p>
        </w:tc>
        <w:tc>
          <w:tcPr>
            <w:tcW w:w="2406" w:type="dxa"/>
          </w:tcPr>
          <w:p>
            <w:pPr/>
            <w:r>
              <w:t xml:space="preserve">Docker</w:t>
            </w:r>
          </w:p>
        </w:tc>
        <w:tc>
          <w:tcPr>
            <w:tcW w:w="4376" w:type="dxa"/>
          </w:tcPr>
          <w:p>
            <w:pPr/>
            <w:r>
              <w:t xml:space="preserve">PostgreSQL efímero en CI e imágenes de producción verificadas</w:t>
            </w:r>
          </w:p>
        </w:tc>
      </w:tr>
      <w:tr>
        <w:tc>
          <w:tcPr>
            <w:tcW w:w="2578" w:type="dxa"/>
          </w:tcPr>
          <w:p>
            <w:pPr/>
            <w:r>
              <w:t xml:space="preserve">Infraestructura</w:t>
            </w:r>
          </w:p>
        </w:tc>
        <w:tc>
          <w:tcPr>
            <w:tcW w:w="2406" w:type="dxa"/>
          </w:tcPr>
          <w:p>
            <w:pPr/>
            <w:r>
              <w:t xml:space="preserve">Terraform (azurerm)</w:t>
            </w:r>
          </w:p>
        </w:tc>
        <w:tc>
          <w:tcPr>
            <w:tcW w:w="4376" w:type="dxa"/>
          </w:tcPr>
          <w:p>
            <w:pPr/>
            <w:r>
              <w:t xml:space="preserve">Red, VM, App Service, PostgreSQL y Key Vault como código</w:t>
            </w:r>
          </w:p>
        </w:tc>
      </w:tr>
      <w:tr>
        <w:tc>
          <w:tcPr>
            <w:tcW w:w="2578" w:type="dxa"/>
          </w:tcPr>
          <w:p>
            <w:pPr/>
            <w:r>
              <w:t xml:space="preserve">Nube</w:t>
            </w:r>
          </w:p>
        </w:tc>
        <w:tc>
          <w:tcPr>
            <w:tcW w:w="2406" w:type="dxa"/>
          </w:tcPr>
          <w:p>
            <w:pPr/>
            <w:r>
              <w:t xml:space="preserve">Microsoft Azure (Azure for Students)</w:t>
            </w:r>
          </w:p>
        </w:tc>
        <w:tc>
          <w:tcPr>
            <w:tcW w:w="4376" w:type="dxa"/>
          </w:tcPr>
          <w:p>
            <w:pPr/>
            <w:r>
              <w:t xml:space="preserve">App Service, PostgreSQL Flexible Server, Key Vault, Application Insights</w:t>
            </w:r>
          </w:p>
        </w:tc>
      </w:tr>
      <w:tr>
        <w:tc>
          <w:tcPr>
            <w:tcW w:w="2578" w:type="dxa"/>
          </w:tcPr>
          <w:p>
            <w:pPr/>
            <w:r>
              <w:t xml:space="preserve">Acceso administrativo</w:t>
            </w:r>
          </w:p>
        </w:tc>
        <w:tc>
          <w:tcPr>
            <w:tcW w:w="2406" w:type="dxa"/>
          </w:tcPr>
          <w:p>
            <w:pPr/>
            <w:r>
              <w:t xml:space="preserve">Tailscale</w:t>
            </w:r>
          </w:p>
        </w:tc>
        <w:tc>
          <w:tcPr>
            <w:tcW w:w="4376" w:type="dxa"/>
          </w:tcPr>
          <w:p>
            <w:pPr/>
            <w:r>
              <w:t xml:space="preserve">Panel de Jenkins sin ningún puerto de entrada público</w:t>
            </w:r>
          </w:p>
        </w:tc>
      </w:tr>
    </w:tbl>
    <w:p>
      <w:pPr/>
      <w:r>
        <w:rPr>
          <w:b/>
        </w:rPr>
        <w:t xml:space="preserve">Por qué Jenkins.</w:t>
      </w:r>
      <w:r>
        <w:t xml:space="preserve"> Corre en una VM privada de Azure (</w:t>
      </w:r>
      <w:r>
        <w:rPr>
          <w:rStyle w:val="CodeChar"/>
        </w:rPr>
        <w:t xml:space="preserve">Standard_D2as_v4</w:t>
      </w:r>
      <w:r>
        <w:t xml:space="preserve">, East US) aprovisionada con Terraform (CAL-48, CAL-86). El grupo de seguridad niega todo tráfico entrante; el panel solo se alcanza por Tailscale. Como GitHub no puede llamar a Jenkins, los builds se disparan por SCM polling cada 2 minutos. Jenkins lee sus secretos de Key Vault con una identidad administrada, sin credenciales de larga duración. Decisión registrada en </w:t>
      </w:r>
      <w:r>
        <w:rPr>
          <w:rStyle w:val="CodeChar"/>
        </w:rPr>
        <w:t xml:space="preserve">workflow/decisions/2026-10-07-acceso-privado-jenkins-azure.md</w:t>
      </w:r>
      <w:r>
        <w:t xml:space="preserve">.</w:t>
      </w:r>
    </w:p>
    <w:p>
      <w:pPr/>
      <w:r>
        <w:rPr>
          <w:b/>
        </w:rPr>
        <w:t xml:space="preserve">Lo que se pierde al dejar GitHub Actions.</w:t>
      </w:r>
    </w:p>
    <w:p>
      <w:pPr>
        <w:pStyle w:val="ListParagraph"/>
        <w:numPr>
          <w:ilvl w:val="0"/>
          <w:numId w:val="4"/>
        </w:numPr>
      </w:pPr>
      <w:r>
        <w:t xml:space="preserve">Dependabot solo existe dentro de GitHub; se sustituirá por Renovate (pendiente en CAL-90).</w:t>
      </w:r>
    </w:p>
    <w:p>
      <w:pPr>
        <w:pStyle w:val="ListParagraph"/>
        <w:numPr>
          <w:ilvl w:val="0"/>
          <w:numId w:val="4"/>
        </w:numPr>
      </w:pPr>
      <w:r>
        <w:t xml:space="preserve">CodeQL en repositorios privados exige GitHub Advanced Security. Se sustituye con SpotBugs + FindSecBugs (ya activo) y con Semgrep y OWASP Dependency-Check (pendientes), que no replican el análisis de flujo de datos de CodeQL.</w:t>
      </w:r>
    </w:p>
    <w:p>
      <w:pPr>
        <w:pStyle w:val="ListParagraph"/>
        <w:numPr>
          <w:ilvl w:val="0"/>
          <w:numId w:val="4"/>
        </w:numPr>
      </w:pPr>
      <w:r>
        <w:t xml:space="preserve">El polling añade hasta 2 minutos de espera frente a un webhook.</w:t>
      </w:r>
    </w:p>
    <w:p>
      <w:pPr>
        <w:pStyle w:val="ListParagraph"/>
        <w:numPr>
          <w:ilvl w:val="0"/>
          <w:numId w:val="4"/>
        </w:numPr>
      </w:pPr>
      <w:r>
        <w:t xml:space="preserve">La VM cuesta dinero mientras está encendida y el equipo la mantiene; Actions no tenía ese costo operativo.</w:t>
      </w:r>
    </w:p>
    <w:p>
      <w:pPr>
        <w:pStyle w:val="Heading2"/>
      </w:pPr>
      <w:r>
        <w:t xml:space="preserve">4. Control de versiones</w:t>
      </w:r>
    </w:p>
    <w:p>
      <w:pPr/>
      <w:r>
        <w:t xml:space="preserve">Todo cambio entra a </w:t>
      </w:r>
      <w:r>
        <w:rPr>
          <w:rStyle w:val="CodeChar"/>
        </w:rPr>
        <w:t xml:space="preserve">main</w:t>
      </w:r>
      <w:r>
        <w:t xml:space="preserve"> por pull request desde una rama corta; al 26 de octubre el repositorio suma 330 commits y 77 pull requests fusionados desde el 29 de julio de 2026.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66"/>
        <w:gridCol w:w="6593"/>
      </w:tblGrid>
      <w:tr>
        <w:trPr>
          <w:tblHeader/>
        </w:trPr>
        <w:tc>
          <w:tcPr>
            <w:tcW w:w="2766" w:type="dxa"/>
            <w:shd w:val="clear" w:color="auto" w:fill="F2F2F2"/>
          </w:tcPr>
          <w:p>
            <w:pPr/>
            <w:r>
              <w:t xml:space="preserve">Elemento</w:t>
            </w:r>
          </w:p>
        </w:tc>
        <w:tc>
          <w:tcPr>
            <w:tcW w:w="6593" w:type="dxa"/>
            <w:shd w:val="clear" w:color="auto" w:fill="F2F2F2"/>
          </w:tcPr>
          <w:p>
            <w:pPr/>
            <w:r>
              <w:t xml:space="preserve">Convención</w:t>
            </w:r>
          </w:p>
        </w:tc>
      </w:tr>
      <w:tr>
        <w:tc>
          <w:tcPr>
            <w:tcW w:w="2766" w:type="dxa"/>
          </w:tcPr>
          <w:p>
            <w:pPr/>
            <w:r>
              <w:t xml:space="preserve">Rama base</w:t>
            </w:r>
          </w:p>
        </w:tc>
        <w:tc>
          <w:tcPr>
            <w:tcW w:w="6593" w:type="dxa"/>
          </w:tcPr>
          <w:p>
            <w:pPr/>
            <w:r>
              <w:rPr>
                <w:rStyle w:val="CodeChar"/>
              </w:rPr>
              <w:t xml:space="preserve">main</w:t>
            </w:r>
            <w:r>
              <w:t xml:space="preserve">, siempre compilable</w:t>
            </w:r>
          </w:p>
        </w:tc>
      </w:tr>
      <w:tr>
        <w:tc>
          <w:tcPr>
            <w:tcW w:w="2766" w:type="dxa"/>
          </w:tcPr>
          <w:p>
            <w:pPr/>
            <w:r>
              <w:t xml:space="preserve">Ramas de trabajo</w:t>
            </w:r>
          </w:p>
        </w:tc>
        <w:tc>
          <w:tcPr>
            <w:tcW w:w="6593" w:type="dxa"/>
          </w:tcPr>
          <w:p>
            <w:pPr/>
            <w:r>
              <w:rPr>
                <w:rStyle w:val="CodeChar"/>
              </w:rPr>
              <w:t xml:space="preserve">feat/*</w:t>
            </w:r>
            <w:r>
              <w:t xml:space="preserve"> funcionalidad · </w:t>
            </w:r>
            <w:r>
              <w:rPr>
                <w:rStyle w:val="CodeChar"/>
              </w:rPr>
              <w:t xml:space="preserve">fix/*</w:t>
            </w:r>
            <w:r>
              <w:t xml:space="preserve"> corrección · </w:t>
            </w:r>
            <w:r>
              <w:rPr>
                <w:rStyle w:val="CodeChar"/>
              </w:rPr>
              <w:t xml:space="preserve">docs/*</w:t>
            </w:r>
            <w:r>
              <w:t xml:space="preserve"> documentación · </w:t>
            </w:r>
            <w:r>
              <w:rPr>
                <w:rStyle w:val="CodeChar"/>
              </w:rPr>
              <w:t xml:space="preserve">chore/*</w:t>
            </w:r>
            <w:r>
              <w:t xml:space="preserve"> mantenimiento · </w:t>
            </w:r>
            <w:r>
              <w:rPr>
                <w:rStyle w:val="CodeChar"/>
              </w:rPr>
              <w:t xml:space="preserve">test/*</w:t>
            </w:r>
            <w:r>
              <w:t xml:space="preserve"> pruebas; con la clave del issue, p. ej. </w:t>
            </w:r>
            <w:r>
              <w:rPr>
                <w:rStyle w:val="CodeChar"/>
              </w:rPr>
              <w:t xml:space="preserve">test/cal-125-ut-pedidos-mesero</w:t>
            </w:r>
          </w:p>
        </w:tc>
      </w:tr>
      <w:tr>
        <w:tc>
          <w:tcPr>
            <w:tcW w:w="2766" w:type="dxa"/>
          </w:tcPr>
          <w:p>
            <w:pPr/>
            <w:r>
              <w:t xml:space="preserve">Commits</w:t>
            </w:r>
          </w:p>
        </w:tc>
        <w:tc>
          <w:tcPr>
            <w:tcW w:w="6593" w:type="dxa"/>
          </w:tcPr>
          <w:p>
            <w:pPr/>
            <w:r>
              <w:t xml:space="preserve">Convencionales: </w:t>
            </w:r>
            <w:r>
              <w:rPr>
                <w:rStyle w:val="CodeChar"/>
              </w:rPr>
              <w:t xml:space="preserve">tipo(ámbito): descripción</w:t>
            </w:r>
            <w:r>
              <w:t xml:space="preserve"> en español, con la clave del issue, p. ej. </w:t>
            </w:r>
            <w:r>
              <w:rPr>
                <w:rStyle w:val="CodeChar"/>
              </w:rPr>
              <w:t xml:space="preserve">fix(platform): enforce table plan limits (CAL-121)</w:t>
            </w:r>
          </w:p>
        </w:tc>
      </w:tr>
      <w:tr>
        <w:tc>
          <w:tcPr>
            <w:tcW w:w="2766" w:type="dxa"/>
          </w:tcPr>
          <w:p>
            <w:pPr/>
            <w:r>
              <w:t xml:space="preserve">Integración</w:t>
            </w:r>
          </w:p>
        </w:tc>
        <w:tc>
          <w:tcPr>
            <w:tcW w:w="6593" w:type="dxa"/>
          </w:tcPr>
          <w:p>
            <w:pPr/>
            <w:r>
              <w:t xml:space="preserve">Pull request con revisión de otra persona y CI en verde</w:t>
            </w:r>
          </w:p>
        </w:tc>
      </w:tr>
      <w:tr>
        <w:tc>
          <w:tcPr>
            <w:tcW w:w="2766" w:type="dxa"/>
          </w:tcPr>
          <w:p>
            <w:pPr/>
            <w:r>
              <w:t xml:space="preserve">Migraciones</w:t>
            </w:r>
          </w:p>
        </w:tc>
        <w:tc>
          <w:tcPr>
            <w:tcW w:w="6593" w:type="dxa"/>
          </w:tcPr>
          <w:p>
            <w:pPr/>
            <w:r>
              <w:t xml:space="preserve">Solo se agregan (</w:t>
            </w:r>
            <w:r>
              <w:rPr>
                <w:rStyle w:val="CodeChar"/>
              </w:rPr>
              <w:t xml:space="preserve">V{n}__descripcion.sql</w:t>
            </w:r>
            <w:r>
              <w:t xml:space="preserve">); una migración aplicada nunca se edita</w:t>
            </w:r>
          </w:p>
        </w:tc>
      </w:tr>
      <w:tr>
        <w:tc>
          <w:tcPr>
            <w:tcW w:w="2766" w:type="dxa"/>
          </w:tcPr>
          <w:p>
            <w:pPr/>
            <w:r>
              <w:t xml:space="preserve">Secretos</w:t>
            </w:r>
          </w:p>
        </w:tc>
        <w:tc>
          <w:tcPr>
            <w:tcW w:w="6593" w:type="dxa"/>
          </w:tcPr>
          <w:p>
            <w:pPr/>
            <w:r>
              <w:t xml:space="preserve">Ninguno en el repositorio; el escaneo de secretos falla la corrida si encuentra uno</w:t>
            </w:r>
          </w:p>
        </w:tc>
      </w:tr>
      <w:tr>
        <w:tc>
          <w:tcPr>
            <w:tcW w:w="2766" w:type="dxa"/>
          </w:tcPr>
          <w:p>
            <w:pPr/>
            <w:r>
              <w:t xml:space="preserve">Dependencias</w:t>
            </w:r>
          </w:p>
        </w:tc>
        <w:tc>
          <w:tcPr>
            <w:tcW w:w="6593" w:type="dxa"/>
          </w:tcPr>
          <w:p>
            <w:pPr/>
            <w:r>
              <w:t xml:space="preserve">Lockfiles versionados (</w:t>
            </w:r>
            <w:r>
              <w:rPr>
                <w:rStyle w:val="CodeChar"/>
              </w:rPr>
              <w:t xml:space="preserve">pnpm-lock.yaml</w:t>
            </w:r>
            <w:r>
              <w:t xml:space="preserve">) e instalación con </w:t>
            </w:r>
            <w:r>
              <w:rPr>
                <w:rStyle w:val="CodeChar"/>
              </w:rPr>
              <w:t xml:space="preserve">--frozen-lockfile</w:t>
            </w:r>
          </w:p>
        </w:tc>
      </w:tr>
    </w:tbl>
    <w:p>
      <w:pPr/>
      <w:r>
        <w:t xml:space="preserve">En los últimos 200 commits predominan </w:t>
      </w:r>
      <w:r>
        <w:rPr>
          <w:rStyle w:val="CodeChar"/>
        </w:rPr>
        <w:t xml:space="preserve">feat</w:t>
      </w:r>
      <w:r>
        <w:t xml:space="preserve"> (40), </w:t>
      </w:r>
      <w:r>
        <w:rPr>
          <w:rStyle w:val="CodeChar"/>
        </w:rPr>
        <w:t xml:space="preserve">docs</w:t>
      </w:r>
      <w:r>
        <w:t xml:space="preserve"> (37), </w:t>
      </w:r>
      <w:r>
        <w:rPr>
          <w:rStyle w:val="CodeChar"/>
        </w:rPr>
        <w:t xml:space="preserve">fix</w:t>
      </w:r>
      <w:r>
        <w:t xml:space="preserve"> (26) y </w:t>
      </w:r>
      <w:r>
        <w:rPr>
          <w:rStyle w:val="CodeChar"/>
        </w:rPr>
        <w:t xml:space="preserve">test</w:t>
      </w:r>
      <w:r>
        <w:t xml:space="preserve"> (20).</w:t>
      </w:r>
    </w:p>
    <w:p>
      <w:pPr/>
      <w:r>
        <w:rPr>
          <w:b/>
        </w:rPr>
        <w:t xml:space="preserve">Pendiente:</w:t>
      </w:r>
      <w:r>
        <w:t xml:space="preserve"> la regla «Protección de Ramas» existe en GitHub desde el 15 de agosto, pero su aplicación está desactivada. Hoy la revisión y el CI verde son una práctica del equipo, no un bloqueo técnico; se activará exigiendo el check de Jenkins cuando cierre CAL-89.</w:t>
      </w:r>
    </w:p>
    <w:p>
      <w:pPr>
        <w:pStyle w:val="Heading2"/>
      </w:pPr>
      <w:r>
        <w:t xml:space="preserve">5. Plan de pruebas</w:t>
      </w:r>
    </w:p>
    <w:p>
      <w:pPr/>
      <w:r>
        <w:t xml:space="preserve">Cada corrida del pipeline de Jenkins ejecuta seis etapas en orden y se detiene en la primera que falla; ninguna puerta se reporta como aprobada si no se ejecutó.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Prepare PostgreSQL:</w:t>
      </w:r>
      <w:r>
        <w:t xml:space="preserve"> levanta PostgreSQL 16 en Docker y aplica </w:t>
      </w:r>
      <w:r>
        <w:rPr>
          <w:rStyle w:val="CodeChar"/>
        </w:rPr>
        <w:t xml:space="preserve">scripts/setup-db.sql</w:t>
      </w:r>
      <w:r>
        <w:t xml:space="preserve"> (roles y privilegios mínimos).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Security Scan:</w:t>
      </w:r>
      <w:r>
        <w:t xml:space="preserve"> </w:t>
      </w:r>
      <w:r>
        <w:rPr>
          <w:rStyle w:val="CodeChar"/>
        </w:rPr>
        <w:t xml:space="preserve">scripts/security-scan.sh</w:t>
      </w:r>
      <w:r>
        <w:t xml:space="preserve"> — secretos en archivos rastreados, </w:t>
      </w:r>
      <w:r>
        <w:rPr>
          <w:rStyle w:val="CodeChar"/>
        </w:rPr>
        <w:t xml:space="preserve">pnpm audit --prod</w:t>
      </w:r>
      <w:r>
        <w:t xml:space="preserve"> (falla en severidad alta) y SpotBugs + FindSecBugs.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Backend Quality Gates:</w:t>
      </w:r>
      <w:r>
        <w:t xml:space="preserve"> </w:t>
      </w:r>
      <w:r>
        <w:rPr>
          <w:rStyle w:val="CodeChar"/>
        </w:rPr>
        <w:t xml:space="preserve">./mvnw -B verify</w:t>
      </w:r>
      <w:r>
        <w:t xml:space="preserve"> con Testcontainers contra PostgreSQL real.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Frontend Quality Gates:</w:t>
      </w:r>
      <w:r>
        <w:t xml:space="preserve"> </w:t>
      </w:r>
      <w:r>
        <w:rPr>
          <w:rStyle w:val="CodeChar"/>
        </w:rPr>
        <w:t xml:space="preserve">pnpm lint</w:t>
      </w:r>
      <w:r>
        <w:t xml:space="preserve">, </w:t>
      </w:r>
      <w:r>
        <w:rPr>
          <w:rStyle w:val="CodeChar"/>
        </w:rPr>
        <w:t xml:space="preserve">pnpm exec tsc --noEmit</w:t>
      </w:r>
      <w:r>
        <w:t xml:space="preserve">, </w:t>
      </w:r>
      <w:r>
        <w:rPr>
          <w:rStyle w:val="CodeChar"/>
        </w:rPr>
        <w:t xml:space="preserve">pnpm test</w:t>
      </w:r>
      <w:r>
        <w:t xml:space="preserve"> y </w:t>
      </w:r>
      <w:r>
        <w:rPr>
          <w:rStyle w:val="CodeChar"/>
        </w:rPr>
        <w:t xml:space="preserve">pnpm build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Mobile Quality Gates:</w:t>
      </w:r>
      <w:r>
        <w:t xml:space="preserve"> </w:t>
      </w:r>
      <w:r>
        <w:rPr>
          <w:rStyle w:val="CodeChar"/>
        </w:rPr>
        <w:t xml:space="preserve">pnpm exec tsc --noEmit</w:t>
      </w:r>
      <w:r>
        <w:t xml:space="preserve"> y </w:t>
      </w:r>
      <w:r>
        <w:rPr>
          <w:rStyle w:val="CodeChar"/>
        </w:rPr>
        <w:t xml:space="preserve">pnpm test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Production Images:</w:t>
      </w:r>
      <w:r>
        <w:t xml:space="preserve"> </w:t>
      </w:r>
      <w:r>
        <w:rPr>
          <w:rStyle w:val="CodeChar"/>
        </w:rPr>
        <w:t xml:space="preserve">scripts/verify-images.sh</w:t>
      </w:r>
      <w:r>
        <w:t xml:space="preserve"> construye las imágenes y comprueba usuario no root, perfil productivo y salida </w:t>
      </w:r>
      <w:r>
        <w:rPr>
          <w:rStyle w:val="CodeChar"/>
        </w:rPr>
        <w:t xml:space="preserve">standalone</w:t>
      </w:r>
      <w:r>
        <w:t xml:space="preserve">.</w:t>
      </w:r>
    </w:p>
    <w:p>
      <w:pPr/>
      <w:r>
        <w:t xml:space="preserve">Límite de 30 minutos por corrida; al final siempre se elimina el contenedor de PostgreSQL.</w:t>
      </w:r>
    </w:p>
    <w:p>
      <w:pPr/>
      <w:r>
        <w:rPr>
          <w:b/>
        </w:rPr>
        <w:t xml:space="preserve">Niveles de prueba.</w:t>
      </w:r>
      <w:r>
        <w:t xml:space="preserve"> La evidencia de cada nivel sigue </w:t>
      </w:r>
      <w:r>
        <w:rPr>
          <w:rStyle w:val="CodeChar"/>
        </w:rPr>
        <w:t xml:space="preserve">docs/pruebas/README.md</w:t>
      </w:r>
      <w:r>
        <w:t xml:space="preserve">: carpeta por issue, capturas y respuestas HTTP literales, y revisión por alguien distinto de quien ejecutó.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98"/>
        <w:gridCol w:w="3079"/>
        <w:gridCol w:w="2590"/>
        <w:gridCol w:w="2293"/>
      </w:tblGrid>
      <w:tr>
        <w:trPr>
          <w:tblHeader/>
        </w:trPr>
        <w:tc>
          <w:tcPr>
            <w:tcW w:w="1398" w:type="dxa"/>
            <w:shd w:val="clear" w:color="auto" w:fill="F2F2F2"/>
          </w:tcPr>
          <w:p>
            <w:pPr/>
            <w:r>
              <w:t xml:space="preserve">Nivel</w:t>
            </w:r>
          </w:p>
        </w:tc>
        <w:tc>
          <w:tcPr>
            <w:tcW w:w="3079" w:type="dxa"/>
            <w:shd w:val="clear" w:color="auto" w:fill="F2F2F2"/>
          </w:tcPr>
          <w:p>
            <w:pPr/>
            <w:r>
              <w:t xml:space="preserve">Qué prueba</w:t>
            </w:r>
          </w:p>
        </w:tc>
        <w:tc>
          <w:tcPr>
            <w:tcW w:w="2590" w:type="dxa"/>
            <w:shd w:val="clear" w:color="auto" w:fill="F2F2F2"/>
          </w:tcPr>
          <w:p>
            <w:pPr/>
            <w:r>
              <w:t xml:space="preserve">Dónde corre</w:t>
            </w:r>
          </w:p>
        </w:tc>
        <w:tc>
          <w:tcPr>
            <w:tcW w:w="2293" w:type="dxa"/>
            <w:shd w:val="clear" w:color="auto" w:fill="F2F2F2"/>
          </w:tcPr>
          <w:p>
            <w:pPr/>
            <w:r>
              <w:t xml:space="preserve">Issues</w:t>
            </w:r>
          </w:p>
        </w:tc>
      </w:tr>
      <w:tr>
        <w:tc>
          <w:tcPr>
            <w:tcW w:w="1398" w:type="dxa"/>
          </w:tcPr>
          <w:p>
            <w:pPr/>
            <w:r>
              <w:t xml:space="preserve">UT · unitarias</w:t>
            </w:r>
          </w:p>
        </w:tc>
        <w:tc>
          <w:tcPr>
            <w:tcW w:w="3079" w:type="dxa"/>
          </w:tcPr>
          <w:p>
            <w:pPr/>
            <w:r>
              <w:t xml:space="preserve">Reglas de cada módulo de forma aislada</w:t>
            </w:r>
          </w:p>
        </w:tc>
        <w:tc>
          <w:tcPr>
            <w:tcW w:w="2590" w:type="dxa"/>
          </w:tcPr>
          <w:p>
            <w:pPr/>
            <w:r>
              <w:t xml:space="preserve">Jenkins en cada corrida (89 clases de prueba de backend, 27 archivos de frontend y móvil)</w:t>
            </w:r>
          </w:p>
        </w:tc>
        <w:tc>
          <w:tcPr>
            <w:tcW w:w="2293" w:type="dxa"/>
          </w:tcPr>
          <w:p>
            <w:pPr/>
            <w:r>
              <w:t xml:space="preserve">CAL-119 → CAL-120 a CAL-132 (13 módulos)</w:t>
            </w:r>
          </w:p>
        </w:tc>
      </w:tr>
      <w:tr>
        <w:tc>
          <w:tcPr>
            <w:tcW w:w="1398" w:type="dxa"/>
          </w:tcPr>
          <w:p>
            <w:pPr/>
            <w:r>
              <w:t xml:space="preserve">Integración</w:t>
            </w:r>
          </w:p>
        </w:tc>
        <w:tc>
          <w:tcPr>
            <w:tcW w:w="3079" w:type="dxa"/>
          </w:tcPr>
          <w:p>
            <w:pPr/>
            <w:r>
              <w:t xml:space="preserve">API + PostgreSQL real con RLS, contrato de autorización</w:t>
            </w:r>
          </w:p>
        </w:tc>
        <w:tc>
          <w:tcPr>
            <w:tcW w:w="2590" w:type="dxa"/>
          </w:tcPr>
          <w:p>
            <w:pPr/>
            <w:r>
              <w:t xml:space="preserve">Jenkins (Testcontainers)</w:t>
            </w:r>
          </w:p>
        </w:tc>
        <w:tc>
          <w:tcPr>
            <w:tcW w:w="2293" w:type="dxa"/>
          </w:tcPr>
          <w:p>
            <w:pPr/>
            <w:r>
              <w:t xml:space="preserve">CAL-88, CAL-93, CAL-7</w:t>
            </w:r>
          </w:p>
        </w:tc>
      </w:tr>
      <w:tr>
        <w:tc>
          <w:tcPr>
            <w:tcW w:w="1398" w:type="dxa"/>
          </w:tcPr>
          <w:p>
            <w:pPr/>
            <w:r>
              <w:t xml:space="preserve">SIT · integración de sistemas</w:t>
            </w:r>
          </w:p>
        </w:tc>
        <w:tc>
          <w:tcPr>
            <w:tcW w:w="3079" w:type="dxa"/>
          </w:tcPr>
          <w:p>
            <w:pPr/>
            <w:r>
              <w:t xml:space="preserve">Frontend, backend, base y tiempo real juntos en Azure</w:t>
            </w:r>
          </w:p>
        </w:tc>
        <w:tc>
          <w:tcPr>
            <w:tcW w:w="2590" w:type="dxa"/>
          </w:tcPr>
          <w:p>
            <w:pPr/>
            <w:r>
              <w:t xml:space="preserve">Entorno de Azure</w:t>
            </w:r>
          </w:p>
        </w:tc>
        <w:tc>
          <w:tcPr>
            <w:tcW w:w="2293" w:type="dxa"/>
          </w:tcPr>
          <w:p>
            <w:pPr/>
            <w:r>
              <w:t xml:space="preserve">CAL-118 → CAL-133 a CAL-145</w:t>
            </w:r>
          </w:p>
        </w:tc>
      </w:tr>
      <w:tr>
        <w:tc>
          <w:tcPr>
            <w:tcW w:w="1398" w:type="dxa"/>
          </w:tcPr>
          <w:p>
            <w:pPr/>
            <w:r>
              <w:t xml:space="preserve">UAT · aceptación</w:t>
            </w:r>
          </w:p>
        </w:tc>
        <w:tc>
          <w:tcPr>
            <w:tcW w:w="3079" w:type="dxa"/>
          </w:tcPr>
          <w:p>
            <w:pPr/>
            <w:r>
              <w:t xml:space="preserve">Recorridos por rol con usuarios</w:t>
            </w:r>
          </w:p>
        </w:tc>
        <w:tc>
          <w:tcPr>
            <w:tcW w:w="2590" w:type="dxa"/>
          </w:tcPr>
          <w:p>
            <w:pPr/>
            <w:r>
              <w:t xml:space="preserve">Entorno de Azure</w:t>
            </w:r>
          </w:p>
        </w:tc>
        <w:tc>
          <w:tcPr>
            <w:tcW w:w="2293" w:type="dxa"/>
          </w:tcPr>
          <w:p>
            <w:pPr/>
            <w:r>
              <w:t xml:space="preserve">CAL-117 → CAL-146 a CAL-158</w:t>
            </w:r>
          </w:p>
        </w:tc>
      </w:tr>
      <w:tr>
        <w:tc>
          <w:tcPr>
            <w:tcW w:w="1398" w:type="dxa"/>
          </w:tcPr>
          <w:p>
            <w:pPr/>
            <w:r>
              <w:t xml:space="preserve">Carga</w:t>
            </w:r>
          </w:p>
        </w:tc>
        <w:tc>
          <w:tcPr>
            <w:tcW w:w="3079" w:type="dxa"/>
          </w:tcPr>
          <w:p>
            <w:pPr/>
            <w:r>
              <w:t xml:space="preserve">Línea base de rendimiento</w:t>
            </w:r>
          </w:p>
        </w:tc>
        <w:tc>
          <w:tcPr>
            <w:tcW w:w="2590" w:type="dxa"/>
          </w:tcPr>
          <w:p>
            <w:pPr/>
            <w:r>
              <w:t xml:space="preserve">Entorno de Azure con k6</w:t>
            </w:r>
          </w:p>
        </w:tc>
        <w:tc>
          <w:tcPr>
            <w:tcW w:w="2293" w:type="dxa"/>
          </w:tcPr>
          <w:p>
            <w:pPr/>
            <w:r>
              <w:t xml:space="preserve">CAL-92 (pendiente)</w:t>
            </w:r>
          </w:p>
        </w:tc>
      </w:tr>
    </w:tbl>
    <w:p>
      <w:pPr/>
      <w:r>
        <w:rPr>
          <w:b/>
        </w:rPr>
        <w:t xml:space="preserve">Aislamiento entre restaurantes.</w:t>
      </w:r>
      <w:r>
        <w:t xml:space="preserve"> </w:t>
      </w:r>
      <w:r>
        <w:rPr>
          <w:rStyle w:val="CodeChar"/>
        </w:rPr>
        <w:t xml:space="preserve">scripts/verify-rls.sql</w:t>
      </w:r>
      <w:r>
        <w:t xml:space="preserve"> se ejecuta como </w:t>
      </w:r>
      <w:r>
        <w:rPr>
          <w:rStyle w:val="CodeChar"/>
        </w:rPr>
        <w:t xml:space="preserve">callejon9_app</w:t>
      </w:r>
      <w:r>
        <w:t xml:space="preserve"> para comprobar que un restaurante no ve ni escribe datos de otro; las pruebas de CAL-93 hacen exigible ese contrato en cada build. H2 no se usa porque no demuestra RLS.</w:t>
      </w:r>
    </w:p>
    <w:p>
      <w:pPr>
        <w:pStyle w:val="Heading2"/>
      </w:pPr>
      <w:r>
        <w:t xml:space="preserve">6. Estrategia de despliegue</w:t>
      </w:r>
    </w:p>
    <w:p>
      <w:pPr/>
      <w:r>
        <w:t xml:space="preserve">RestoHub corre en Microsoft Azure con toda la infraestructura definida en Terraform; Jenkins valida cada cambio y el despliegue desde </w:t>
      </w:r>
      <w:r>
        <w:rPr>
          <w:rStyle w:val="CodeChar"/>
        </w:rPr>
        <w:t xml:space="preserve">main</w:t>
      </w:r>
      <w:r>
        <w:t xml:space="preserve"> todavía se hace a mano con </w:t>
      </w:r>
      <w:r>
        <w:rPr>
          <w:rStyle w:val="CodeChar"/>
        </w:rPr>
        <w:t xml:space="preserve">az webapp deploy</w:t>
      </w:r>
      <w:r>
        <w:t xml:space="preserve">.</w:t>
      </w:r>
    </w:p>
    <w:p>
      <w:pPr/>
      <w:r>
        <w:drawing>
          <wp:inline distT="0" distB="0" distL="0" distR="0">
            <wp:extent cx="5486400" cy="3371850"/>
            <wp:docPr id="1" name="image1" descr="Arquitectura de CI y despliegue · GitHub, Jenkins y Azur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quitectura de CI y despliegue · GitHub, Jenkins y Azure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Arquitectura de CI y despliegue · GitHub, Jenkins y Azure</w:t>
      </w:r>
    </w:p>
    <w:p>
      <w:pPr/>
      <w:r>
        <w:t xml:space="preserve">El frontend reescribe </w:t>
      </w:r>
      <w:r>
        <w:rPr>
          <w:rStyle w:val="CodeChar"/>
        </w:rPr>
        <w:t xml:space="preserve">/api/v1/*</w:t>
      </w:r>
      <w:r>
        <w:t xml:space="preserve"> hacia el backend, así que el navegador nunca llama al backend directamente y no hace falta CORS. El backend publica el restaurante activo con </w:t>
      </w:r>
      <w:r>
        <w:rPr>
          <w:rStyle w:val="CodeChar"/>
        </w:rPr>
        <w:t xml:space="preserve">set_config('app.tenant_id', …)</w:t>
      </w:r>
      <w:r>
        <w:t xml:space="preserve"> en cada transacción, y PostgreSQL aplica RLS.</w:t>
      </w:r>
    </w:p>
    <w:p>
      <w:pPr/>
      <w:r>
        <w:rPr>
          <w:b/>
        </w:rPr>
        <w:t xml:space="preserve">Cómo se despliega hoy</w:t>
      </w:r>
    </w:p>
    <w:p>
      <w:pPr>
        <w:pStyle w:val="ListParagraph"/>
        <w:numPr>
          <w:ilvl w:val="0"/>
          <w:numId w:val="6"/>
        </w:numPr>
      </w:pPr>
      <w:r>
        <w:t xml:space="preserve">El cambio se fusiona a </w:t>
      </w:r>
      <w:r>
        <w:rPr>
          <w:rStyle w:val="CodeChar"/>
        </w:rPr>
        <w:t xml:space="preserve">main</w:t>
      </w:r>
      <w:r>
        <w:t xml:space="preserve"> con CI en verde.</w:t>
      </w:r>
    </w:p>
    <w:p>
      <w:pPr>
        <w:pStyle w:val="ListParagraph"/>
        <w:numPr>
          <w:ilvl w:val="0"/>
          <w:numId w:val="6"/>
        </w:numPr>
      </w:pPr>
      <w:r>
        <w:t xml:space="preserve">Quien despliega construye el artefacto (JAR del backend o salida </w:t>
      </w:r>
      <w:r>
        <w:rPr>
          <w:rStyle w:val="CodeChar"/>
        </w:rPr>
        <w:t xml:space="preserve">standalone</w:t>
      </w:r>
      <w:r>
        <w:t xml:space="preserve"> del frontend) y lo sube con </w:t>
      </w:r>
      <w:r>
        <w:rPr>
          <w:rStyle w:val="CodeChar"/>
        </w:rPr>
        <w:t xml:space="preserve">az webapp deploy</w:t>
      </w:r>
      <w:r>
        <w:t xml:space="preserve">, autenticado con Entra ID; App Service tiene desactivada la publicación con usuario y contraseña.</w:t>
      </w:r>
    </w:p>
    <w:p>
      <w:pPr>
        <w:pStyle w:val="ListParagraph"/>
        <w:numPr>
          <w:ilvl w:val="0"/>
          <w:numId w:val="6"/>
        </w:numPr>
      </w:pPr>
      <w:r>
        <w:t xml:space="preserve">Flyway aplica las migraciones nuevas al arrancar el backend.</w:t>
      </w:r>
    </w:p>
    <w:p>
      <w:pPr>
        <w:pStyle w:val="ListParagraph"/>
        <w:numPr>
          <w:ilvl w:val="0"/>
          <w:numId w:val="6"/>
        </w:numPr>
      </w:pPr>
      <w:r>
        <w:t xml:space="preserve">Quien despliega deja un comentario «Despliegue» en Linear con el SHA de </w:t>
      </w:r>
      <w:r>
        <w:rPr>
          <w:rStyle w:val="CodeChar"/>
        </w:rPr>
        <w:t xml:space="preserve">main</w:t>
      </w:r>
      <w:r>
        <w:t xml:space="preserve">, qué se desplegó y la hora; las pruebas SIT y UAT toman de ahí el commit probado.</w:t>
      </w:r>
    </w:p>
    <w:p>
      <w:pPr/>
      <w:r>
        <w:rPr>
          <w:b/>
        </w:rPr>
        <w:t xml:space="preserve">Infraestructura como código.</w:t>
      </w:r>
      <w:r>
        <w:t xml:space="preserve"> Tres módulos de Terraform, cada uno con estado remoto en Azure Storage: </w:t>
      </w:r>
      <w:r>
        <w:rPr>
          <w:rStyle w:val="CodeChar"/>
        </w:rPr>
        <w:t xml:space="preserve">azure-ci</w:t>
      </w:r>
      <w:r>
        <w:t xml:space="preserve"> (red, NSG, VM de Jenkins, identidad administrada y Key Vault), </w:t>
      </w:r>
      <w:r>
        <w:rPr>
          <w:rStyle w:val="CodeChar"/>
        </w:rPr>
        <w:t xml:space="preserve">azure-backend</w:t>
      </w:r>
      <w:r>
        <w:t xml:space="preserve"> (App Service B1, PostgreSQL Flexible B1ms, Key Vault, monitoreo y presupuesto de 20 USD) y </w:t>
      </w:r>
      <w:r>
        <w:rPr>
          <w:rStyle w:val="CodeChar"/>
        </w:rPr>
        <w:t xml:space="preserve">azure-frontend</w:t>
      </w:r>
      <w:r>
        <w:t xml:space="preserve"> (App Service F1). </w:t>
      </w:r>
      <w:r>
        <w:rPr>
          <w:rStyle w:val="CodeChar"/>
        </w:rPr>
        <w:t xml:space="preserve">scripts/terraform-check.ps1</w:t>
      </w:r>
      <w:r>
        <w:t xml:space="preserve"> valida formato y sintaxis sin credenciales. Para cuidar el crédito, </w:t>
      </w:r>
      <w:r>
        <w:rPr>
          <w:rStyle w:val="CodeChar"/>
        </w:rPr>
        <w:t xml:space="preserve">scripts/azure-backend-power.ps1 Stop</w:t>
      </w:r>
      <w:r>
        <w:t xml:space="preserve"> baja el backend a F1 y detiene PostgreSQL cuando no se usa, y </w:t>
      </w:r>
      <w:r>
        <w:rPr>
          <w:rStyle w:val="CodeChar"/>
        </w:rPr>
        <w:t xml:space="preserve">Start</w:t>
      </w:r>
      <w:r>
        <w:t xml:space="preserve"> lo restaura.</w:t>
      </w:r>
    </w:p>
    <w:p>
      <w:pPr/>
      <w:r>
        <w:rPr>
          <w:b/>
        </w:rPr>
        <w:t xml:space="preserve">Cadena de dependencias.</w:t>
      </w:r>
      <w:r>
        <w:t xml:space="preserve"> El plan original apuntaba a AWS (ECS Fargate, RDS, ECR: CAL-49 a CAL-53); el 17 de octubre el proyecto pasó a Azure y esos issues se cancelaron o se marcaron como duplicados de CAL-108. La cadena vigente es: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920"/>
        <w:gridCol w:w="2091"/>
        <w:gridCol w:w="2349"/>
      </w:tblGrid>
      <w:tr>
        <w:trPr>
          <w:tblHeader/>
        </w:trPr>
        <w:tc>
          <w:tcPr>
            <w:tcW w:w="4920" w:type="dxa"/>
            <w:shd w:val="clear" w:color="auto" w:fill="F2F2F2"/>
          </w:tcPr>
          <w:p>
            <w:pPr/>
            <w:r>
              <w:t xml:space="preserve">Paso</w:t>
            </w:r>
          </w:p>
        </w:tc>
        <w:tc>
          <w:tcPr>
            <w:tcW w:w="2091" w:type="dxa"/>
            <w:shd w:val="clear" w:color="auto" w:fill="F2F2F2"/>
          </w:tcPr>
          <w:p>
            <w:pPr/>
            <w:r>
              <w:t xml:space="preserve">Issue</w:t>
            </w:r>
          </w:p>
        </w:tc>
        <w:tc>
          <w:tcPr>
            <w:tcW w:w="2349" w:type="dxa"/>
            <w:shd w:val="clear" w:color="auto" w:fill="F2F2F2"/>
          </w:tcPr>
          <w:p>
            <w:pPr/>
            <w:r>
              <w:t xml:space="preserve">Estado al 26 oct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Configuración productiva que falla ante secretos inseguros</w:t>
            </w:r>
          </w:p>
        </w:tc>
        <w:tc>
          <w:tcPr>
            <w:tcW w:w="2091" w:type="dxa"/>
          </w:tcPr>
          <w:p>
            <w:pPr/>
            <w:r>
              <w:t xml:space="preserve">CAL-15</w:t>
            </w:r>
          </w:p>
        </w:tc>
        <w:tc>
          <w:tcPr>
            <w:tcW w:w="2349" w:type="dxa"/>
          </w:tcPr>
          <w:p>
            <w:pPr/>
            <w:r>
              <w:t xml:space="preserve">Hecho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Salud: liveness, readiness y migraciones</w:t>
            </w:r>
          </w:p>
        </w:tc>
        <w:tc>
          <w:tcPr>
            <w:tcW w:w="2091" w:type="dxa"/>
          </w:tcPr>
          <w:p>
            <w:pPr/>
            <w:r>
              <w:t xml:space="preserve">CAL-22</w:t>
            </w:r>
          </w:p>
        </w:tc>
        <w:tc>
          <w:tcPr>
            <w:tcW w:w="2349" w:type="dxa"/>
          </w:tcPr>
          <w:p>
            <w:pPr/>
            <w:r>
              <w:t xml:space="preserve">Hecho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Backend en App Service + PostgreSQL gestionado con RLS y Key Vault</w:t>
            </w:r>
          </w:p>
        </w:tc>
        <w:tc>
          <w:tcPr>
            <w:tcW w:w="2091" w:type="dxa"/>
          </w:tcPr>
          <w:p>
            <w:pPr/>
            <w:r>
              <w:t xml:space="preserve">CAL-108</w:t>
            </w:r>
          </w:p>
        </w:tc>
        <w:tc>
          <w:tcPr>
            <w:tcW w:w="2349" w:type="dxa"/>
          </w:tcPr>
          <w:p>
            <w:pPr/>
            <w:r>
              <w:t xml:space="preserve">Hecho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Frontend en App Service conservando el rewrite same-origin</w:t>
            </w:r>
          </w:p>
        </w:tc>
        <w:tc>
          <w:tcPr>
            <w:tcW w:w="2091" w:type="dxa"/>
          </w:tcPr>
          <w:p>
            <w:pPr/>
            <w:r>
              <w:t xml:space="preserve">CAL-54, CAL-162</w:t>
            </w:r>
          </w:p>
        </w:tc>
        <w:tc>
          <w:tcPr>
            <w:tcW w:w="2349" w:type="dxa"/>
          </w:tcPr>
          <w:p>
            <w:pPr/>
            <w:r>
              <w:t xml:space="preserve">Hecho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Imágenes de producción mínimas y no root</w:t>
            </w:r>
          </w:p>
        </w:tc>
        <w:tc>
          <w:tcPr>
            <w:tcW w:w="2091" w:type="dxa"/>
          </w:tcPr>
          <w:p>
            <w:pPr/>
            <w:r>
              <w:t xml:space="preserve">CAL-17</w:t>
            </w:r>
          </w:p>
        </w:tc>
        <w:tc>
          <w:tcPr>
            <w:tcW w:w="2349" w:type="dxa"/>
          </w:tcPr>
          <w:p>
            <w:pPr/>
            <w:r>
              <w:t xml:space="preserve">Se verifican en CI; issue abierto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Despliegue automático desde </w:t>
            </w:r>
            <w:r>
              <w:rPr>
                <w:rStyle w:val="CodeChar"/>
              </w:rPr>
              <w:t xml:space="preserve">main</w:t>
            </w:r>
            <w:r>
              <w:t xml:space="preserve"> con rollback probado</w:t>
            </w:r>
          </w:p>
        </w:tc>
        <w:tc>
          <w:tcPr>
            <w:tcW w:w="2091" w:type="dxa"/>
          </w:tcPr>
          <w:p>
            <w:pPr/>
            <w:r>
              <w:t xml:space="preserve">CAL-56</w:t>
            </w:r>
          </w:p>
        </w:tc>
        <w:tc>
          <w:tcPr>
            <w:tcW w:w="2349" w:type="dxa"/>
          </w:tcPr>
          <w:p>
            <w:pPr/>
            <w:r>
              <w:t xml:space="preserve">Pendiente (ciclo 10)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Logs y alarmas en Azure Monitor</w:t>
            </w:r>
          </w:p>
        </w:tc>
        <w:tc>
          <w:tcPr>
            <w:tcW w:w="2091" w:type="dxa"/>
          </w:tcPr>
          <w:p>
            <w:pPr/>
            <w:r>
              <w:t xml:space="preserve">CAL-57</w:t>
            </w:r>
          </w:p>
        </w:tc>
        <w:tc>
          <w:tcPr>
            <w:tcW w:w="2349" w:type="dxa"/>
          </w:tcPr>
          <w:p>
            <w:pPr/>
            <w:r>
              <w:t xml:space="preserve">Pendiente (ciclo 11)</w:t>
            </w:r>
          </w:p>
        </w:tc>
      </w:tr>
      <w:tr>
        <w:tc>
          <w:tcPr>
            <w:tcW w:w="4920" w:type="dxa"/>
          </w:tcPr>
          <w:p>
            <w:pPr/>
            <w:r>
              <w:t xml:space="preserve">Verificación de extremo a extremo del entorno remoto</w:t>
            </w:r>
          </w:p>
        </w:tc>
        <w:tc>
          <w:tcPr>
            <w:tcW w:w="2091" w:type="dxa"/>
          </w:tcPr>
          <w:p>
            <w:pPr/>
            <w:r>
              <w:t xml:space="preserve">CAL-27</w:t>
            </w:r>
          </w:p>
        </w:tc>
        <w:tc>
          <w:tcPr>
            <w:tcW w:w="2349" w:type="dxa"/>
          </w:tcPr>
          <w:p>
            <w:pPr/>
            <w:r>
              <w:t xml:space="preserve">Pendiente (ciclo 11)</w:t>
            </w:r>
          </w:p>
        </w:tc>
      </w:tr>
    </w:tbl>
    <w:p>
      <w:pPr>
        <w:pStyle w:val="Heading2"/>
      </w:pPr>
      <w:r>
        <w:t xml:space="preserve">7. Estado real y pendientes</w:t>
      </w:r>
    </w:p>
    <w:p>
      <w:pPr/>
      <w:r>
        <w:t xml:space="preserve">Al 21 de septiembre el repositorio no tenía Docker de producción, infraestructura ni pipeline de despliegue; al 26 de octubre existen el pipeline de Jenkins, la infraestructura en Terraform y el entorno en Azure, y faltan la protección exigible de </w:t>
      </w:r>
      <w:r>
        <w:rPr>
          <w:rStyle w:val="CodeChar"/>
        </w:rPr>
        <w:t xml:space="preserve">main</w:t>
      </w:r>
      <w:r>
        <w:t xml:space="preserve"> y el despliegue automático.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70"/>
        <w:gridCol w:w="1208"/>
        <w:gridCol w:w="1464"/>
        <w:gridCol w:w="2018"/>
      </w:tblGrid>
      <w:tr>
        <w:trPr>
          <w:tblHeader/>
        </w:trPr>
        <w:tc>
          <w:tcPr>
            <w:tcW w:w="4670" w:type="dxa"/>
            <w:shd w:val="clear" w:color="auto" w:fill="F2F2F2"/>
          </w:tcPr>
          <w:p>
            <w:pPr/>
            <w:r>
              <w:t xml:space="preserve">Pieza</w:t>
            </w:r>
          </w:p>
        </w:tc>
        <w:tc>
          <w:tcPr>
            <w:tcW w:w="1208" w:type="dxa"/>
            <w:shd w:val="clear" w:color="auto" w:fill="F2F2F2"/>
          </w:tcPr>
          <w:p>
            <w:pPr/>
            <w:r>
              <w:t xml:space="preserve">Issue</w:t>
            </w:r>
          </w:p>
        </w:tc>
        <w:tc>
          <w:tcPr>
            <w:tcW w:w="1464" w:type="dxa"/>
            <w:shd w:val="clear" w:color="auto" w:fill="F2F2F2"/>
          </w:tcPr>
          <w:p>
            <w:pPr/>
            <w:r>
              <w:t xml:space="preserve">Estado</w:t>
            </w:r>
          </w:p>
        </w:tc>
        <w:tc>
          <w:tcPr>
            <w:tcW w:w="2018" w:type="dxa"/>
            <w:shd w:val="clear" w:color="auto" w:fill="F2F2F2"/>
          </w:tcPr>
          <w:p>
            <w:pPr/>
            <w:r>
              <w:t xml:space="preserve">Ciclo de Linear</w:t>
            </w:r>
          </w:p>
        </w:tc>
      </w:tr>
      <w:tr>
        <w:tc>
          <w:tcPr>
            <w:tcW w:w="4670" w:type="dxa"/>
          </w:tcPr>
          <w:p>
            <w:pPr/>
            <w:r>
              <w:t xml:space="preserve">Pipeline Jenkins con puertas de calidad</w:t>
            </w:r>
          </w:p>
        </w:tc>
        <w:tc>
          <w:tcPr>
            <w:tcW w:w="1208" w:type="dxa"/>
          </w:tcPr>
          <w:p>
            <w:pPr/>
            <w:r>
              <w:t xml:space="preserve">CAL-87</w:t>
            </w:r>
          </w:p>
        </w:tc>
        <w:tc>
          <w:tcPr>
            <w:tcW w:w="1464" w:type="dxa"/>
          </w:tcPr>
          <w:p>
            <w:pPr/>
            <w:r>
              <w:t xml:space="preserve">Hecho</w:t>
            </w:r>
          </w:p>
        </w:tc>
        <w:tc>
          <w:tcPr>
            <w:tcW w:w="2018" w:type="dxa"/>
          </w:tcPr>
          <w:p>
            <w:pPr/>
            <w:r>
              <w:t xml:space="preserve">5 (13–23 oct)</w:t>
            </w:r>
          </w:p>
        </w:tc>
      </w:tr>
      <w:tr>
        <w:tc>
          <w:tcPr>
            <w:tcW w:w="4670" w:type="dxa"/>
          </w:tcPr>
          <w:p>
            <w:pPr/>
            <w:r>
              <w:t xml:space="preserve">Backend y frontend publicados en Azure</w:t>
            </w:r>
          </w:p>
        </w:tc>
        <w:tc>
          <w:tcPr>
            <w:tcW w:w="1208" w:type="dxa"/>
          </w:tcPr>
          <w:p>
            <w:pPr/>
            <w:r>
              <w:t xml:space="preserve">CAL-108, CAL-54, CAL-162</w:t>
            </w:r>
          </w:p>
        </w:tc>
        <w:tc>
          <w:tcPr>
            <w:tcW w:w="1464" w:type="dxa"/>
          </w:tcPr>
          <w:p>
            <w:pPr/>
            <w:r>
              <w:t xml:space="preserve">Hecho</w:t>
            </w:r>
          </w:p>
        </w:tc>
        <w:tc>
          <w:tcPr>
            <w:tcW w:w="2018" w:type="dxa"/>
          </w:tcPr>
          <w:p>
            <w:pPr/>
            <w:r>
              <w:t xml:space="preserve">5 (13–23 oct)</w:t>
            </w:r>
          </w:p>
        </w:tc>
      </w:tr>
      <w:tr>
        <w:tc>
          <w:tcPr>
            <w:tcW w:w="4670" w:type="dxa"/>
          </w:tcPr>
          <w:p>
            <w:pPr/>
            <w:r>
              <w:t xml:space="preserve">Infraestructura de CI en Azure con Terraform</w:t>
            </w:r>
          </w:p>
        </w:tc>
        <w:tc>
          <w:tcPr>
            <w:tcW w:w="1208" w:type="dxa"/>
          </w:tcPr>
          <w:p>
            <w:pPr/>
            <w:r>
              <w:t xml:space="preserve">CAL-48</w:t>
            </w:r>
          </w:p>
        </w:tc>
        <w:tc>
          <w:tcPr>
            <w:tcW w:w="1464" w:type="dxa"/>
          </w:tcPr>
          <w:p>
            <w:pPr/>
            <w:r>
              <w:t xml:space="preserve">En revisión</w:t>
            </w:r>
          </w:p>
        </w:tc>
        <w:tc>
          <w:tcPr>
            <w:tcW w:w="2018" w:type="dxa"/>
          </w:tcPr>
          <w:p>
            <w:pPr/>
            <w:r>
              <w:t xml:space="preserve">6 (23 oct–6 nov)</w:t>
            </w:r>
          </w:p>
        </w:tc>
      </w:tr>
      <w:tr>
        <w:tc>
          <w:tcPr>
            <w:tcW w:w="4670" w:type="dxa"/>
          </w:tcPr>
          <w:p>
            <w:pPr/>
            <w:r>
              <w:t xml:space="preserve">Jenkins privado operando con Tailscale</w:t>
            </w:r>
          </w:p>
        </w:tc>
        <w:tc>
          <w:tcPr>
            <w:tcW w:w="1208" w:type="dxa"/>
          </w:tcPr>
          <w:p>
            <w:pPr/>
            <w:r>
              <w:t xml:space="preserve">CAL-86</w:t>
            </w:r>
          </w:p>
        </w:tc>
        <w:tc>
          <w:tcPr>
            <w:tcW w:w="1464" w:type="dxa"/>
          </w:tcPr>
          <w:p>
            <w:pPr/>
            <w:r>
              <w:t xml:space="preserve">En revisión</w:t>
            </w:r>
          </w:p>
        </w:tc>
        <w:tc>
          <w:tcPr>
            <w:tcW w:w="2018" w:type="dxa"/>
          </w:tcPr>
          <w:p>
            <w:pPr/>
            <w:r>
              <w:t xml:space="preserve">6 (23 oct–6 nov)</w:t>
            </w:r>
          </w:p>
        </w:tc>
      </w:tr>
      <w:tr>
        <w:tc>
          <w:tcPr>
            <w:tcW w:w="4670" w:type="dxa"/>
          </w:tcPr>
          <w:p>
            <w:pPr/>
            <w:r>
              <w:t xml:space="preserve">Checks de Jenkins en los pull requests</w:t>
            </w:r>
          </w:p>
        </w:tc>
        <w:tc>
          <w:tcPr>
            <w:tcW w:w="1208" w:type="dxa"/>
          </w:tcPr>
          <w:p>
            <w:pPr/>
            <w:r>
              <w:t xml:space="preserve">CAL-89</w:t>
            </w:r>
          </w:p>
        </w:tc>
        <w:tc>
          <w:tcPr>
            <w:tcW w:w="1464" w:type="dxa"/>
          </w:tcPr>
          <w:p>
            <w:pPr/>
            <w:r>
              <w:t xml:space="preserve">En revisión</w:t>
            </w:r>
          </w:p>
        </w:tc>
        <w:tc>
          <w:tcPr>
            <w:tcW w:w="2018" w:type="dxa"/>
          </w:tcPr>
          <w:p>
            <w:pPr/>
            <w:r>
              <w:t xml:space="preserve">6 (23 oct–6 nov)</w:t>
            </w:r>
          </w:p>
        </w:tc>
      </w:tr>
      <w:tr>
        <w:tc>
          <w:tcPr>
            <w:tcW w:w="4670" w:type="dxa"/>
          </w:tcPr>
          <w:p>
            <w:pPr/>
            <w:r>
              <w:t xml:space="preserve">Protección de </w:t>
            </w:r>
            <w:r>
              <w:rPr>
                <w:rStyle w:val="CodeChar"/>
              </w:rPr>
              <w:t xml:space="preserve">main</w:t>
            </w:r>
            <w:r>
              <w:t xml:space="preserve"> exigiendo el check de Jenkins</w:t>
            </w:r>
          </w:p>
        </w:tc>
        <w:tc>
          <w:tcPr>
            <w:tcW w:w="1208" w:type="dxa"/>
          </w:tcPr>
          <w:p>
            <w:pPr/>
            <w:r>
              <w:t xml:space="preserve">—</w:t>
            </w:r>
          </w:p>
        </w:tc>
        <w:tc>
          <w:tcPr>
            <w:tcW w:w="1464" w:type="dxa"/>
          </w:tcPr>
          <w:p>
            <w:pPr/>
            <w:r>
              <w:t xml:space="preserve">Regla creada, desactivada</w:t>
            </w:r>
          </w:p>
        </w:tc>
        <w:tc>
          <w:tcPr>
            <w:tcW w:w="2018" w:type="dxa"/>
          </w:tcPr>
          <w:p>
            <w:pPr/>
            <w:r>
              <w:t xml:space="preserve">Tras CAL-89</w:t>
            </w:r>
          </w:p>
        </w:tc>
      </w:tr>
      <w:tr>
        <w:tc>
          <w:tcPr>
            <w:tcW w:w="4670" w:type="dxa"/>
          </w:tcPr>
          <w:p>
            <w:pPr/>
            <w:r>
              <w:t xml:space="preserve">Despliegue automático desde </w:t>
            </w:r>
            <w:r>
              <w:rPr>
                <w:rStyle w:val="CodeChar"/>
              </w:rPr>
              <w:t xml:space="preserve">main</w:t>
            </w:r>
            <w:r>
              <w:t xml:space="preserve"> con rollback</w:t>
            </w:r>
          </w:p>
        </w:tc>
        <w:tc>
          <w:tcPr>
            <w:tcW w:w="1208" w:type="dxa"/>
          </w:tcPr>
          <w:p>
            <w:pPr/>
            <w:r>
              <w:t xml:space="preserve">CAL-56</w:t>
            </w:r>
          </w:p>
        </w:tc>
        <w:tc>
          <w:tcPr>
            <w:tcW w:w="1464" w:type="dxa"/>
          </w:tcPr>
          <w:p>
            <w:pPr/>
            <w:r>
              <w:t xml:space="preserve">Por hacer</w:t>
            </w:r>
          </w:p>
        </w:tc>
        <w:tc>
          <w:tcPr>
            <w:tcW w:w="2018" w:type="dxa"/>
          </w:tcPr>
          <w:p>
            <w:pPr/>
            <w:r>
              <w:t xml:space="preserve">10 (18 dic–1 ene)</w:t>
            </w:r>
          </w:p>
        </w:tc>
      </w:tr>
      <w:tr>
        <w:tc>
          <w:tcPr>
            <w:tcW w:w="4670" w:type="dxa"/>
          </w:tcPr>
          <w:p>
            <w:pPr/>
            <w:r>
              <w:t xml:space="preserve">Logs y alarmas en Azure Monitor</w:t>
            </w:r>
          </w:p>
        </w:tc>
        <w:tc>
          <w:tcPr>
            <w:tcW w:w="1208" w:type="dxa"/>
          </w:tcPr>
          <w:p>
            <w:pPr/>
            <w:r>
              <w:t xml:space="preserve">CAL-57</w:t>
            </w:r>
          </w:p>
        </w:tc>
        <w:tc>
          <w:tcPr>
            <w:tcW w:w="1464" w:type="dxa"/>
          </w:tcPr>
          <w:p>
            <w:pPr/>
            <w:r>
              <w:t xml:space="preserve">Por hacer</w:t>
            </w:r>
          </w:p>
        </w:tc>
        <w:tc>
          <w:tcPr>
            <w:tcW w:w="2018" w:type="dxa"/>
          </w:tcPr>
          <w:p>
            <w:pPr/>
            <w:r>
              <w:t xml:space="preserve">11 (1–15 ene)</w:t>
            </w:r>
          </w:p>
        </w:tc>
      </w:tr>
      <w:tr>
        <w:tc>
          <w:tcPr>
            <w:tcW w:w="4670" w:type="dxa"/>
          </w:tcPr>
          <w:p>
            <w:pPr/>
            <w:r>
              <w:t xml:space="preserve">Renovate, Semgrep y Dependency-Check; retirar GitHub Actions</w:t>
            </w:r>
          </w:p>
        </w:tc>
        <w:tc>
          <w:tcPr>
            <w:tcW w:w="1208" w:type="dxa"/>
          </w:tcPr>
          <w:p>
            <w:pPr/>
            <w:r>
              <w:t xml:space="preserve">CAL-90</w:t>
            </w:r>
          </w:p>
        </w:tc>
        <w:tc>
          <w:tcPr>
            <w:tcW w:w="1464" w:type="dxa"/>
          </w:tcPr>
          <w:p>
            <w:pPr/>
            <w:r>
              <w:t xml:space="preserve">Por hacer</w:t>
            </w:r>
          </w:p>
        </w:tc>
        <w:tc>
          <w:tcPr>
            <w:tcW w:w="2018" w:type="dxa"/>
          </w:tcPr>
          <w:p>
            <w:pPr/>
            <w:r>
              <w:t xml:space="preserve">12 (15–29 ene)</w:t>
            </w:r>
          </w:p>
        </w:tc>
      </w:tr>
    </w:tbl>
    <w:p>
      <w:pPr/>
      <w:r>
        <w:rPr>
          <w:b/>
        </w:rPr>
        <w:t xml:space="preserve">Riesgo de calendario.</w:t>
      </w:r>
      <w:r>
        <w:t xml:space="preserve"> El cuatrimestre cierra el 11 de diciembre, pero CAL-56, CAL-57 y CAL-90 están en ciclos posteriores, igual que la entrega final de GPDS (CAL-83, «software desplegado, monitoreo y métricas», ciclo 11). Si la fecha oficial de esa entrega es anterior, esos tres issues deben adelantarse a los ciclos 7 y 8.</w:t>
      </w:r>
    </w:p>
    <w:p>
      <w:pPr>
        <w:pStyle w:val="Heading2"/>
      </w:pPr>
      <w:r>
        <w:t xml:space="preserve">8. Cronograma de las tres entregas</w:t>
      </w:r>
    </w:p>
    <w:p>
      <w:pPr/>
      <w:r>
        <w:t xml:space="preserve">La asignatura evalúa tres entregas: el plan DevOps el 26 de octubre, el software con integración continua el 7 de noviembre y la liberación con monitoreo el 5 de diciembre. Cada una tiene una fecha interna una semana antes para revisión.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98"/>
        <w:gridCol w:w="949"/>
        <w:gridCol w:w="910"/>
        <w:gridCol w:w="3853"/>
        <w:gridCol w:w="1025"/>
        <w:gridCol w:w="1225"/>
      </w:tblGrid>
      <w:tr>
        <w:trPr>
          <w:tblHeader/>
        </w:trPr>
        <w:tc>
          <w:tcPr>
            <w:tcW w:w="1398" w:type="dxa"/>
            <w:shd w:val="clear" w:color="auto" w:fill="F2F2F2"/>
          </w:tcPr>
          <w:p>
            <w:pPr/>
            <w:r>
              <w:t xml:space="preserve">Entrega</w:t>
            </w:r>
          </w:p>
        </w:tc>
        <w:tc>
          <w:tcPr>
            <w:tcW w:w="949" w:type="dxa"/>
            <w:shd w:val="clear" w:color="auto" w:fill="F2F2F2"/>
          </w:tcPr>
          <w:p>
            <w:pPr/>
            <w:r>
              <w:t xml:space="preserve">Fecha interna</w:t>
            </w:r>
          </w:p>
        </w:tc>
        <w:tc>
          <w:tcPr>
            <w:tcW w:w="910" w:type="dxa"/>
            <w:shd w:val="clear" w:color="auto" w:fill="F2F2F2"/>
          </w:tcPr>
          <w:p>
            <w:pPr/>
            <w:r>
              <w:t xml:space="preserve">Fecha oficial</w:t>
            </w:r>
          </w:p>
        </w:tc>
        <w:tc>
          <w:tcPr>
            <w:tcW w:w="3853" w:type="dxa"/>
            <w:shd w:val="clear" w:color="auto" w:fill="F2F2F2"/>
          </w:tcPr>
          <w:p>
            <w:pPr/>
            <w:r>
              <w:t xml:space="preserve">Qué se entrega</w:t>
            </w:r>
          </w:p>
        </w:tc>
        <w:tc>
          <w:tcPr>
            <w:tcW w:w="1025" w:type="dxa"/>
            <w:shd w:val="clear" w:color="auto" w:fill="F2F2F2"/>
          </w:tcPr>
          <w:p>
            <w:pPr/>
            <w:r>
              <w:t xml:space="preserve">Issue</w:t>
            </w:r>
          </w:p>
        </w:tc>
        <w:tc>
          <w:tcPr>
            <w:tcW w:w="1225" w:type="dxa"/>
            <w:shd w:val="clear" w:color="auto" w:fill="F2F2F2"/>
          </w:tcPr>
          <w:p>
            <w:pPr/>
            <w:r>
              <w:t xml:space="preserve">Estado</w:t>
            </w:r>
          </w:p>
        </w:tc>
      </w:tr>
      <w:tr>
        <w:tc>
          <w:tcPr>
            <w:tcW w:w="1398" w:type="dxa"/>
          </w:tcPr>
          <w:p>
            <w:pPr/>
            <w:r>
              <w:t xml:space="preserve">1. Planeación</w:t>
            </w:r>
          </w:p>
        </w:tc>
        <w:tc>
          <w:tcPr>
            <w:tcW w:w="949" w:type="dxa"/>
          </w:tcPr>
          <w:p>
            <w:pPr/>
            <w:r>
              <w:t xml:space="preserve">19 oct</w:t>
            </w:r>
          </w:p>
        </w:tc>
        <w:tc>
          <w:tcPr>
            <w:tcW w:w="910" w:type="dxa"/>
          </w:tcPr>
          <w:p>
            <w:pPr/>
            <w:r>
              <w:t xml:space="preserve">26 oct</w:t>
            </w:r>
          </w:p>
        </w:tc>
        <w:tc>
          <w:tcPr>
            <w:tcW w:w="3853" w:type="dxa"/>
          </w:tcPr>
          <w:p>
            <w:pPr/>
            <w:r>
              <w:t xml:space="preserve">Plan DevOps y repositorio inicial</w:t>
            </w:r>
          </w:p>
        </w:tc>
        <w:tc>
          <w:tcPr>
            <w:tcW w:w="1025" w:type="dxa"/>
          </w:tcPr>
          <w:p>
            <w:pPr/>
            <w:r>
              <w:t xml:space="preserve">CAL-66</w:t>
            </w:r>
          </w:p>
        </w:tc>
        <w:tc>
          <w:tcPr>
            <w:tcW w:w="1225" w:type="dxa"/>
          </w:tcPr>
          <w:p>
            <w:pPr/>
            <w:r>
              <w:t xml:space="preserve">Hecho</w:t>
            </w:r>
          </w:p>
        </w:tc>
      </w:tr>
      <w:tr>
        <w:tc>
          <w:tcPr>
            <w:tcW w:w="1398" w:type="dxa"/>
          </w:tcPr>
          <w:p>
            <w:pPr/>
            <w:r>
              <w:t xml:space="preserve">2. Integración continua</w:t>
            </w:r>
          </w:p>
        </w:tc>
        <w:tc>
          <w:tcPr>
            <w:tcW w:w="949" w:type="dxa"/>
          </w:tcPr>
          <w:p>
            <w:pPr/>
            <w:r>
              <w:t xml:space="preserve">31 oct</w:t>
            </w:r>
          </w:p>
        </w:tc>
        <w:tc>
          <w:tcPr>
            <w:tcW w:w="910" w:type="dxa"/>
          </w:tcPr>
          <w:p>
            <w:pPr/>
            <w:r>
              <w:t xml:space="preserve">7 nov</w:t>
            </w:r>
          </w:p>
        </w:tc>
        <w:tc>
          <w:tcPr>
            <w:tcW w:w="3853" w:type="dxa"/>
          </w:tcPr>
          <w:p>
            <w:pPr/>
            <w:r>
              <w:t xml:space="preserve">Software funcional, repositorio, pruebas y pipeline configurado y ejecutado, con una corrida verde y una fallida</w:t>
            </w:r>
          </w:p>
        </w:tc>
        <w:tc>
          <w:tcPr>
            <w:tcW w:w="1025" w:type="dxa"/>
          </w:tcPr>
          <w:p>
            <w:pPr/>
            <w:r>
              <w:t xml:space="preserve">CAL-70</w:t>
            </w:r>
          </w:p>
        </w:tc>
        <w:tc>
          <w:tcPr>
            <w:tcW w:w="1225" w:type="dxa"/>
          </w:tcPr>
          <w:p>
            <w:pPr/>
            <w:r>
              <w:t xml:space="preserve">Por hacer</w:t>
            </w:r>
          </w:p>
        </w:tc>
      </w:tr>
      <w:tr>
        <w:tc>
          <w:tcPr>
            <w:tcW w:w="1398" w:type="dxa"/>
          </w:tcPr>
          <w:p>
            <w:pPr/>
            <w:r>
              <w:t xml:space="preserve">3. Liberación y monitoreo</w:t>
            </w:r>
          </w:p>
        </w:tc>
        <w:tc>
          <w:tcPr>
            <w:tcW w:w="949" w:type="dxa"/>
          </w:tcPr>
          <w:p>
            <w:pPr/>
            <w:r>
              <w:t xml:space="preserve">28 nov</w:t>
            </w:r>
          </w:p>
        </w:tc>
        <w:tc>
          <w:tcPr>
            <w:tcW w:w="910" w:type="dxa"/>
          </w:tcPr>
          <w:p>
            <w:pPr/>
            <w:r>
              <w:t xml:space="preserve">5 dic</w:t>
            </w:r>
          </w:p>
        </w:tc>
        <w:tc>
          <w:tcPr>
            <w:tcW w:w="3853" w:type="dxa"/>
          </w:tcPr>
          <w:p>
            <w:pPr/>
            <w:r>
              <w:t xml:space="preserve">Software desplegado, pipeline de liberación con rollback, monitoreo, métricas medidas y propuesta de mejora</w:t>
            </w:r>
          </w:p>
        </w:tc>
        <w:tc>
          <w:tcPr>
            <w:tcW w:w="1025" w:type="dxa"/>
          </w:tcPr>
          <w:p>
            <w:pPr/>
            <w:r>
              <w:t xml:space="preserve">CAL-83</w:t>
            </w:r>
          </w:p>
        </w:tc>
        <w:tc>
          <w:tcPr>
            <w:tcW w:w="1225" w:type="dxa"/>
          </w:tcPr>
          <w:p>
            <w:pPr/>
            <w:r>
              <w:t xml:space="preserve">Por hacer</w:t>
            </w:r>
          </w:p>
        </w:tc>
      </w:tr>
    </w:tbl>
    <w:p>
      <w:pPr/>
      <w:r>
        <w:drawing>
          <wp:inline distT="0" distB="0" distL="0" distR="0">
            <wp:extent cx="5486400" cy="3918857"/>
            <wp:docPr id="2" name="image2" descr="Cronograma propuesto de las tres entregas de GPDS · octubre a diciembre de 20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Cronograma propuesto de las tres entregas de GPDS · octubre a diciembre de 202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Cronograma propuesto de las tres entregas de GPDS · octubre a diciembre de 2026</w:t>
      </w:r>
    </w:p>
    <w:p>
      <w:pPr/>
      <w:r>
        <w:t xml:space="preserve">GitHub Actions se retira hasta después del 7 de noviembre, para que la entrega 2 no se quede sin pipeline que mostrar si Jenkins falla. La entrega 3 concentra el trabajo pendiente en noviembre: despliegue automático, monitoreo, respaldos y pruebas de carga.</w:t>
      </w:r>
    </w:p>
    <w:p>
      <w:pPr/>
      <w:r>
        <w:rPr>
          <w:b/>
        </w:rPr>
        <w:t xml:space="preserve">Ajuste necesario en Linear.</w:t>
      </w:r>
      <w:r>
        <w:t xml:space="preserve"> Este cronograma es una propuesta. Hoy CAL-56, CAL-57, CAL-58, CAL-92, CAL-27 y CAL-83 están en los ciclos 9 a 11 (4 de diciembre a 15 de enero), después de la fecha oficial del 5 de diciembre. Para cumplir hay que pasarlos a los ciclos 7 y 8 (6 de noviembre al 4 de diciembre).</w:t>
      </w:r>
    </w:p>
    <w:p>
      <w:pPr>
        <w:pStyle w:val="Heading2"/>
      </w:pPr>
      <w:r>
        <w:t xml:space="preserve">9. Repositorio inicial</w:t>
      </w:r>
    </w:p>
    <w:p>
      <w:pPr/>
      <w:r>
        <w:t xml:space="preserve">El repositorio es público en </w:t>
      </w:r>
      <w:hyperlink r:id="rId5" w:history="1">
        <w:r>
          <w:rPr>
            <w:rStyle w:val="Hyperlink"/>
          </w:rPr>
          <w:t xml:space="preserve">github.com/LudwinGarcia1/callejon9-saas</w:t>
        </w:r>
      </w:hyperlink>
      <w:r>
        <w:t xml:space="preserve">, creado el 29 de julio de 2026, y los evaluadores pueden consultarlo sin invitación.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629"/>
        <w:gridCol w:w="5730"/>
      </w:tblGrid>
      <w:tr>
        <w:trPr>
          <w:tblHeader/>
        </w:trPr>
        <w:tc>
          <w:tcPr>
            <w:tcW w:w="3629" w:type="dxa"/>
            <w:shd w:val="clear" w:color="auto" w:fill="F2F2F2"/>
          </w:tcPr>
          <w:p>
            <w:pPr/>
            <w:r>
              <w:t xml:space="preserve">Ruta</w:t>
            </w:r>
          </w:p>
        </w:tc>
        <w:tc>
          <w:tcPr>
            <w:tcW w:w="5730" w:type="dxa"/>
            <w:shd w:val="clear" w:color="auto" w:fill="F2F2F2"/>
          </w:tcPr>
          <w:p>
            <w:pPr/>
            <w:r>
              <w:t xml:space="preserve">Contenido</w:t>
            </w:r>
          </w:p>
        </w:tc>
      </w:tr>
      <w:tr>
        <w:tc>
          <w:tcPr>
            <w:tcW w:w="3629" w:type="dxa"/>
          </w:tcPr>
          <w:p>
            <w:pPr/>
            <w:r>
              <w:rPr>
                <w:rStyle w:val="CodeChar"/>
              </w:rPr>
              <w:t xml:space="preserve">backend/</w:t>
            </w:r>
          </w:p>
        </w:tc>
        <w:tc>
          <w:tcPr>
            <w:tcW w:w="5730" w:type="dxa"/>
          </w:tcPr>
          <w:p>
            <w:pPr/>
            <w:r>
              <w:t xml:space="preserve">API Spring Boot 3.4 (Java 21), migraciones Flyway, pruebas con Testcontainers, </w:t>
            </w:r>
            <w:r>
              <w:rPr>
                <w:rStyle w:val="CodeChar"/>
              </w:rPr>
              <w:t xml:space="preserve">Dockerfile</w:t>
            </w:r>
          </w:p>
        </w:tc>
      </w:tr>
      <w:tr>
        <w:tc>
          <w:tcPr>
            <w:tcW w:w="3629" w:type="dxa"/>
          </w:tcPr>
          <w:p>
            <w:pPr/>
            <w:r>
              <w:rPr>
                <w:rStyle w:val="CodeChar"/>
              </w:rPr>
              <w:t xml:space="preserve">frontend/</w:t>
            </w:r>
          </w:p>
        </w:tc>
        <w:tc>
          <w:tcPr>
            <w:tcW w:w="5730" w:type="dxa"/>
          </w:tcPr>
          <w:p>
            <w:pPr/>
            <w:r>
              <w:t xml:space="preserve">Next.js 15 + React 19, Vitest, </w:t>
            </w:r>
            <w:r>
              <w:rPr>
                <w:rStyle w:val="CodeChar"/>
              </w:rPr>
              <w:t xml:space="preserve">Dockerfile</w:t>
            </w:r>
            <w:r>
              <w:t xml:space="preserve"> con salida </w:t>
            </w:r>
            <w:r>
              <w:rPr>
                <w:rStyle w:val="CodeChar"/>
              </w:rPr>
              <w:t xml:space="preserve">standalone</w:t>
            </w:r>
          </w:p>
        </w:tc>
      </w:tr>
      <w:tr>
        <w:tc>
          <w:tcPr>
            <w:tcW w:w="3629" w:type="dxa"/>
          </w:tcPr>
          <w:p>
            <w:pPr/>
            <w:r>
              <w:rPr>
                <w:rStyle w:val="CodeChar"/>
              </w:rPr>
              <w:t xml:space="preserve">mobile/</w:t>
            </w:r>
          </w:p>
        </w:tc>
        <w:tc>
          <w:tcPr>
            <w:tcW w:w="5730" w:type="dxa"/>
          </w:tcPr>
          <w:p>
            <w:pPr/>
            <w:r>
              <w:t xml:space="preserve">App de meseros en Expo (React Native), Vitest</w:t>
            </w:r>
          </w:p>
        </w:tc>
      </w:tr>
      <w:tr>
        <w:tc>
          <w:tcPr>
            <w:tcW w:w="3629" w:type="dxa"/>
          </w:tcPr>
          <w:p>
            <w:pPr/>
            <w:r>
              <w:rPr>
                <w:rStyle w:val="CodeChar"/>
              </w:rPr>
              <w:t xml:space="preserve">infra/terraform/</w:t>
            </w:r>
          </w:p>
        </w:tc>
        <w:tc>
          <w:tcPr>
            <w:tcW w:w="5730" w:type="dxa"/>
          </w:tcPr>
          <w:p>
            <w:pPr/>
            <w:r>
              <w:t xml:space="preserve">Módulos </w:t>
            </w:r>
            <w:r>
              <w:rPr>
                <w:rStyle w:val="CodeChar"/>
              </w:rPr>
              <w:t xml:space="preserve">azure-ci</w:t>
            </w:r>
            <w:r>
              <w:t xml:space="preserve">, </w:t>
            </w:r>
            <w:r>
              <w:rPr>
                <w:rStyle w:val="CodeChar"/>
              </w:rPr>
              <w:t xml:space="preserve">azure-backend</w:t>
            </w:r>
            <w:r>
              <w:t xml:space="preserve"> y </w:t>
            </w:r>
            <w:r>
              <w:rPr>
                <w:rStyle w:val="CodeChar"/>
              </w:rPr>
              <w:t xml:space="preserve">azure-frontend</w:t>
            </w:r>
          </w:p>
        </w:tc>
      </w:tr>
      <w:tr>
        <w:tc>
          <w:tcPr>
            <w:tcW w:w="3629" w:type="dxa"/>
          </w:tcPr>
          <w:p>
            <w:pPr/>
            <w:r>
              <w:rPr>
                <w:rStyle w:val="CodeChar"/>
              </w:rPr>
              <w:t xml:space="preserve">infra/jenkins/</w:t>
            </w:r>
          </w:p>
        </w:tc>
        <w:tc>
          <w:tcPr>
            <w:tcW w:w="5730" w:type="dxa"/>
          </w:tcPr>
          <w:p>
            <w:pPr/>
            <w:r>
              <w:t xml:space="preserve">Imagen, plugins, configuración como código (CasC) y aprovisionamiento de Jenkins</w:t>
            </w:r>
          </w:p>
        </w:tc>
      </w:tr>
      <w:tr>
        <w:tc>
          <w:tcPr>
            <w:tcW w:w="3629" w:type="dxa"/>
          </w:tcPr>
          <w:p>
            <w:pPr/>
            <w:r>
              <w:rPr>
                <w:rStyle w:val="CodeChar"/>
              </w:rPr>
              <w:t xml:space="preserve">Jenkinsfile</w:t>
            </w:r>
          </w:p>
        </w:tc>
        <w:tc>
          <w:tcPr>
            <w:tcW w:w="5730" w:type="dxa"/>
          </w:tcPr>
          <w:p>
            <w:pPr/>
            <w:r>
              <w:t xml:space="preserve">Pipeline de seis etapas</w:t>
            </w:r>
          </w:p>
        </w:tc>
      </w:tr>
      <w:tr>
        <w:tc>
          <w:tcPr>
            <w:tcW w:w="3629" w:type="dxa"/>
          </w:tcPr>
          <w:p>
            <w:pPr/>
            <w:r>
              <w:rPr>
                <w:rStyle w:val="CodeChar"/>
              </w:rPr>
              <w:t xml:space="preserve">.github/workflows/ci.yml</w:t>
            </w:r>
          </w:p>
        </w:tc>
        <w:tc>
          <w:tcPr>
            <w:tcW w:w="5730" w:type="dxa"/>
          </w:tcPr>
          <w:p>
            <w:pPr/>
            <w:r>
              <w:t xml:space="preserve">CI de GitHub Actions, en paralelo hasta CAL-90</w:t>
            </w:r>
          </w:p>
        </w:tc>
      </w:tr>
      <w:tr>
        <w:tc>
          <w:tcPr>
            <w:tcW w:w="3629" w:type="dxa"/>
          </w:tcPr>
          <w:p>
            <w:pPr/>
            <w:r>
              <w:rPr>
                <w:rStyle w:val="CodeChar"/>
              </w:rPr>
              <w:t xml:space="preserve">scripts/</w:t>
            </w:r>
          </w:p>
        </w:tc>
        <w:tc>
          <w:tcPr>
            <w:tcW w:w="5730" w:type="dxa"/>
          </w:tcPr>
          <w:p>
            <w:pPr/>
            <w:r>
              <w:t xml:space="preserve">Base de datos, verificación de RLS, escaneo de seguridad, despliegue y energía de Azure</w:t>
            </w:r>
          </w:p>
        </w:tc>
      </w:tr>
      <w:tr>
        <w:tc>
          <w:tcPr>
            <w:tcW w:w="3629" w:type="dxa"/>
          </w:tcPr>
          <w:p>
            <w:pPr/>
            <w:r>
              <w:rPr>
                <w:rStyle w:val="CodeChar"/>
              </w:rPr>
              <w:t xml:space="preserve">docs/</w:t>
            </w:r>
          </w:p>
        </w:tc>
        <w:tc>
          <w:tcPr>
            <w:tcW w:w="5730" w:type="dxa"/>
          </w:tcPr>
          <w:p>
            <w:pPr/>
            <w:r>
              <w:t xml:space="preserve">Decisiones técnicas por issue y evidencia de pruebas (</w:t>
            </w:r>
            <w:r>
              <w:rPr>
                <w:rStyle w:val="CodeChar"/>
              </w:rPr>
              <w:t xml:space="preserve">docs/pruebas/</w:t>
            </w:r>
            <w:r>
              <w:t xml:space="preserve">)</w:t>
            </w:r>
          </w:p>
        </w:tc>
      </w:tr>
      <w:tr>
        <w:tc>
          <w:tcPr>
            <w:tcW w:w="3629" w:type="dxa"/>
          </w:tcPr>
          <w:p>
            <w:pPr/>
            <w:r>
              <w:rPr>
                <w:rStyle w:val="CodeChar"/>
              </w:rPr>
              <w:t xml:space="preserve">workflow/</w:t>
            </w:r>
          </w:p>
        </w:tc>
        <w:tc>
          <w:tcPr>
            <w:tcW w:w="5730" w:type="dxa"/>
          </w:tcPr>
          <w:p>
            <w:pPr/>
            <w:r>
              <w:t xml:space="preserve">Flujo por etapas, roadmap, decisiones y estado del proceso</w:t>
            </w:r>
          </w:p>
        </w:tc>
      </w:tr>
      <w:tr>
        <w:tc>
          <w:tcPr>
            <w:tcW w:w="3629" w:type="dxa"/>
          </w:tcPr>
          <w:p>
            <w:pPr/>
            <w:r>
              <w:rPr>
                <w:rStyle w:val="CodeChar"/>
              </w:rPr>
              <w:t xml:space="preserve">AGENTS.md</w:t>
            </w:r>
          </w:p>
        </w:tc>
        <w:tc>
          <w:tcPr>
            <w:tcW w:w="5730" w:type="dxa"/>
          </w:tcPr>
          <w:p>
            <w:pPr/>
            <w:r>
              <w:t xml:space="preserve">Invariantes, convenciones, puertas de calidad y Definition of Done</w:t>
            </w:r>
          </w:p>
        </w:tc>
      </w:tr>
    </w:tbl>
    <w:p>
      <w:pPr/>
      <w:r>
        <w:t xml:space="preserve">Para levantarlo en local: </w:t>
      </w:r>
      <w:r>
        <w:rPr>
          <w:rStyle w:val="CodeChar"/>
        </w:rPr>
        <w:t xml:space="preserve">docker compose up</w:t>
      </w:r>
      <w:r>
        <w:t xml:space="preserve"> arranca PostgreSQL y el backend (o </w:t>
      </w:r>
      <w:r>
        <w:rPr>
          <w:rStyle w:val="CodeChar"/>
        </w:rPr>
        <w:t xml:space="preserve">scripts/run-dev.ps1</w:t>
      </w:r>
      <w:r>
        <w:t xml:space="preserve"> sin contenedor para la API), y </w:t>
      </w:r>
      <w:r>
        <w:rPr>
          <w:rStyle w:val="CodeChar"/>
        </w:rPr>
        <w:t xml:space="preserve">pnpm dev</w:t>
      </w:r>
      <w:r>
        <w:t xml:space="preserve"> en </w:t>
      </w:r>
      <w:r>
        <w:rPr>
          <w:rStyle w:val="CodeChar"/>
        </w:rPr>
        <w:t xml:space="preserve">frontend/</w:t>
      </w:r>
      <w:r>
        <w:t xml:space="preserve"> sirve la interfaz; el </w:t>
      </w:r>
      <w:r>
        <w:rPr>
          <w:rStyle w:val="CodeChar"/>
        </w:rPr>
        <w:t xml:space="preserve">README.md</w:t>
      </w:r>
      <w:r>
        <w:t xml:space="preserve"> describe las variables, los perfiles y la base externa para pruebas.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hyperlink" Target="https://github.com/LudwinGarcia1/callejon9-saas" TargetMode="External"/><Relationship Id="rId101" Type="http://schemas.openxmlformats.org/officeDocument/2006/relationships/image" Target="media/cover1.png"/><Relationship Id="rId102" Type="http://schemas.openxmlformats.org/officeDocument/2006/relationships/image" Target="media/cover2.emf"/><Relationship Id="rId103" Type="http://schemas.openxmlformats.org/officeDocument/2006/relationships/image" Target="media/cover3.emf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Plan DevOps y repositorio inicial — RestoHub</dc:title>
  <dc:description>Claude Docs node/fb9ca0db-a705@16 docx-w7</dc:description>
  <cp:revision>16</cp:revision>
</cp:coreProperties>
</file>