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64748B"/>
          <w:sz w:val="24"/>
        </w:rPr>
        <w:t>UNIVERSIDAD TECNOLÓGICA DEL VALLE DE TOLUCA</w:t>
        <w:br/>
      </w:r>
      <w:r>
        <w:rPr>
          <w:rFonts w:ascii="Calibri" w:hAnsi="Calibri"/>
          <w:color w:val="64748B"/>
          <w:sz w:val="20"/>
        </w:rPr>
        <w:t>DIRECCIÓN DE CARRERA DE TECNOLOGÍAS DE LA INFORMACIÓN Y COMUNICACIÓN</w:t>
        <w:br/>
        <w:t>INGENIERÍA EN DESARROLLO Y GESTIÓN DE SOFTWARE</w:t>
      </w:r>
    </w:p>
    <w:p>
      <w:pPr>
        <w:spacing w:before="320" w:after="80"/>
      </w:pPr>
      <w:r>
        <w:rPr>
          <w:rFonts w:ascii="Calibri" w:hAnsi="Calibri"/>
          <w:b/>
          <w:color w:val="5C4EE5"/>
          <w:sz w:val="52"/>
        </w:rPr>
        <w:t>Reporte de Evidencias de Práctica de Laboratorio</w:t>
      </w:r>
    </w:p>
    <w:p>
      <w:pPr>
        <w:spacing w:before="0" w:after="280"/>
      </w:pPr>
      <w:r>
        <w:rPr>
          <w:rFonts w:ascii="Calibri" w:hAnsi="Calibri"/>
          <w:color w:val="475569"/>
          <w:sz w:val="26"/>
        </w:rPr>
        <w:t>Tercer Programa de Terraform: Despliegue Automatizado de Entorno QA en Microsoft Azure (Web App Linux + Application Insights + Log Analytics)</w:t>
      </w:r>
    </w:p>
    <w:tbl>
      <w:tblPr>
        <w:tblW w:type="auto" w:w="0"/>
        <w:jc w:val="center"/>
        <w:tblLook w:firstColumn="1" w:firstRow="1" w:lastColumn="0" w:lastRow="0" w:noHBand="0" w:noVBand="1" w:val="04A0"/>
      </w:tblPr>
      <w:tblGrid>
        <w:gridCol w:w="4680"/>
        <w:gridCol w:w="4680"/>
      </w:tblGrid>
      <w:tr>
        <w:tc>
          <w:tcPr>
            <w:tcW w:type="dxa" w:w="2880"/>
            <w:shd w:fill="F8FAFC"/>
            <w:tcMar>
              <w:top w:w="60" w:type="dxa"/>
              <w:bottom w:w="60" w:type="dxa"/>
              <w:left w:w="100" w:type="dxa"/>
              <w:right w:w="100" w:type="dxa"/>
            </w:tcMar>
          </w:tcPr>
          <w:p>
            <w:pPr>
              <w:spacing w:after="0"/>
            </w:pPr>
            <w:r>
              <w:rPr>
                <w:rFonts w:ascii="Calibri" w:hAnsi="Calibri"/>
                <w:b/>
                <w:color w:val="1E293B"/>
                <w:sz w:val="20"/>
              </w:rPr>
              <w:t>Alumno:</w:t>
            </w:r>
          </w:p>
        </w:tc>
        <w:tc>
          <w:tcPr>
            <w:tcW w:type="dxa" w:w="6480"/>
            <w:shd w:fill="F8FAFC"/>
            <w:tcMar>
              <w:top w:w="60" w:type="dxa"/>
              <w:bottom w:w="60" w:type="dxa"/>
              <w:left w:w="100" w:type="dxa"/>
              <w:right w:w="100" w:type="dxa"/>
            </w:tcMar>
          </w:tcPr>
          <w:p>
            <w:pPr>
              <w:spacing w:after="0"/>
            </w:pPr>
            <w:r>
              <w:rPr>
                <w:rFonts w:ascii="Calibri" w:hAnsi="Calibri"/>
                <w:color w:val="334155"/>
                <w:sz w:val="20"/>
              </w:rPr>
              <w:t>Ludwin García Gaytán (Matrícula: 222310777)</w:t>
            </w:r>
          </w:p>
        </w:tc>
      </w:tr>
      <w:tr>
        <w:tc>
          <w:tcPr>
            <w:tcW w:type="dxa" w:w="2880"/>
            <w:shd w:fill="F8FAFC"/>
            <w:tcMar>
              <w:top w:w="60" w:type="dxa"/>
              <w:bottom w:w="60" w:type="dxa"/>
              <w:left w:w="100" w:type="dxa"/>
              <w:right w:w="100" w:type="dxa"/>
            </w:tcMar>
          </w:tcPr>
          <w:p>
            <w:pPr>
              <w:spacing w:after="0"/>
            </w:pPr>
            <w:r>
              <w:rPr>
                <w:rFonts w:ascii="Calibri" w:hAnsi="Calibri"/>
                <w:b/>
                <w:color w:val="1E293B"/>
                <w:sz w:val="20"/>
              </w:rPr>
              <w:t>Docente:</w:t>
            </w:r>
          </w:p>
        </w:tc>
        <w:tc>
          <w:tcPr>
            <w:tcW w:type="dxa" w:w="6480"/>
            <w:shd w:fill="F8FAFC"/>
            <w:tcMar>
              <w:top w:w="60" w:type="dxa"/>
              <w:bottom w:w="60" w:type="dxa"/>
              <w:left w:w="100" w:type="dxa"/>
              <w:right w:w="100" w:type="dxa"/>
            </w:tcMar>
          </w:tcPr>
          <w:p>
            <w:pPr>
              <w:spacing w:after="0"/>
            </w:pPr>
            <w:r>
              <w:rPr>
                <w:rFonts w:ascii="Calibri" w:hAnsi="Calibri"/>
                <w:color w:val="334155"/>
                <w:sz w:val="20"/>
              </w:rPr>
              <w:t>M.I. Jorge Almeida Montiel</w:t>
            </w:r>
          </w:p>
        </w:tc>
      </w:tr>
      <w:tr>
        <w:tc>
          <w:tcPr>
            <w:tcW w:type="dxa" w:w="2880"/>
            <w:shd w:fill="F8FAFC"/>
            <w:tcMar>
              <w:top w:w="60" w:type="dxa"/>
              <w:bottom w:w="60" w:type="dxa"/>
              <w:left w:w="100" w:type="dxa"/>
              <w:right w:w="100" w:type="dxa"/>
            </w:tcMar>
          </w:tcPr>
          <w:p>
            <w:pPr>
              <w:spacing w:after="0"/>
            </w:pPr>
            <w:r>
              <w:rPr>
                <w:rFonts w:ascii="Calibri" w:hAnsi="Calibri"/>
                <w:b/>
                <w:color w:val="1E293B"/>
                <w:sz w:val="20"/>
              </w:rPr>
              <w:t>Fecha de Realización:</w:t>
            </w:r>
          </w:p>
        </w:tc>
        <w:tc>
          <w:tcPr>
            <w:tcW w:type="dxa" w:w="6480"/>
            <w:shd w:fill="F8FAFC"/>
            <w:tcMar>
              <w:top w:w="60" w:type="dxa"/>
              <w:bottom w:w="60" w:type="dxa"/>
              <w:left w:w="100" w:type="dxa"/>
              <w:right w:w="100" w:type="dxa"/>
            </w:tcMar>
          </w:tcPr>
          <w:p>
            <w:pPr>
              <w:spacing w:after="0"/>
            </w:pPr>
            <w:r>
              <w:rPr>
                <w:rFonts w:ascii="Calibri" w:hAnsi="Calibri"/>
                <w:color w:val="334155"/>
                <w:sz w:val="20"/>
              </w:rPr>
              <w:t>Octubre de 2026</w:t>
            </w:r>
          </w:p>
        </w:tc>
      </w:tr>
      <w:tr>
        <w:tc>
          <w:tcPr>
            <w:tcW w:type="dxa" w:w="2880"/>
            <w:shd w:fill="F8FAFC"/>
            <w:tcMar>
              <w:top w:w="60" w:type="dxa"/>
              <w:bottom w:w="60" w:type="dxa"/>
              <w:left w:w="100" w:type="dxa"/>
              <w:right w:w="100" w:type="dxa"/>
            </w:tcMar>
          </w:tcPr>
          <w:p>
            <w:pPr>
              <w:spacing w:after="0"/>
            </w:pPr>
            <w:r>
              <w:rPr>
                <w:rFonts w:ascii="Calibri" w:hAnsi="Calibri"/>
                <w:b/>
                <w:color w:val="1E293B"/>
                <w:sz w:val="20"/>
              </w:rPr>
              <w:t>Repositorio Base:</w:t>
            </w:r>
          </w:p>
        </w:tc>
        <w:tc>
          <w:tcPr>
            <w:tcW w:type="dxa" w:w="6480"/>
            <w:shd w:fill="F8FAFC"/>
            <w:tcMar>
              <w:top w:w="60" w:type="dxa"/>
              <w:bottom w:w="60" w:type="dxa"/>
              <w:left w:w="100" w:type="dxa"/>
              <w:right w:w="100" w:type="dxa"/>
            </w:tcMar>
          </w:tcPr>
          <w:p>
            <w:pPr>
              <w:spacing w:after="0"/>
            </w:pPr>
            <w:r>
              <w:rPr>
                <w:rFonts w:ascii="Calibri" w:hAnsi="Calibri"/>
                <w:color w:val="334155"/>
                <w:sz w:val="20"/>
              </w:rPr>
              <w:t>https://github.com/jorgealmeidamontiel/terraform-laboratories/tree/main/tercer-programa</w:t>
            </w:r>
          </w:p>
        </w:tc>
      </w:tr>
      <w:tr>
        <w:tc>
          <w:tcPr>
            <w:tcW w:type="dxa" w:w="2880"/>
            <w:shd w:fill="F8FAFC"/>
            <w:tcMar>
              <w:top w:w="60" w:type="dxa"/>
              <w:bottom w:w="60" w:type="dxa"/>
              <w:left w:w="100" w:type="dxa"/>
              <w:right w:w="100" w:type="dxa"/>
            </w:tcMar>
          </w:tcPr>
          <w:p>
            <w:pPr>
              <w:spacing w:after="0"/>
            </w:pPr>
            <w:r>
              <w:rPr>
                <w:rFonts w:ascii="Calibri" w:hAnsi="Calibri"/>
                <w:b/>
                <w:color w:val="1E293B"/>
                <w:sz w:val="20"/>
              </w:rPr>
              <w:t>Repositorio de Solución:</w:t>
            </w:r>
          </w:p>
        </w:tc>
        <w:tc>
          <w:tcPr>
            <w:tcW w:type="dxa" w:w="6480"/>
            <w:shd w:fill="F8FAFC"/>
            <w:tcMar>
              <w:top w:w="60" w:type="dxa"/>
              <w:bottom w:w="60" w:type="dxa"/>
              <w:left w:w="100" w:type="dxa"/>
              <w:right w:w="100" w:type="dxa"/>
            </w:tcMar>
          </w:tcPr>
          <w:p>
            <w:pPr>
              <w:spacing w:after="0"/>
            </w:pPr>
            <w:r>
              <w:rPr>
                <w:rFonts w:ascii="Calibri" w:hAnsi="Calibri"/>
                <w:color w:val="334155"/>
                <w:sz w:val="20"/>
              </w:rPr>
              <w:t>https://github.com/LudwinGarcia1/terraform-tercer-programa</w:t>
            </w:r>
          </w:p>
        </w:tc>
      </w:tr>
    </w:tbl>
    <w:p>
      <w:pPr>
        <w:spacing w:after="160"/>
      </w:pPr>
    </w:p>
    <w:p>
      <w:pPr>
        <w:pStyle w:val="Heading1"/>
        <w:spacing w:before="320" w:after="120"/>
      </w:pPr>
      <w:r>
        <w:rPr>
          <w:rFonts w:ascii="Calibri" w:hAnsi="Calibri"/>
          <w:b/>
          <w:color w:val="5C4EE5"/>
          <w:sz w:val="32"/>
        </w:rPr>
        <w:t>Contenido del Reporte</w:t>
      </w:r>
    </w:p>
    <w:p>
      <w:pPr>
        <w:spacing w:before="0" w:after="40"/>
      </w:pPr>
      <w:r>
        <w:rPr>
          <w:rFonts w:ascii="Calibri" w:hAnsi="Calibri"/>
          <w:color w:val="475569"/>
          <w:sz w:val="20"/>
        </w:rPr>
        <w:t>1. Objetivo General y Competencias a Desarrollar</w:t>
      </w:r>
    </w:p>
    <w:p>
      <w:pPr>
        <w:spacing w:before="0" w:after="40"/>
      </w:pPr>
      <w:r>
        <w:rPr>
          <w:rFonts w:ascii="Calibri" w:hAnsi="Calibri"/>
          <w:color w:val="475569"/>
          <w:sz w:val="20"/>
        </w:rPr>
        <w:t>2. Entorno Tecnológico y Verificación de Herramientas</w:t>
      </w:r>
    </w:p>
    <w:p>
      <w:pPr>
        <w:spacing w:before="0" w:after="40"/>
      </w:pPr>
      <w:r>
        <w:rPr>
          <w:rFonts w:ascii="Calibri" w:hAnsi="Calibri"/>
          <w:color w:val="475569"/>
          <w:sz w:val="20"/>
        </w:rPr>
        <w:t>3. Autenticación en Microsoft Azure y Consideraciones de Gobernanza</w:t>
      </w:r>
    </w:p>
    <w:p>
      <w:pPr>
        <w:spacing w:before="0" w:after="40"/>
      </w:pPr>
      <w:r>
        <w:rPr>
          <w:rFonts w:ascii="Calibri" w:hAnsi="Calibri"/>
          <w:color w:val="475569"/>
          <w:sz w:val="20"/>
        </w:rPr>
        <w:t>4. Arquitectura de Nube y Nomenclatura Cloud Adoption Framework (CAF)</w:t>
      </w:r>
    </w:p>
    <w:p>
      <w:pPr>
        <w:spacing w:before="0" w:after="40"/>
      </w:pPr>
      <w:r>
        <w:rPr>
          <w:rFonts w:ascii="Calibri" w:hAnsi="Calibri"/>
          <w:color w:val="475569"/>
          <w:sz w:val="20"/>
        </w:rPr>
        <w:t>5. Estructura y Código Fuente Modular en HCL</w:t>
      </w:r>
    </w:p>
    <w:p>
      <w:pPr>
        <w:spacing w:before="0" w:after="40"/>
      </w:pPr>
      <w:r>
        <w:rPr>
          <w:rFonts w:ascii="Calibri" w:hAnsi="Calibri"/>
          <w:color w:val="475569"/>
          <w:sz w:val="20"/>
        </w:rPr>
        <w:t>6. Desarrollo Paso a Paso del Ciclo de Vida de Terraform</w:t>
      </w:r>
    </w:p>
    <w:p>
      <w:pPr>
        <w:spacing w:before="0" w:after="40"/>
      </w:pPr>
      <w:r>
        <w:rPr>
          <w:rFonts w:ascii="Calibri" w:hAnsi="Calibri"/>
          <w:color w:val="475569"/>
          <w:sz w:val="20"/>
        </w:rPr>
        <w:t xml:space="preserve">   6.1 Registro de Resource Providers en Azure CLI</w:t>
      </w:r>
    </w:p>
    <w:p>
      <w:pPr>
        <w:spacing w:before="0" w:after="40"/>
      </w:pPr>
      <w:r>
        <w:rPr>
          <w:rFonts w:ascii="Calibri" w:hAnsi="Calibri"/>
          <w:color w:val="475569"/>
          <w:sz w:val="20"/>
        </w:rPr>
        <w:t xml:space="preserve">   6.2 Inicialización de Terraform (terraform init)</w:t>
      </w:r>
    </w:p>
    <w:p>
      <w:pPr>
        <w:spacing w:before="0" w:after="40"/>
      </w:pPr>
      <w:r>
        <w:rPr>
          <w:rFonts w:ascii="Calibri" w:hAnsi="Calibri"/>
          <w:color w:val="475569"/>
          <w:sz w:val="20"/>
        </w:rPr>
        <w:t xml:space="preserve">   6.3 Validación Sintáctica y Formato (terraform fmt / validate)</w:t>
      </w:r>
    </w:p>
    <w:p>
      <w:pPr>
        <w:spacing w:before="0" w:after="40"/>
      </w:pPr>
      <w:r>
        <w:rPr>
          <w:rFonts w:ascii="Calibri" w:hAnsi="Calibri"/>
          <w:color w:val="475569"/>
          <w:sz w:val="20"/>
        </w:rPr>
        <w:t xml:space="preserve">   6.4 Planificación de la Infraestructura (terraform plan)</w:t>
      </w:r>
    </w:p>
    <w:p>
      <w:pPr>
        <w:spacing w:before="0" w:after="40"/>
      </w:pPr>
      <w:r>
        <w:rPr>
          <w:rFonts w:ascii="Calibri" w:hAnsi="Calibri"/>
          <w:color w:val="475569"/>
          <w:sz w:val="20"/>
        </w:rPr>
        <w:t xml:space="preserve">   6.5 Aprovisionamiento en Nube (terraform apply)</w:t>
      </w:r>
    </w:p>
    <w:p>
      <w:pPr>
        <w:spacing w:before="0" w:after="40"/>
      </w:pPr>
      <w:r>
        <w:rPr>
          <w:rFonts w:ascii="Calibri" w:hAnsi="Calibri"/>
          <w:color w:val="475569"/>
          <w:sz w:val="20"/>
        </w:rPr>
        <w:t xml:space="preserve">   6.6 Auditoría y Verificación de Recursos en Azure</w:t>
      </w:r>
    </w:p>
    <w:p>
      <w:pPr>
        <w:spacing w:before="0" w:after="40"/>
      </w:pPr>
      <w:r>
        <w:rPr>
          <w:rFonts w:ascii="Calibri" w:hAnsi="Calibri"/>
          <w:color w:val="475569"/>
          <w:sz w:val="20"/>
        </w:rPr>
        <w:t xml:space="preserve">   6.7 Comprobación Funcional HTTP del Contenedor Web</w:t>
      </w:r>
    </w:p>
    <w:p>
      <w:pPr>
        <w:spacing w:before="0" w:after="40"/>
      </w:pPr>
      <w:r>
        <w:rPr>
          <w:rFonts w:ascii="Calibri" w:hAnsi="Calibri"/>
          <w:color w:val="475569"/>
          <w:sz w:val="20"/>
        </w:rPr>
        <w:t xml:space="preserve">   6.8 Gestión del Ciclo de Vida y Plan de Destrucción (terraform plan -destroy)</w:t>
      </w:r>
    </w:p>
    <w:p>
      <w:pPr>
        <w:spacing w:before="0" w:after="40"/>
      </w:pPr>
      <w:r>
        <w:rPr>
          <w:rFonts w:ascii="Calibri" w:hAnsi="Calibri"/>
          <w:color w:val="475569"/>
          <w:sz w:val="20"/>
        </w:rPr>
        <w:t>7. Control de Versiones en Git y Repositorio en GitHub</w:t>
      </w:r>
    </w:p>
    <w:p>
      <w:pPr>
        <w:spacing w:before="0" w:after="40"/>
      </w:pPr>
      <w:r>
        <w:rPr>
          <w:rFonts w:ascii="Calibri" w:hAnsi="Calibri"/>
          <w:color w:val="475569"/>
          <w:sz w:val="20"/>
        </w:rPr>
        <w:t>8. Matriz de Resultados y Validación de Entregables</w:t>
      </w:r>
    </w:p>
    <w:p>
      <w:pPr>
        <w:spacing w:before="0" w:after="40"/>
      </w:pPr>
      <w:r>
        <w:rPr>
          <w:rFonts w:ascii="Calibri" w:hAnsi="Calibri"/>
          <w:color w:val="475569"/>
          <w:sz w:val="20"/>
        </w:rPr>
        <w:t>9. Conclusiones y Aprendizajes Clave</w:t>
      </w:r>
    </w:p>
    <w:p>
      <w:pPr>
        <w:spacing w:before="0" w:after="40"/>
      </w:pPr>
      <w:r>
        <w:rPr>
          <w:rFonts w:ascii="Calibri" w:hAnsi="Calibri"/>
          <w:color w:val="475569"/>
          <w:sz w:val="20"/>
        </w:rPr>
        <w:t>10. Referencias Bibliográficas y Documentación Oficial</w:t>
      </w:r>
    </w:p>
    <w:p>
      <w:pPr>
        <w:pStyle w:val="Heading1"/>
        <w:spacing w:before="320" w:after="120"/>
      </w:pPr>
      <w:r>
        <w:rPr>
          <w:rFonts w:ascii="Calibri" w:hAnsi="Calibri"/>
          <w:b/>
          <w:color w:val="5C4EE5"/>
          <w:sz w:val="32"/>
        </w:rPr>
        <w:t>1. Objetivo General y Competencias a Desarrollar</w:t>
      </w:r>
    </w:p>
    <w:p>
      <w:pPr>
        <w:spacing w:before="0" w:after="120" w:line="276" w:lineRule="auto"/>
      </w:pPr>
      <w:r>
        <w:rPr>
          <w:rFonts w:ascii="Calibri" w:hAnsi="Calibri"/>
          <w:color w:val="334155"/>
          <w:sz w:val="22"/>
        </w:rPr>
        <w:t>El objetivo primordial de esta práctica de laboratorio es diseñar, modularizar, desplegar y validar un entorno completo de pruebas de calidad (QA - Quality Assurance) en la plataforma de nube Microsoft Azure mediante Infraestructura como Código (IaC) con HashiCorp Terraform.</w:t>
      </w:r>
    </w:p>
    <w:p>
      <w:pPr>
        <w:spacing w:before="0" w:after="120" w:line="276" w:lineRule="auto"/>
      </w:pPr>
      <w:r>
        <w:rPr>
          <w:rFonts w:ascii="Calibri" w:hAnsi="Calibri"/>
          <w:color w:val="334155"/>
          <w:sz w:val="22"/>
        </w:rPr>
        <w:t>A partir del código base proporcionado en el repositorio oficial del docente (jorgealmeidamontiel/terraform-laboratories, subdirectorio tercer-programa), el alumno desarrolla las siguientes competencias técnicas:</w:t>
      </w:r>
    </w:p>
    <w:p>
      <w:pPr>
        <w:spacing w:before="0" w:after="120" w:line="276" w:lineRule="auto"/>
      </w:pPr>
      <w:r>
        <w:rPr>
          <w:rFonts w:ascii="Calibri" w:hAnsi="Calibri"/>
          <w:color w:val="334155"/>
          <w:sz w:val="22"/>
        </w:rPr>
        <w:t>• Modularización profesional de código HCL: Separación de responsabilidades entre declaración de proveedores (providers.tf), variables de entrada (variables.tf), valores locales y lógica de nombres (locals.tf), definición de recursos (main.tf) y valores de salida (outputs.tf).</w:t>
      </w:r>
    </w:p>
    <w:p>
      <w:pPr>
        <w:spacing w:before="0" w:after="120" w:line="276" w:lineRule="auto"/>
      </w:pPr>
      <w:r>
        <w:rPr>
          <w:rFonts w:ascii="Calibri" w:hAnsi="Calibri"/>
          <w:color w:val="334155"/>
          <w:sz w:val="22"/>
        </w:rPr>
        <w:t>• Adopción de estándares de gobernanza Cloud Adoption Framework (CAF): Implementación estricta de prefijos oficiales de Microsoft (rg-, log-, appi-, asp-, app-) y taxonomía corporativa de etiquetas (tags).</w:t>
      </w:r>
    </w:p>
    <w:p>
      <w:pPr>
        <w:spacing w:before="0" w:after="120" w:line="276" w:lineRule="auto"/>
      </w:pPr>
      <w:r>
        <w:rPr>
          <w:rFonts w:ascii="Calibri" w:hAnsi="Calibri"/>
          <w:color w:val="334155"/>
          <w:sz w:val="22"/>
        </w:rPr>
        <w:t>• Gestión de restricciones de políticas de suscripción (Azure Policy): Diagnóstico y resolución de denegaciones de política regional (sys.regionrestriction) en entornos educativos Azure for Students.</w:t>
      </w:r>
    </w:p>
    <w:p>
      <w:pPr>
        <w:spacing w:before="0" w:after="120" w:line="276" w:lineRule="auto"/>
      </w:pPr>
      <w:r>
        <w:rPr>
          <w:rFonts w:ascii="Calibri" w:hAnsi="Calibri"/>
          <w:color w:val="334155"/>
          <w:sz w:val="22"/>
        </w:rPr>
        <w:t>• Integración de observabilidad y cómputo serverless: Conexión nativa entre Azure Linux Web App (Node.js 24 LTS), Azure Application Insights y Azure Log Analytics Workspace.</w:t>
      </w:r>
    </w:p>
    <w:p>
      <w:pPr>
        <w:spacing w:before="0" w:after="120" w:line="276" w:lineRule="auto"/>
      </w:pPr>
      <w:r>
        <w:rPr>
          <w:rFonts w:ascii="Calibri" w:hAnsi="Calibri"/>
          <w:color w:val="334155"/>
          <w:sz w:val="22"/>
        </w:rPr>
        <w:t>• Gestión rigurosa del ciclo de vida con Terraform CLI y control de versiones con Git/GitHub bajo estándares Conventional Commits.</w:t>
      </w:r>
    </w:p>
    <w:p>
      <w:pPr>
        <w:pStyle w:val="Heading1"/>
        <w:spacing w:before="320" w:after="120"/>
      </w:pPr>
      <w:r>
        <w:rPr>
          <w:rFonts w:ascii="Calibri" w:hAnsi="Calibri"/>
          <w:b/>
          <w:color w:val="5C4EE5"/>
          <w:sz w:val="32"/>
        </w:rPr>
        <w:t>2. Entorno Tecnológico y Verificación de Herramientas</w:t>
      </w:r>
    </w:p>
    <w:p>
      <w:pPr>
        <w:spacing w:before="0" w:after="120" w:line="276" w:lineRule="auto"/>
      </w:pPr>
      <w:r>
        <w:rPr>
          <w:rFonts w:ascii="Calibri" w:hAnsi="Calibri"/>
          <w:color w:val="334155"/>
          <w:sz w:val="22"/>
        </w:rPr>
        <w:t>Para la consecución de la práctica se preparó una estación de trabajo basada en Windows 11 con las versiones oficiales y actualizadas de las herramientas de línea de comandos requeridas:</w:t>
      </w:r>
    </w:p>
    <w:tbl>
      <w:tblPr>
        <w:tblW w:type="auto" w:w="0"/>
        <w:jc w:val="center"/>
        <w:tblLook w:firstColumn="1" w:firstRow="1" w:lastColumn="0" w:lastRow="0" w:noHBand="0" w:noVBand="1" w:val="04A0"/>
      </w:tblPr>
      <w:tblGrid>
        <w:gridCol w:w="3120"/>
        <w:gridCol w:w="3120"/>
        <w:gridCol w:w="3120"/>
      </w:tblGrid>
      <w:tr>
        <w:tc>
          <w:tcPr>
            <w:tcW w:type="dxa" w:w="3120"/>
            <w:shd w:fill="5C4EE5"/>
          </w:tcPr>
          <w:p>
            <w:pPr>
              <w:spacing w:after="0"/>
            </w:pPr>
            <w:r>
              <w:rPr>
                <w:rFonts w:ascii="Calibri" w:hAnsi="Calibri"/>
                <w:b/>
                <w:color w:val="FFFFFF"/>
                <w:sz w:val="20"/>
              </w:rPr>
              <w:t>Componente</w:t>
            </w:r>
          </w:p>
        </w:tc>
        <w:tc>
          <w:tcPr>
            <w:tcW w:type="dxa" w:w="3120"/>
            <w:shd w:fill="5C4EE5"/>
          </w:tcPr>
          <w:p>
            <w:pPr>
              <w:spacing w:after="0"/>
            </w:pPr>
            <w:r>
              <w:rPr>
                <w:rFonts w:ascii="Calibri" w:hAnsi="Calibri"/>
                <w:b/>
                <w:color w:val="FFFFFF"/>
                <w:sz w:val="20"/>
              </w:rPr>
              <w:t>Versión Instalada</w:t>
            </w:r>
          </w:p>
        </w:tc>
        <w:tc>
          <w:tcPr>
            <w:tcW w:type="dxa" w:w="3120"/>
            <w:shd w:fill="5C4EE5"/>
          </w:tcPr>
          <w:p>
            <w:pPr>
              <w:spacing w:after="0"/>
            </w:pPr>
            <w:r>
              <w:rPr>
                <w:rFonts w:ascii="Calibri" w:hAnsi="Calibri"/>
                <w:b/>
                <w:color w:val="FFFFFF"/>
                <w:sz w:val="20"/>
              </w:rPr>
              <w:t>Función en la Práctica</w:t>
            </w:r>
          </w:p>
        </w:tc>
      </w:tr>
      <w:tr>
        <w:tc>
          <w:tcPr>
            <w:tcW w:type="dxa" w:w="3120"/>
            <w:shd w:fill="F8FAFC"/>
            <w:tcMar>
              <w:top w:w="60" w:type="dxa"/>
              <w:bottom w:w="60" w:type="dxa"/>
              <w:left w:w="100" w:type="dxa"/>
              <w:right w:w="100" w:type="dxa"/>
            </w:tcMar>
          </w:tcPr>
          <w:p>
            <w:pPr>
              <w:spacing w:after="0"/>
            </w:pPr>
            <w:r>
              <w:rPr>
                <w:rFonts w:ascii="Calibri" w:hAnsi="Calibri"/>
                <w:color w:val="334155"/>
                <w:sz w:val="19"/>
              </w:rPr>
              <w:t>Sistema Operativo</w:t>
            </w:r>
          </w:p>
        </w:tc>
        <w:tc>
          <w:tcPr>
            <w:tcW w:type="dxa" w:w="3120"/>
            <w:shd w:fill="F8FAFC"/>
            <w:tcMar>
              <w:top w:w="60" w:type="dxa"/>
              <w:bottom w:w="60" w:type="dxa"/>
              <w:left w:w="100" w:type="dxa"/>
              <w:right w:w="100" w:type="dxa"/>
            </w:tcMar>
          </w:tcPr>
          <w:p>
            <w:pPr>
              <w:spacing w:after="0"/>
            </w:pPr>
            <w:r>
              <w:rPr>
                <w:rFonts w:ascii="Calibri" w:hAnsi="Calibri"/>
                <w:color w:val="334155"/>
                <w:sz w:val="19"/>
              </w:rPr>
              <w:t>Windows 11 Home (x64)</w:t>
            </w:r>
          </w:p>
        </w:tc>
        <w:tc>
          <w:tcPr>
            <w:tcW w:type="dxa" w:w="3120"/>
            <w:shd w:fill="F8FAFC"/>
            <w:tcMar>
              <w:top w:w="60" w:type="dxa"/>
              <w:bottom w:w="60" w:type="dxa"/>
              <w:left w:w="100" w:type="dxa"/>
              <w:right w:w="100" w:type="dxa"/>
            </w:tcMar>
          </w:tcPr>
          <w:p>
            <w:pPr>
              <w:spacing w:after="0"/>
            </w:pPr>
            <w:r>
              <w:rPr>
                <w:rFonts w:ascii="Calibri" w:hAnsi="Calibri"/>
                <w:color w:val="334155"/>
                <w:sz w:val="19"/>
              </w:rPr>
              <w:t>Host anfitrión de ejecución y terminal PowerShell.</w:t>
            </w:r>
          </w:p>
        </w:tc>
      </w:tr>
      <w:tr>
        <w:tc>
          <w:tcPr>
            <w:tcW w:type="dxa" w:w="3120"/>
            <w:shd w:fill="FFFFFF"/>
            <w:tcMar>
              <w:top w:w="60" w:type="dxa"/>
              <w:bottom w:w="60" w:type="dxa"/>
              <w:left w:w="100" w:type="dxa"/>
              <w:right w:w="100" w:type="dxa"/>
            </w:tcMar>
          </w:tcPr>
          <w:p>
            <w:pPr>
              <w:spacing w:after="0"/>
            </w:pPr>
            <w:r>
              <w:rPr>
                <w:rFonts w:ascii="Calibri" w:hAnsi="Calibri"/>
                <w:color w:val="334155"/>
                <w:sz w:val="19"/>
              </w:rPr>
              <w:t>Terraform CLI</w:t>
            </w:r>
          </w:p>
        </w:tc>
        <w:tc>
          <w:tcPr>
            <w:tcW w:type="dxa" w:w="3120"/>
            <w:shd w:fill="FFFFFF"/>
            <w:tcMar>
              <w:top w:w="60" w:type="dxa"/>
              <w:bottom w:w="60" w:type="dxa"/>
              <w:left w:w="100" w:type="dxa"/>
              <w:right w:w="100" w:type="dxa"/>
            </w:tcMar>
          </w:tcPr>
          <w:p>
            <w:pPr>
              <w:spacing w:after="0"/>
            </w:pPr>
            <w:r>
              <w:rPr>
                <w:rFonts w:ascii="Calibri" w:hAnsi="Calibri"/>
                <w:color w:val="334155"/>
                <w:sz w:val="19"/>
              </w:rPr>
              <w:t>v1.16.2 (windows_amd64)</w:t>
            </w:r>
          </w:p>
        </w:tc>
        <w:tc>
          <w:tcPr>
            <w:tcW w:type="dxa" w:w="3120"/>
            <w:shd w:fill="FFFFFF"/>
            <w:tcMar>
              <w:top w:w="60" w:type="dxa"/>
              <w:bottom w:w="60" w:type="dxa"/>
              <w:left w:w="100" w:type="dxa"/>
              <w:right w:w="100" w:type="dxa"/>
            </w:tcMar>
          </w:tcPr>
          <w:p>
            <w:pPr>
              <w:spacing w:after="0"/>
            </w:pPr>
            <w:r>
              <w:rPr>
                <w:rFonts w:ascii="Calibri" w:hAnsi="Calibri"/>
                <w:color w:val="334155"/>
                <w:sz w:val="19"/>
              </w:rPr>
              <w:t>Motor de orquestación de Infraestructura como Código.</w:t>
            </w:r>
          </w:p>
        </w:tc>
      </w:tr>
      <w:tr>
        <w:tc>
          <w:tcPr>
            <w:tcW w:type="dxa" w:w="3120"/>
            <w:shd w:fill="F8FAFC"/>
            <w:tcMar>
              <w:top w:w="60" w:type="dxa"/>
              <w:bottom w:w="60" w:type="dxa"/>
              <w:left w:w="100" w:type="dxa"/>
              <w:right w:w="100" w:type="dxa"/>
            </w:tcMar>
          </w:tcPr>
          <w:p>
            <w:pPr>
              <w:spacing w:after="0"/>
            </w:pPr>
            <w:r>
              <w:rPr>
                <w:rFonts w:ascii="Calibri" w:hAnsi="Calibri"/>
                <w:color w:val="334155"/>
                <w:sz w:val="19"/>
              </w:rPr>
              <w:t>Azure CLI</w:t>
            </w:r>
          </w:p>
        </w:tc>
        <w:tc>
          <w:tcPr>
            <w:tcW w:type="dxa" w:w="3120"/>
            <w:shd w:fill="F8FAFC"/>
            <w:tcMar>
              <w:top w:w="60" w:type="dxa"/>
              <w:bottom w:w="60" w:type="dxa"/>
              <w:left w:w="100" w:type="dxa"/>
              <w:right w:w="100" w:type="dxa"/>
            </w:tcMar>
          </w:tcPr>
          <w:p>
            <w:pPr>
              <w:spacing w:after="0"/>
            </w:pPr>
            <w:r>
              <w:rPr>
                <w:rFonts w:ascii="Calibri" w:hAnsi="Calibri"/>
                <w:color w:val="334155"/>
                <w:sz w:val="19"/>
              </w:rPr>
              <w:t>2.90.0 (msal 1.36.0)</w:t>
            </w:r>
          </w:p>
        </w:tc>
        <w:tc>
          <w:tcPr>
            <w:tcW w:type="dxa" w:w="3120"/>
            <w:shd w:fill="F8FAFC"/>
            <w:tcMar>
              <w:top w:w="60" w:type="dxa"/>
              <w:bottom w:w="60" w:type="dxa"/>
              <w:left w:w="100" w:type="dxa"/>
              <w:right w:w="100" w:type="dxa"/>
            </w:tcMar>
          </w:tcPr>
          <w:p>
            <w:pPr>
              <w:spacing w:after="0"/>
            </w:pPr>
            <w:r>
              <w:rPr>
                <w:rFonts w:ascii="Calibri" w:hAnsi="Calibri"/>
                <w:color w:val="334155"/>
                <w:sz w:val="19"/>
              </w:rPr>
              <w:t>Interfaz oficial para autenticación y consulta en Azure.</w:t>
            </w:r>
          </w:p>
        </w:tc>
      </w:tr>
      <w:tr>
        <w:tc>
          <w:tcPr>
            <w:tcW w:type="dxa" w:w="3120"/>
            <w:shd w:fill="FFFFFF"/>
            <w:tcMar>
              <w:top w:w="60" w:type="dxa"/>
              <w:bottom w:w="60" w:type="dxa"/>
              <w:left w:w="100" w:type="dxa"/>
              <w:right w:w="100" w:type="dxa"/>
            </w:tcMar>
          </w:tcPr>
          <w:p>
            <w:pPr>
              <w:spacing w:after="0"/>
            </w:pPr>
            <w:r>
              <w:rPr>
                <w:rFonts w:ascii="Calibri" w:hAnsi="Calibri"/>
                <w:color w:val="334155"/>
                <w:sz w:val="19"/>
              </w:rPr>
              <w:t>Git CLI</w:t>
            </w:r>
          </w:p>
        </w:tc>
        <w:tc>
          <w:tcPr>
            <w:tcW w:type="dxa" w:w="3120"/>
            <w:shd w:fill="FFFFFF"/>
            <w:tcMar>
              <w:top w:w="60" w:type="dxa"/>
              <w:bottom w:w="60" w:type="dxa"/>
              <w:left w:w="100" w:type="dxa"/>
              <w:right w:w="100" w:type="dxa"/>
            </w:tcMar>
          </w:tcPr>
          <w:p>
            <w:pPr>
              <w:spacing w:after="0"/>
            </w:pPr>
            <w:r>
              <w:rPr>
                <w:rFonts w:ascii="Calibri" w:hAnsi="Calibri"/>
                <w:color w:val="334155"/>
                <w:sz w:val="19"/>
              </w:rPr>
              <w:t>2.52.0.windows.1</w:t>
            </w:r>
          </w:p>
        </w:tc>
        <w:tc>
          <w:tcPr>
            <w:tcW w:type="dxa" w:w="3120"/>
            <w:shd w:fill="FFFFFF"/>
            <w:tcMar>
              <w:top w:w="60" w:type="dxa"/>
              <w:bottom w:w="60" w:type="dxa"/>
              <w:left w:w="100" w:type="dxa"/>
              <w:right w:w="100" w:type="dxa"/>
            </w:tcMar>
          </w:tcPr>
          <w:p>
            <w:pPr>
              <w:spacing w:after="0"/>
            </w:pPr>
            <w:r>
              <w:rPr>
                <w:rFonts w:ascii="Calibri" w:hAnsi="Calibri"/>
                <w:color w:val="334155"/>
                <w:sz w:val="19"/>
              </w:rPr>
              <w:t>Control de versiones local y sincronización con GitHub.</w:t>
            </w:r>
          </w:p>
        </w:tc>
      </w:tr>
      <w:tr>
        <w:tc>
          <w:tcPr>
            <w:tcW w:type="dxa" w:w="3120"/>
            <w:shd w:fill="F8FAFC"/>
            <w:tcMar>
              <w:top w:w="60" w:type="dxa"/>
              <w:bottom w:w="60" w:type="dxa"/>
              <w:left w:w="100" w:type="dxa"/>
              <w:right w:w="100" w:type="dxa"/>
            </w:tcMar>
          </w:tcPr>
          <w:p>
            <w:pPr>
              <w:spacing w:after="0"/>
            </w:pPr>
            <w:r>
              <w:rPr>
                <w:rFonts w:ascii="Calibri" w:hAnsi="Calibri"/>
                <w:color w:val="334155"/>
                <w:sz w:val="19"/>
              </w:rPr>
              <w:t>Proveedor AzureRM</w:t>
            </w:r>
          </w:p>
        </w:tc>
        <w:tc>
          <w:tcPr>
            <w:tcW w:type="dxa" w:w="3120"/>
            <w:shd w:fill="F8FAFC"/>
            <w:tcMar>
              <w:top w:w="60" w:type="dxa"/>
              <w:bottom w:w="60" w:type="dxa"/>
              <w:left w:w="100" w:type="dxa"/>
              <w:right w:w="100" w:type="dxa"/>
            </w:tcMar>
          </w:tcPr>
          <w:p>
            <w:pPr>
              <w:spacing w:after="0"/>
            </w:pPr>
            <w:r>
              <w:rPr>
                <w:rFonts w:ascii="Calibri" w:hAnsi="Calibri"/>
                <w:color w:val="334155"/>
                <w:sz w:val="19"/>
              </w:rPr>
              <w:t>v5.0.0 (hashicorp/azurerm)</w:t>
            </w:r>
          </w:p>
        </w:tc>
        <w:tc>
          <w:tcPr>
            <w:tcW w:type="dxa" w:w="3120"/>
            <w:shd w:fill="F8FAFC"/>
            <w:tcMar>
              <w:top w:w="60" w:type="dxa"/>
              <w:bottom w:w="60" w:type="dxa"/>
              <w:left w:w="100" w:type="dxa"/>
              <w:right w:w="100" w:type="dxa"/>
            </w:tcMar>
          </w:tcPr>
          <w:p>
            <w:pPr>
              <w:spacing w:after="0"/>
            </w:pPr>
            <w:r>
              <w:rPr>
                <w:rFonts w:ascii="Calibri" w:hAnsi="Calibri"/>
                <w:color w:val="334155"/>
                <w:sz w:val="19"/>
              </w:rPr>
              <w:t>Proveedor oficial de Terraform para recursos de Azure.</w:t>
            </w:r>
          </w:p>
        </w:tc>
      </w:tr>
    </w:tbl>
    <w:p>
      <w:pPr>
        <w:spacing w:after="120"/>
      </w:pPr>
    </w:p>
    <w:p>
      <w:pPr>
        <w:spacing w:before="160" w:after="80"/>
        <w:jc w:val="center"/>
      </w:pPr>
      <w:r>
        <w:drawing>
          <wp:inline xmlns:a="http://schemas.openxmlformats.org/drawingml/2006/main" xmlns:pic="http://schemas.openxmlformats.org/drawingml/2006/picture">
            <wp:extent cx="5852160" cy="2400580"/>
            <wp:docPr id="1" name="Picture 1"/>
            <wp:cNvGraphicFramePr>
              <a:graphicFrameLocks noChangeAspect="1"/>
            </wp:cNvGraphicFramePr>
            <a:graphic>
              <a:graphicData uri="http://schemas.openxmlformats.org/drawingml/2006/picture">
                <pic:pic>
                  <pic:nvPicPr>
                    <pic:cNvPr id="0" name="01-entorno-versiones.png"/>
                    <pic:cNvPicPr/>
                  </pic:nvPicPr>
                  <pic:blipFill>
                    <a:blip r:embed="rId10"/>
                    <a:stretch>
                      <a:fillRect/>
                    </a:stretch>
                  </pic:blipFill>
                  <pic:spPr>
                    <a:xfrm>
                      <a:off x="0" y="0"/>
                      <a:ext cx="5852160" cy="2400580"/>
                    </a:xfrm>
                    <a:prstGeom prst="rect"/>
                  </pic:spPr>
                </pic:pic>
              </a:graphicData>
            </a:graphic>
          </wp:inline>
        </w:drawing>
      </w:r>
    </w:p>
    <w:p>
      <w:pPr>
        <w:spacing w:before="0" w:after="240"/>
        <w:jc w:val="center"/>
      </w:pPr>
      <w:r>
        <w:rPr>
          <w:rFonts w:ascii="Calibri" w:hAnsi="Calibri"/>
          <w:i/>
          <w:color w:val="64748B"/>
          <w:sz w:val="19"/>
        </w:rPr>
        <w:t>Figura 1. Verificación de versiones de Terraform CLI, Azure CLI, Git y Python en terminal PowerShell.</w:t>
      </w:r>
    </w:p>
    <w:p>
      <w:pPr>
        <w:pStyle w:val="Heading1"/>
        <w:spacing w:before="320" w:after="120"/>
      </w:pPr>
      <w:r>
        <w:rPr>
          <w:rFonts w:ascii="Calibri" w:hAnsi="Calibri"/>
          <w:b/>
          <w:color w:val="5C4EE5"/>
          <w:sz w:val="32"/>
        </w:rPr>
        <w:t>3. Autenticación en Microsoft Azure y Consideraciones de Gobernanza</w:t>
      </w:r>
    </w:p>
    <w:p>
      <w:pPr>
        <w:spacing w:before="0" w:after="120" w:line="276" w:lineRule="auto"/>
      </w:pPr>
      <w:r>
        <w:rPr>
          <w:rFonts w:ascii="Calibri" w:hAnsi="Calibri"/>
          <w:color w:val="334155"/>
          <w:sz w:val="22"/>
        </w:rPr>
        <w:t>La conexión entre la estación de trabajo y la nube de Microsoft se estableció mediante el comando az login, utilizando la cuenta institucional del estudiante (al222310777@utvtol.edu.mx) vinculada al tenant universitario de la Universidad Tecnológica del Valle de Toluca (ID de Tenant: 773af67d-0d1e-403b-92c2-3dc991998967) y a la suscripción activa Azure for Students (ID: 20527a7a-2797-496d-9048-b745ccaacb50).</w:t>
      </w:r>
    </w:p>
    <w:p>
      <w:pPr>
        <w:spacing w:before="160" w:after="80"/>
        <w:jc w:val="center"/>
      </w:pPr>
      <w:r>
        <w:drawing>
          <wp:inline xmlns:a="http://schemas.openxmlformats.org/drawingml/2006/main" xmlns:pic="http://schemas.openxmlformats.org/drawingml/2006/picture">
            <wp:extent cx="5852160" cy="2400580"/>
            <wp:docPr id="2" name="Picture 2"/>
            <wp:cNvGraphicFramePr>
              <a:graphicFrameLocks noChangeAspect="1"/>
            </wp:cNvGraphicFramePr>
            <a:graphic>
              <a:graphicData uri="http://schemas.openxmlformats.org/drawingml/2006/picture">
                <pic:pic>
                  <pic:nvPicPr>
                    <pic:cNvPr id="0" name="02-autenticacion-azure.png"/>
                    <pic:cNvPicPr/>
                  </pic:nvPicPr>
                  <pic:blipFill>
                    <a:blip r:embed="rId11"/>
                    <a:stretch>
                      <a:fillRect/>
                    </a:stretch>
                  </pic:blipFill>
                  <pic:spPr>
                    <a:xfrm>
                      <a:off x="0" y="0"/>
                      <a:ext cx="5852160" cy="2400580"/>
                    </a:xfrm>
                    <a:prstGeom prst="rect"/>
                  </pic:spPr>
                </pic:pic>
              </a:graphicData>
            </a:graphic>
          </wp:inline>
        </w:drawing>
      </w:r>
    </w:p>
    <w:p>
      <w:pPr>
        <w:spacing w:before="0" w:after="240"/>
        <w:jc w:val="center"/>
      </w:pPr>
      <w:r>
        <w:rPr>
          <w:rFonts w:ascii="Calibri" w:hAnsi="Calibri"/>
          <w:i/>
          <w:color w:val="64748B"/>
          <w:sz w:val="19"/>
        </w:rPr>
        <w:t>Figura 2. Verificación de sesión activa en Azure con az account show, confirmando suscripción institucional.</w:t>
      </w:r>
    </w:p>
    <w:p>
      <w:pPr>
        <w:pStyle w:val="Heading2"/>
        <w:spacing w:before="240" w:after="80"/>
      </w:pPr>
      <w:r>
        <w:rPr>
          <w:rFonts w:ascii="Calibri" w:hAnsi="Calibri"/>
          <w:b/>
          <w:color w:val="334155"/>
          <w:sz w:val="26"/>
        </w:rPr>
        <w:t>3.1 Análisis de la Política de Regiones (sys.regionrestriction) y Resolución Técnica</w:t>
      </w:r>
    </w:p>
    <w:p>
      <w:pPr>
        <w:spacing w:before="0" w:after="120" w:line="276" w:lineRule="auto"/>
      </w:pPr>
      <w:r>
        <w:rPr>
          <w:rFonts w:ascii="Calibri" w:hAnsi="Calibri"/>
          <w:color w:val="334155"/>
          <w:sz w:val="22"/>
        </w:rPr>
        <w:t>Durante la ejecución inicial del laboratorio, el código base contemplaba desplegar en la región Mexico Central (mexicocentral). No obstante, al ejecutar el aprovisionamiento, la API de Azure rechazó la solicitud con un código HTTP 403 Forbidden y el error RequestDisallowedByAzure:</w:t>
      </w:r>
    </w:p>
    <w:tbl>
      <w:tblPr>
        <w:tblW w:type="auto" w:w="0"/>
        <w:jc w:val="center"/>
        <w:tblLayout w:type="fixed"/>
        <w:tblLook w:firstColumn="1" w:firstRow="1" w:lastColumn="0" w:lastRow="0" w:noHBand="0" w:noVBand="1" w:val="04A0"/>
      </w:tblPr>
      <w:tblGrid>
        <w:gridCol w:w="9360"/>
      </w:tblGrid>
      <w:tr>
        <w:tc>
          <w:tcPr>
            <w:tcW w:type="dxa" w:w="9360"/>
            <w:shd w:fill="FFFBEB"/>
            <w:tcMar>
              <w:top w:w="140" w:type="dxa"/>
              <w:bottom w:w="140" w:type="dxa"/>
              <w:left w:w="180" w:type="dxa"/>
              <w:right w:w="180" w:type="dxa"/>
            </w:tcMar>
            <w:tcBorders>
              <w:left w:val="single" w:sz="24" w:space="0" w:color="D97706"/>
              <w:top w:val="none"/>
              <w:right w:val="none"/>
              <w:bottom w:val="none"/>
            </w:tcBorders>
          </w:tcPr>
          <w:p>
            <w:pPr>
              <w:spacing w:before="0" w:after="40" w:line="276" w:lineRule="auto"/>
            </w:pPr>
            <w:r>
              <w:rPr>
                <w:rFonts w:ascii="Calibri" w:hAnsi="Calibri"/>
                <w:b/>
                <w:color w:val="D97706"/>
                <w:sz w:val="21"/>
              </w:rPr>
              <w:t>Error Detectado en Mexico Central:</w:t>
              <w:br/>
            </w:r>
            <w:r>
              <w:rPr>
                <w:rFonts w:ascii="Calibri" w:hAnsi="Calibri"/>
                <w:color w:val="334155"/>
                <w:sz w:val="20"/>
              </w:rPr>
              <w:t>Resource 'log-utvt-integradora-qa-mxc-lgg01' was disallowed by Azure: This policy maintains a set of best available regions where your subscription can deploy resources.</w:t>
            </w:r>
          </w:p>
        </w:tc>
      </w:tr>
    </w:tbl>
    <w:p>
      <w:pPr>
        <w:spacing w:after="80"/>
      </w:pPr>
    </w:p>
    <w:p>
      <w:pPr>
        <w:spacing w:before="0" w:after="120" w:line="276" w:lineRule="auto"/>
      </w:pPr>
      <w:r>
        <w:rPr>
          <w:rFonts w:ascii="Calibri" w:hAnsi="Calibri"/>
          <w:color w:val="334155"/>
          <w:sz w:val="22"/>
        </w:rPr>
        <w:t>Mediante Azure CLI se auditó la asignación de directivas corporativas de la suscripción con el comando az policy assignment show --name "sys.regionrestriction". La consulta reveló que las suscripciones educativas de Azure limitan el despliegue a una lista blanca de cinco regiones optimizadas: ["westus", "eastus", "centralus", "westus2", "canadacentral"].</w:t>
      </w:r>
    </w:p>
    <w:p>
      <w:pPr>
        <w:spacing w:before="0" w:after="120" w:line="276" w:lineRule="auto"/>
      </w:pPr>
      <w:r>
        <w:rPr>
          <w:rFonts w:ascii="Calibri" w:hAnsi="Calibri"/>
          <w:color w:val="334155"/>
          <w:sz w:val="22"/>
        </w:rPr>
        <w:t>Para solventar esta restricción sin violar las políticas institucionales y garantizando la compatibilidad con el nivel de cómputo gratuito (SKU F1 Linux), se ajustó la región en locals.tf a 'eastus' (East US) y se actualizó el sufijo de recursos conforme a la nomenclatura CAF a 'use' (East US), logrando un despliegue transparente y 100% exitoso.</w:t>
      </w:r>
    </w:p>
    <w:p>
      <w:pPr>
        <w:pStyle w:val="Heading2"/>
        <w:spacing w:before="240" w:after="80"/>
      </w:pPr>
      <w:r>
        <w:rPr>
          <w:rFonts w:ascii="Calibri" w:hAnsi="Calibri"/>
          <w:b/>
          <w:color w:val="334155"/>
          <w:sz w:val="26"/>
        </w:rPr>
        <w:t>3.2 Registro de Resource Providers en Azure</w:t>
      </w:r>
    </w:p>
    <w:p>
      <w:pPr>
        <w:spacing w:before="0" w:after="120" w:line="276" w:lineRule="auto"/>
      </w:pPr>
      <w:r>
        <w:rPr>
          <w:rFonts w:ascii="Calibri" w:hAnsi="Calibri"/>
          <w:color w:val="334155"/>
          <w:sz w:val="22"/>
        </w:rPr>
        <w:t>Tal como se aprendió en el video 10 de la serie de laboratorios, los servicios de Azure requieren que la suscripción tenga registrados los proveedores de recursos específicos antes de permitir la creación de instancias. Se registraron y verificaron los tres proveedores requeridos:</w:t>
      </w:r>
    </w:p>
    <w:p>
      <w:pPr>
        <w:spacing w:before="0" w:after="120" w:line="276" w:lineRule="auto"/>
      </w:pPr>
      <w:r>
        <w:rPr>
          <w:rFonts w:ascii="Calibri" w:hAnsi="Calibri"/>
          <w:color w:val="334155"/>
          <w:sz w:val="22"/>
        </w:rPr>
        <w:t>1. Microsoft.Web: Proveedor para App Service Plans y Linux Web Apps.</w:t>
      </w:r>
    </w:p>
    <w:p>
      <w:pPr>
        <w:spacing w:before="0" w:after="120" w:line="276" w:lineRule="auto"/>
      </w:pPr>
      <w:r>
        <w:rPr>
          <w:rFonts w:ascii="Calibri" w:hAnsi="Calibri"/>
          <w:color w:val="334155"/>
          <w:sz w:val="22"/>
        </w:rPr>
        <w:t>2. Microsoft.OperationalInsights: Proveedor para Log Analytics Workspaces.</w:t>
      </w:r>
    </w:p>
    <w:p>
      <w:pPr>
        <w:spacing w:before="0" w:after="120" w:line="276" w:lineRule="auto"/>
      </w:pPr>
      <w:r>
        <w:rPr>
          <w:rFonts w:ascii="Calibri" w:hAnsi="Calibri"/>
          <w:color w:val="334155"/>
          <w:sz w:val="22"/>
        </w:rPr>
        <w:t>3. Microsoft.Insights: Proveedor para componentes de telemetría Application Insights.</w:t>
      </w:r>
    </w:p>
    <w:p>
      <w:pPr>
        <w:spacing w:before="160" w:after="80"/>
        <w:jc w:val="center"/>
      </w:pPr>
      <w:r>
        <w:drawing>
          <wp:inline xmlns:a="http://schemas.openxmlformats.org/drawingml/2006/main" xmlns:pic="http://schemas.openxmlformats.org/drawingml/2006/picture">
            <wp:extent cx="5852160" cy="2531955"/>
            <wp:docPr id="3" name="Picture 3"/>
            <wp:cNvGraphicFramePr>
              <a:graphicFrameLocks noChangeAspect="1"/>
            </wp:cNvGraphicFramePr>
            <a:graphic>
              <a:graphicData uri="http://schemas.openxmlformats.org/drawingml/2006/picture">
                <pic:pic>
                  <pic:nvPicPr>
                    <pic:cNvPr id="0" name="03-politica-regiones-azure.png"/>
                    <pic:cNvPicPr/>
                  </pic:nvPicPr>
                  <pic:blipFill>
                    <a:blip r:embed="rId12"/>
                    <a:stretch>
                      <a:fillRect/>
                    </a:stretch>
                  </pic:blipFill>
                  <pic:spPr>
                    <a:xfrm>
                      <a:off x="0" y="0"/>
                      <a:ext cx="5852160" cy="2531955"/>
                    </a:xfrm>
                    <a:prstGeom prst="rect"/>
                  </pic:spPr>
                </pic:pic>
              </a:graphicData>
            </a:graphic>
          </wp:inline>
        </w:drawing>
      </w:r>
    </w:p>
    <w:p>
      <w:pPr>
        <w:spacing w:before="0" w:after="240"/>
        <w:jc w:val="center"/>
      </w:pPr>
      <w:r>
        <w:rPr>
          <w:rFonts w:ascii="Calibri" w:hAnsi="Calibri"/>
          <w:i/>
          <w:color w:val="64748B"/>
          <w:sz w:val="19"/>
        </w:rPr>
        <w:t>Figura 3. Consulta de la directiva regional sys.regionrestriction y estado 'Registered' de los proveedores.</w:t>
      </w:r>
    </w:p>
    <w:p>
      <w:pPr>
        <w:pStyle w:val="Heading1"/>
        <w:spacing w:before="320" w:after="120"/>
      </w:pPr>
      <w:r>
        <w:rPr>
          <w:rFonts w:ascii="Calibri" w:hAnsi="Calibri"/>
          <w:b/>
          <w:color w:val="5C4EE5"/>
          <w:sz w:val="32"/>
        </w:rPr>
        <w:t>4. Arquitectura de Nube y Nomenclatura Cloud Adoption Framework (CAF)</w:t>
      </w:r>
    </w:p>
    <w:p>
      <w:pPr>
        <w:spacing w:before="0" w:after="120" w:line="276" w:lineRule="auto"/>
      </w:pPr>
      <w:r>
        <w:rPr>
          <w:rFonts w:ascii="Calibri" w:hAnsi="Calibri"/>
          <w:color w:val="334155"/>
          <w:sz w:val="22"/>
        </w:rPr>
        <w:t>Siguiendo las mejores prácticas de Microsoft Cloud Adoption Framework (CAF) citadas en Recursos importantes.txt, cada recurso implementa una convención semántica estandarizada:</w:t>
      </w:r>
    </w:p>
    <w:p>
      <w:pPr>
        <w:spacing w:before="0" w:after="120" w:line="276" w:lineRule="auto"/>
      </w:pPr>
      <w:r>
        <w:rPr>
          <w:rFonts w:ascii="Calibri" w:hAnsi="Calibri"/>
          <w:b/>
          <w:color w:val="1E293B"/>
          <w:sz w:val="22"/>
        </w:rPr>
        <w:t xml:space="preserve">Formato CAF: </w:t>
      </w:r>
      <w:r>
        <w:rPr>
          <w:rFonts w:ascii="Calibri" w:hAnsi="Calibri"/>
          <w:color w:val="334155"/>
          <w:sz w:val="22"/>
        </w:rPr>
        <w:t>[prefijo-servicio]-[institución/proyecto]-[entorno]-[región]-[propietario/instancia]</w:t>
      </w:r>
    </w:p>
    <w:tbl>
      <w:tblPr>
        <w:tblW w:type="auto" w:w="0"/>
        <w:jc w:val="center"/>
        <w:tblLook w:firstColumn="1" w:firstRow="1" w:lastColumn="0" w:lastRow="0" w:noHBand="0" w:noVBand="1" w:val="04A0"/>
      </w:tblPr>
      <w:tblGrid>
        <w:gridCol w:w="2340"/>
        <w:gridCol w:w="2340"/>
        <w:gridCol w:w="2340"/>
        <w:gridCol w:w="2340"/>
      </w:tblGrid>
      <w:tr>
        <w:tc>
          <w:tcPr>
            <w:tcW w:type="dxa" w:w="2340"/>
            <w:shd w:fill="5C4EE5"/>
          </w:tcPr>
          <w:p>
            <w:pPr>
              <w:spacing w:after="0"/>
            </w:pPr>
            <w:r>
              <w:rPr>
                <w:rFonts w:ascii="Calibri" w:hAnsi="Calibri"/>
                <w:b/>
                <w:color w:val="FFFFFF"/>
                <w:sz w:val="20"/>
              </w:rPr>
              <w:t>Tipo de Recurso</w:t>
            </w:r>
          </w:p>
        </w:tc>
        <w:tc>
          <w:tcPr>
            <w:tcW w:type="dxa" w:w="2340"/>
            <w:shd w:fill="5C4EE5"/>
          </w:tcPr>
          <w:p>
            <w:pPr>
              <w:spacing w:after="0"/>
            </w:pPr>
            <w:r>
              <w:rPr>
                <w:rFonts w:ascii="Calibri" w:hAnsi="Calibri"/>
                <w:b/>
                <w:color w:val="FFFFFF"/>
                <w:sz w:val="20"/>
              </w:rPr>
              <w:t>Nombre Asignado (CAF)</w:t>
            </w:r>
          </w:p>
        </w:tc>
        <w:tc>
          <w:tcPr>
            <w:tcW w:type="dxa" w:w="2340"/>
            <w:shd w:fill="5C4EE5"/>
          </w:tcPr>
          <w:p>
            <w:pPr>
              <w:spacing w:after="0"/>
            </w:pPr>
            <w:r>
              <w:rPr>
                <w:rFonts w:ascii="Calibri" w:hAnsi="Calibri"/>
                <w:b/>
                <w:color w:val="FFFFFF"/>
                <w:sz w:val="20"/>
              </w:rPr>
              <w:t>SKU / Nivel</w:t>
            </w:r>
          </w:p>
        </w:tc>
        <w:tc>
          <w:tcPr>
            <w:tcW w:type="dxa" w:w="2340"/>
            <w:shd w:fill="5C4EE5"/>
          </w:tcPr>
          <w:p>
            <w:pPr>
              <w:spacing w:after="0"/>
            </w:pPr>
            <w:r>
              <w:rPr>
                <w:rFonts w:ascii="Calibri" w:hAnsi="Calibri"/>
                <w:b/>
                <w:color w:val="FFFFFF"/>
                <w:sz w:val="20"/>
              </w:rPr>
              <w:t>Propósito en el Entorno QA</w:t>
            </w:r>
          </w:p>
        </w:tc>
      </w:tr>
      <w:tr>
        <w:tc>
          <w:tcPr>
            <w:tcW w:type="dxa" w:w="2340"/>
            <w:shd w:fill="F8FAFC"/>
            <w:tcMar>
              <w:top w:w="60" w:type="dxa"/>
              <w:bottom w:w="60" w:type="dxa"/>
              <w:left w:w="100" w:type="dxa"/>
              <w:right w:w="100" w:type="dxa"/>
            </w:tcMar>
          </w:tcPr>
          <w:p>
            <w:pPr>
              <w:spacing w:after="0"/>
            </w:pPr>
            <w:r>
              <w:rPr>
                <w:rFonts w:ascii="Calibri" w:hAnsi="Calibri"/>
                <w:color w:val="334155"/>
                <w:sz w:val="18"/>
              </w:rPr>
              <w:t>azurerm_resource_group</w:t>
            </w:r>
          </w:p>
        </w:tc>
        <w:tc>
          <w:tcPr>
            <w:tcW w:type="dxa" w:w="2340"/>
            <w:shd w:fill="F8FAFC"/>
            <w:tcMar>
              <w:top w:w="60" w:type="dxa"/>
              <w:bottom w:w="60" w:type="dxa"/>
              <w:left w:w="100" w:type="dxa"/>
              <w:right w:w="100" w:type="dxa"/>
            </w:tcMar>
          </w:tcPr>
          <w:p>
            <w:pPr>
              <w:spacing w:after="0"/>
            </w:pPr>
            <w:r>
              <w:rPr>
                <w:rFonts w:ascii="Calibri" w:hAnsi="Calibri"/>
                <w:color w:val="334155"/>
                <w:sz w:val="18"/>
              </w:rPr>
              <w:t>rg-utvt-integradora-qa-use-lgg01</w:t>
            </w:r>
          </w:p>
        </w:tc>
        <w:tc>
          <w:tcPr>
            <w:tcW w:type="dxa" w:w="2340"/>
            <w:shd w:fill="F8FAFC"/>
            <w:tcMar>
              <w:top w:w="60" w:type="dxa"/>
              <w:bottom w:w="60" w:type="dxa"/>
              <w:left w:w="100" w:type="dxa"/>
              <w:right w:w="100" w:type="dxa"/>
            </w:tcMar>
          </w:tcPr>
          <w:p>
            <w:pPr>
              <w:spacing w:after="0"/>
            </w:pPr>
            <w:r>
              <w:rPr>
                <w:rFonts w:ascii="Calibri" w:hAnsi="Calibri"/>
                <w:color w:val="334155"/>
                <w:sz w:val="18"/>
              </w:rPr>
              <w:t>N/A (Lógico)</w:t>
            </w:r>
          </w:p>
        </w:tc>
        <w:tc>
          <w:tcPr>
            <w:tcW w:type="dxa" w:w="2340"/>
            <w:shd w:fill="F8FAFC"/>
            <w:tcMar>
              <w:top w:w="60" w:type="dxa"/>
              <w:bottom w:w="60" w:type="dxa"/>
              <w:left w:w="100" w:type="dxa"/>
              <w:right w:w="100" w:type="dxa"/>
            </w:tcMar>
          </w:tcPr>
          <w:p>
            <w:pPr>
              <w:spacing w:after="0"/>
            </w:pPr>
            <w:r>
              <w:rPr>
                <w:rFonts w:ascii="Calibri" w:hAnsi="Calibri"/>
                <w:color w:val="334155"/>
                <w:sz w:val="18"/>
              </w:rPr>
              <w:t>Contenedor que agrupa el ciclo de vida de los recursos de QA.</w:t>
            </w:r>
          </w:p>
        </w:tc>
      </w:tr>
      <w:tr>
        <w:tc>
          <w:tcPr>
            <w:tcW w:type="dxa" w:w="2340"/>
            <w:shd w:fill="FFFFFF"/>
            <w:tcMar>
              <w:top w:w="60" w:type="dxa"/>
              <w:bottom w:w="60" w:type="dxa"/>
              <w:left w:w="100" w:type="dxa"/>
              <w:right w:w="100" w:type="dxa"/>
            </w:tcMar>
          </w:tcPr>
          <w:p>
            <w:pPr>
              <w:spacing w:after="0"/>
            </w:pPr>
            <w:r>
              <w:rPr>
                <w:rFonts w:ascii="Calibri" w:hAnsi="Calibri"/>
                <w:color w:val="334155"/>
                <w:sz w:val="18"/>
              </w:rPr>
              <w:t>azurerm_log_analytics_workspace</w:t>
            </w:r>
          </w:p>
        </w:tc>
        <w:tc>
          <w:tcPr>
            <w:tcW w:type="dxa" w:w="2340"/>
            <w:shd w:fill="FFFFFF"/>
            <w:tcMar>
              <w:top w:w="60" w:type="dxa"/>
              <w:bottom w:w="60" w:type="dxa"/>
              <w:left w:w="100" w:type="dxa"/>
              <w:right w:w="100" w:type="dxa"/>
            </w:tcMar>
          </w:tcPr>
          <w:p>
            <w:pPr>
              <w:spacing w:after="0"/>
            </w:pPr>
            <w:r>
              <w:rPr>
                <w:rFonts w:ascii="Calibri" w:hAnsi="Calibri"/>
                <w:color w:val="334155"/>
                <w:sz w:val="18"/>
              </w:rPr>
              <w:t>log-utvt-integradora-qa-use-lgg01</w:t>
            </w:r>
          </w:p>
        </w:tc>
        <w:tc>
          <w:tcPr>
            <w:tcW w:type="dxa" w:w="2340"/>
            <w:shd w:fill="FFFFFF"/>
            <w:tcMar>
              <w:top w:w="60" w:type="dxa"/>
              <w:bottom w:w="60" w:type="dxa"/>
              <w:left w:w="100" w:type="dxa"/>
              <w:right w:w="100" w:type="dxa"/>
            </w:tcMar>
          </w:tcPr>
          <w:p>
            <w:pPr>
              <w:spacing w:after="0"/>
            </w:pPr>
            <w:r>
              <w:rPr>
                <w:rFonts w:ascii="Calibri" w:hAnsi="Calibri"/>
                <w:color w:val="334155"/>
                <w:sz w:val="18"/>
              </w:rPr>
              <w:t>PerGB2018 (0.1 GB/día)</w:t>
            </w:r>
          </w:p>
        </w:tc>
        <w:tc>
          <w:tcPr>
            <w:tcW w:type="dxa" w:w="2340"/>
            <w:shd w:fill="FFFFFF"/>
            <w:tcMar>
              <w:top w:w="60" w:type="dxa"/>
              <w:bottom w:w="60" w:type="dxa"/>
              <w:left w:w="100" w:type="dxa"/>
              <w:right w:w="100" w:type="dxa"/>
            </w:tcMar>
          </w:tcPr>
          <w:p>
            <w:pPr>
              <w:spacing w:after="0"/>
            </w:pPr>
            <w:r>
              <w:rPr>
                <w:rFonts w:ascii="Calibri" w:hAnsi="Calibri"/>
                <w:color w:val="334155"/>
                <w:sz w:val="18"/>
              </w:rPr>
              <w:t>Repositorio central de logs con retención de 30 días y límite de ingesta.</w:t>
            </w:r>
          </w:p>
        </w:tc>
      </w:tr>
      <w:tr>
        <w:tc>
          <w:tcPr>
            <w:tcW w:type="dxa" w:w="2340"/>
            <w:shd w:fill="F8FAFC"/>
            <w:tcMar>
              <w:top w:w="60" w:type="dxa"/>
              <w:bottom w:w="60" w:type="dxa"/>
              <w:left w:w="100" w:type="dxa"/>
              <w:right w:w="100" w:type="dxa"/>
            </w:tcMar>
          </w:tcPr>
          <w:p>
            <w:pPr>
              <w:spacing w:after="0"/>
            </w:pPr>
            <w:r>
              <w:rPr>
                <w:rFonts w:ascii="Calibri" w:hAnsi="Calibri"/>
                <w:color w:val="334155"/>
                <w:sz w:val="18"/>
              </w:rPr>
              <w:t>azurerm_application_insights</w:t>
            </w:r>
          </w:p>
        </w:tc>
        <w:tc>
          <w:tcPr>
            <w:tcW w:type="dxa" w:w="2340"/>
            <w:shd w:fill="F8FAFC"/>
            <w:tcMar>
              <w:top w:w="60" w:type="dxa"/>
              <w:bottom w:w="60" w:type="dxa"/>
              <w:left w:w="100" w:type="dxa"/>
              <w:right w:w="100" w:type="dxa"/>
            </w:tcMar>
          </w:tcPr>
          <w:p>
            <w:pPr>
              <w:spacing w:after="0"/>
            </w:pPr>
            <w:r>
              <w:rPr>
                <w:rFonts w:ascii="Calibri" w:hAnsi="Calibri"/>
                <w:color w:val="334155"/>
                <w:sz w:val="18"/>
              </w:rPr>
              <w:t>appi-utvt-integradora-qa-use-lgg01</w:t>
            </w:r>
          </w:p>
        </w:tc>
        <w:tc>
          <w:tcPr>
            <w:tcW w:type="dxa" w:w="2340"/>
            <w:shd w:fill="F8FAFC"/>
            <w:tcMar>
              <w:top w:w="60" w:type="dxa"/>
              <w:bottom w:w="60" w:type="dxa"/>
              <w:left w:w="100" w:type="dxa"/>
              <w:right w:w="100" w:type="dxa"/>
            </w:tcMar>
          </w:tcPr>
          <w:p>
            <w:pPr>
              <w:spacing w:after="0"/>
            </w:pPr>
            <w:r>
              <w:rPr>
                <w:rFonts w:ascii="Calibri" w:hAnsi="Calibri"/>
                <w:color w:val="334155"/>
                <w:sz w:val="18"/>
              </w:rPr>
              <w:t>web (0.1 GB cap)</w:t>
            </w:r>
          </w:p>
        </w:tc>
        <w:tc>
          <w:tcPr>
            <w:tcW w:type="dxa" w:w="2340"/>
            <w:shd w:fill="F8FAFC"/>
            <w:tcMar>
              <w:top w:w="60" w:type="dxa"/>
              <w:bottom w:w="60" w:type="dxa"/>
              <w:left w:w="100" w:type="dxa"/>
              <w:right w:w="100" w:type="dxa"/>
            </w:tcMar>
          </w:tcPr>
          <w:p>
            <w:pPr>
              <w:spacing w:after="0"/>
            </w:pPr>
            <w:r>
              <w:rPr>
                <w:rFonts w:ascii="Calibri" w:hAnsi="Calibri"/>
                <w:color w:val="334155"/>
                <w:sz w:val="18"/>
              </w:rPr>
              <w:t>Supervisión de rendimiento de la app conectada al workspace de logs.</w:t>
            </w:r>
          </w:p>
        </w:tc>
      </w:tr>
      <w:tr>
        <w:tc>
          <w:tcPr>
            <w:tcW w:type="dxa" w:w="2340"/>
            <w:shd w:fill="FFFFFF"/>
            <w:tcMar>
              <w:top w:w="60" w:type="dxa"/>
              <w:bottom w:w="60" w:type="dxa"/>
              <w:left w:w="100" w:type="dxa"/>
              <w:right w:w="100" w:type="dxa"/>
            </w:tcMar>
          </w:tcPr>
          <w:p>
            <w:pPr>
              <w:spacing w:after="0"/>
            </w:pPr>
            <w:r>
              <w:rPr>
                <w:rFonts w:ascii="Calibri" w:hAnsi="Calibri"/>
                <w:color w:val="334155"/>
                <w:sz w:val="18"/>
              </w:rPr>
              <w:t>azurerm_service_plan</w:t>
            </w:r>
          </w:p>
        </w:tc>
        <w:tc>
          <w:tcPr>
            <w:tcW w:type="dxa" w:w="2340"/>
            <w:shd w:fill="FFFFFF"/>
            <w:tcMar>
              <w:top w:w="60" w:type="dxa"/>
              <w:bottom w:w="60" w:type="dxa"/>
              <w:left w:w="100" w:type="dxa"/>
              <w:right w:w="100" w:type="dxa"/>
            </w:tcMar>
          </w:tcPr>
          <w:p>
            <w:pPr>
              <w:spacing w:after="0"/>
            </w:pPr>
            <w:r>
              <w:rPr>
                <w:rFonts w:ascii="Calibri" w:hAnsi="Calibri"/>
                <w:color w:val="334155"/>
                <w:sz w:val="18"/>
              </w:rPr>
              <w:t>asp-utvt-integradora-qa-use-lgg01</w:t>
            </w:r>
          </w:p>
        </w:tc>
        <w:tc>
          <w:tcPr>
            <w:tcW w:type="dxa" w:w="2340"/>
            <w:shd w:fill="FFFFFF"/>
            <w:tcMar>
              <w:top w:w="60" w:type="dxa"/>
              <w:bottom w:w="60" w:type="dxa"/>
              <w:left w:w="100" w:type="dxa"/>
              <w:right w:w="100" w:type="dxa"/>
            </w:tcMar>
          </w:tcPr>
          <w:p>
            <w:pPr>
              <w:spacing w:after="0"/>
            </w:pPr>
            <w:r>
              <w:rPr>
                <w:rFonts w:ascii="Calibri" w:hAnsi="Calibri"/>
                <w:color w:val="334155"/>
                <w:sz w:val="18"/>
              </w:rPr>
              <w:t>F1 (Free Linux)</w:t>
            </w:r>
          </w:p>
        </w:tc>
        <w:tc>
          <w:tcPr>
            <w:tcW w:type="dxa" w:w="2340"/>
            <w:shd w:fill="FFFFFF"/>
            <w:tcMar>
              <w:top w:w="60" w:type="dxa"/>
              <w:bottom w:w="60" w:type="dxa"/>
              <w:left w:w="100" w:type="dxa"/>
              <w:right w:w="100" w:type="dxa"/>
            </w:tcMar>
          </w:tcPr>
          <w:p>
            <w:pPr>
              <w:spacing w:after="0"/>
            </w:pPr>
            <w:r>
              <w:rPr>
                <w:rFonts w:ascii="Calibri" w:hAnsi="Calibri"/>
                <w:color w:val="334155"/>
                <w:sz w:val="18"/>
              </w:rPr>
              <w:t>Plan de cómputo compartido para hospedar la Web App en Linux.</w:t>
            </w:r>
          </w:p>
        </w:tc>
      </w:tr>
      <w:tr>
        <w:tc>
          <w:tcPr>
            <w:tcW w:type="dxa" w:w="2340"/>
            <w:shd w:fill="F8FAFC"/>
            <w:tcMar>
              <w:top w:w="60" w:type="dxa"/>
              <w:bottom w:w="60" w:type="dxa"/>
              <w:left w:w="100" w:type="dxa"/>
              <w:right w:w="100" w:type="dxa"/>
            </w:tcMar>
          </w:tcPr>
          <w:p>
            <w:pPr>
              <w:spacing w:after="0"/>
            </w:pPr>
            <w:r>
              <w:rPr>
                <w:rFonts w:ascii="Calibri" w:hAnsi="Calibri"/>
                <w:color w:val="334155"/>
                <w:sz w:val="18"/>
              </w:rPr>
              <w:t>azurerm_linux_web_app</w:t>
            </w:r>
          </w:p>
        </w:tc>
        <w:tc>
          <w:tcPr>
            <w:tcW w:type="dxa" w:w="2340"/>
            <w:shd w:fill="F8FAFC"/>
            <w:tcMar>
              <w:top w:w="60" w:type="dxa"/>
              <w:bottom w:w="60" w:type="dxa"/>
              <w:left w:w="100" w:type="dxa"/>
              <w:right w:w="100" w:type="dxa"/>
            </w:tcMar>
          </w:tcPr>
          <w:p>
            <w:pPr>
              <w:spacing w:after="0"/>
            </w:pPr>
            <w:r>
              <w:rPr>
                <w:rFonts w:ascii="Calibri" w:hAnsi="Calibri"/>
                <w:color w:val="334155"/>
                <w:sz w:val="18"/>
              </w:rPr>
              <w:t>app-utvt-integradora-web-qa-use-lgg01</w:t>
            </w:r>
          </w:p>
        </w:tc>
        <w:tc>
          <w:tcPr>
            <w:tcW w:type="dxa" w:w="2340"/>
            <w:shd w:fill="F8FAFC"/>
            <w:tcMar>
              <w:top w:w="60" w:type="dxa"/>
              <w:bottom w:w="60" w:type="dxa"/>
              <w:left w:w="100" w:type="dxa"/>
              <w:right w:w="100" w:type="dxa"/>
            </w:tcMar>
          </w:tcPr>
          <w:p>
            <w:pPr>
              <w:spacing w:after="0"/>
            </w:pPr>
            <w:r>
              <w:rPr>
                <w:rFonts w:ascii="Calibri" w:hAnsi="Calibri"/>
                <w:color w:val="334155"/>
                <w:sz w:val="18"/>
              </w:rPr>
              <w:t>Node.js 24 LTS</w:t>
            </w:r>
          </w:p>
        </w:tc>
        <w:tc>
          <w:tcPr>
            <w:tcW w:type="dxa" w:w="2340"/>
            <w:shd w:fill="F8FAFC"/>
            <w:tcMar>
              <w:top w:w="60" w:type="dxa"/>
              <w:bottom w:w="60" w:type="dxa"/>
              <w:left w:w="100" w:type="dxa"/>
              <w:right w:w="100" w:type="dxa"/>
            </w:tcMar>
          </w:tcPr>
          <w:p>
            <w:pPr>
              <w:spacing w:after="0"/>
            </w:pPr>
            <w:r>
              <w:rPr>
                <w:rFonts w:ascii="Calibri" w:hAnsi="Calibri"/>
                <w:color w:val="334155"/>
                <w:sz w:val="18"/>
              </w:rPr>
              <w:t>Aplicación web segura (solo HTTPS, TLS 1.2 min) con telemetría activa.</w:t>
            </w:r>
          </w:p>
        </w:tc>
      </w:tr>
    </w:tbl>
    <w:p>
      <w:pPr>
        <w:spacing w:after="120"/>
      </w:pPr>
    </w:p>
    <w:p>
      <w:pPr>
        <w:spacing w:before="0" w:after="120" w:line="276" w:lineRule="auto"/>
      </w:pPr>
      <w:r>
        <w:rPr>
          <w:rFonts w:ascii="Calibri" w:hAnsi="Calibri"/>
          <w:color w:val="334155"/>
          <w:sz w:val="22"/>
        </w:rPr>
        <w:t>Todos los recursos heredan además el bloque común de etiquetas (tags): project = utvt-integradora, environment = qa, owner = Ludwin Garcia Gaytan y managed_by = terraform, garantizando trazabilidad y auditoría de costos.</w:t>
      </w:r>
    </w:p>
    <w:p>
      <w:pPr>
        <w:pStyle w:val="Heading1"/>
        <w:spacing w:before="320" w:after="120"/>
      </w:pPr>
      <w:r>
        <w:rPr>
          <w:rFonts w:ascii="Calibri" w:hAnsi="Calibri"/>
          <w:b/>
          <w:color w:val="5C4EE5"/>
          <w:sz w:val="32"/>
        </w:rPr>
        <w:t>5. Estructura y Código Fuente Modular en HCL</w:t>
      </w:r>
    </w:p>
    <w:p>
      <w:pPr>
        <w:spacing w:before="0" w:after="120" w:line="276" w:lineRule="auto"/>
      </w:pPr>
      <w:r>
        <w:rPr>
          <w:rFonts w:ascii="Calibri" w:hAnsi="Calibri"/>
          <w:color w:val="334155"/>
          <w:sz w:val="22"/>
        </w:rPr>
        <w:t>A diferencia de un proyecto monolítico, la solución implementa el estándar canónico de modularización de HashiCorp en archivos especializados:</w:t>
      </w:r>
    </w:p>
    <w:p>
      <w:pPr>
        <w:spacing w:before="160" w:after="80"/>
        <w:jc w:val="center"/>
      </w:pPr>
      <w:r>
        <w:drawing>
          <wp:inline xmlns:a="http://schemas.openxmlformats.org/drawingml/2006/main" xmlns:pic="http://schemas.openxmlformats.org/drawingml/2006/picture">
            <wp:extent cx="5852160" cy="2926080"/>
            <wp:docPr id="4" name="Picture 4"/>
            <wp:cNvGraphicFramePr>
              <a:graphicFrameLocks noChangeAspect="1"/>
            </wp:cNvGraphicFramePr>
            <a:graphic>
              <a:graphicData uri="http://schemas.openxmlformats.org/drawingml/2006/picture">
                <pic:pic>
                  <pic:nvPicPr>
                    <pic:cNvPr id="0" name="04-estructura-proyecto.png"/>
                    <pic:cNvPicPr/>
                  </pic:nvPicPr>
                  <pic:blipFill>
                    <a:blip r:embed="rId13"/>
                    <a:stretch>
                      <a:fillRect/>
                    </a:stretch>
                  </pic:blipFill>
                  <pic:spPr>
                    <a:xfrm>
                      <a:off x="0" y="0"/>
                      <a:ext cx="5852160" cy="2926080"/>
                    </a:xfrm>
                    <a:prstGeom prst="rect"/>
                  </pic:spPr>
                </pic:pic>
              </a:graphicData>
            </a:graphic>
          </wp:inline>
        </w:drawing>
      </w:r>
    </w:p>
    <w:p>
      <w:pPr>
        <w:spacing w:before="0" w:after="240"/>
        <w:jc w:val="center"/>
      </w:pPr>
      <w:r>
        <w:rPr>
          <w:rFonts w:ascii="Calibri" w:hAnsi="Calibri"/>
          <w:i/>
          <w:color w:val="64748B"/>
          <w:sz w:val="19"/>
        </w:rPr>
        <w:t>Figura 4. Árbol de archivos del repositorio terraform-tercer-programa en Windows PowerShell.</w:t>
      </w:r>
    </w:p>
    <w:tbl>
      <w:tblPr>
        <w:tblW w:type="auto" w:w="0"/>
        <w:jc w:val="center"/>
        <w:tblLook w:firstColumn="1" w:firstRow="1" w:lastColumn="0" w:lastRow="0" w:noHBand="0" w:noVBand="1" w:val="04A0"/>
      </w:tblPr>
      <w:tblGrid>
        <w:gridCol w:w="3120"/>
        <w:gridCol w:w="3120"/>
        <w:gridCol w:w="3120"/>
      </w:tblGrid>
      <w:tr>
        <w:tc>
          <w:tcPr>
            <w:tcW w:type="dxa" w:w="3120"/>
            <w:shd w:fill="5C4EE5"/>
          </w:tcPr>
          <w:p>
            <w:pPr>
              <w:spacing w:after="0"/>
            </w:pPr>
            <w:r>
              <w:rPr>
                <w:rFonts w:ascii="Calibri" w:hAnsi="Calibri"/>
                <w:b/>
                <w:color w:val="FFFFFF"/>
                <w:sz w:val="20"/>
              </w:rPr>
              <w:t>Archivo</w:t>
            </w:r>
          </w:p>
        </w:tc>
        <w:tc>
          <w:tcPr>
            <w:tcW w:type="dxa" w:w="3120"/>
            <w:shd w:fill="5C4EE5"/>
          </w:tcPr>
          <w:p>
            <w:pPr>
              <w:spacing w:after="0"/>
            </w:pPr>
            <w:r>
              <w:rPr>
                <w:rFonts w:ascii="Calibri" w:hAnsi="Calibri"/>
                <w:b/>
                <w:color w:val="FFFFFF"/>
                <w:sz w:val="20"/>
              </w:rPr>
              <w:t>Líneas</w:t>
            </w:r>
          </w:p>
        </w:tc>
        <w:tc>
          <w:tcPr>
            <w:tcW w:type="dxa" w:w="3120"/>
            <w:shd w:fill="5C4EE5"/>
          </w:tcPr>
          <w:p>
            <w:pPr>
              <w:spacing w:after="0"/>
            </w:pPr>
            <w:r>
              <w:rPr>
                <w:rFonts w:ascii="Calibri" w:hAnsi="Calibri"/>
                <w:b/>
                <w:color w:val="FFFFFF"/>
                <w:sz w:val="20"/>
              </w:rPr>
              <w:t>Descripción Técnica</w:t>
            </w:r>
          </w:p>
        </w:tc>
      </w:tr>
      <w:tr>
        <w:tc>
          <w:tcPr>
            <w:tcW w:type="dxa" w:w="3120"/>
            <w:shd w:fill="F8FAFC"/>
            <w:tcMar>
              <w:top w:w="50" w:type="dxa"/>
              <w:bottom w:w="50" w:type="dxa"/>
              <w:left w:w="100" w:type="dxa"/>
              <w:right w:w="100" w:type="dxa"/>
            </w:tcMar>
          </w:tcPr>
          <w:p>
            <w:pPr>
              <w:spacing w:after="0"/>
            </w:pPr>
            <w:r>
              <w:rPr>
                <w:rFonts w:ascii="Calibri" w:hAnsi="Calibri"/>
                <w:color w:val="334155"/>
                <w:sz w:val="18"/>
              </w:rPr>
              <w:t>providers.tf</w:t>
            </w:r>
          </w:p>
        </w:tc>
        <w:tc>
          <w:tcPr>
            <w:tcW w:type="dxa" w:w="3120"/>
            <w:shd w:fill="F8FAFC"/>
            <w:tcMar>
              <w:top w:w="50" w:type="dxa"/>
              <w:bottom w:w="50" w:type="dxa"/>
              <w:left w:w="100" w:type="dxa"/>
              <w:right w:w="100" w:type="dxa"/>
            </w:tcMar>
          </w:tcPr>
          <w:p>
            <w:pPr>
              <w:spacing w:after="0"/>
            </w:pPr>
            <w:r>
              <w:rPr>
                <w:rFonts w:ascii="Calibri" w:hAnsi="Calibri"/>
                <w:color w:val="334155"/>
                <w:sz w:val="18"/>
              </w:rPr>
              <w:t>16</w:t>
            </w:r>
          </w:p>
        </w:tc>
        <w:tc>
          <w:tcPr>
            <w:tcW w:type="dxa" w:w="3120"/>
            <w:shd w:fill="F8FAFC"/>
            <w:tcMar>
              <w:top w:w="50" w:type="dxa"/>
              <w:bottom w:w="50" w:type="dxa"/>
              <w:left w:w="100" w:type="dxa"/>
              <w:right w:w="100" w:type="dxa"/>
            </w:tcMar>
          </w:tcPr>
          <w:p>
            <w:pPr>
              <w:spacing w:after="0"/>
            </w:pPr>
            <w:r>
              <w:rPr>
                <w:rFonts w:ascii="Calibri" w:hAnsi="Calibri"/>
                <w:color w:val="334155"/>
                <w:sz w:val="18"/>
              </w:rPr>
              <w:t>Declara el bloque terraform, proveedor hashicorp/azurerm ~&gt; 5.0 y suscripción.</w:t>
            </w:r>
          </w:p>
        </w:tc>
      </w:tr>
      <w:tr>
        <w:tc>
          <w:tcPr>
            <w:tcW w:type="dxa" w:w="3120"/>
            <w:shd w:fill="FFFFFF"/>
            <w:tcMar>
              <w:top w:w="50" w:type="dxa"/>
              <w:bottom w:w="50" w:type="dxa"/>
              <w:left w:w="100" w:type="dxa"/>
              <w:right w:w="100" w:type="dxa"/>
            </w:tcMar>
          </w:tcPr>
          <w:p>
            <w:pPr>
              <w:spacing w:after="0"/>
            </w:pPr>
            <w:r>
              <w:rPr>
                <w:rFonts w:ascii="Calibri" w:hAnsi="Calibri"/>
                <w:color w:val="334155"/>
                <w:sz w:val="18"/>
              </w:rPr>
              <w:t>variables.tf</w:t>
            </w:r>
          </w:p>
        </w:tc>
        <w:tc>
          <w:tcPr>
            <w:tcW w:type="dxa" w:w="3120"/>
            <w:shd w:fill="FFFFFF"/>
            <w:tcMar>
              <w:top w:w="50" w:type="dxa"/>
              <w:bottom w:w="50" w:type="dxa"/>
              <w:left w:w="100" w:type="dxa"/>
              <w:right w:w="100" w:type="dxa"/>
            </w:tcMar>
          </w:tcPr>
          <w:p>
            <w:pPr>
              <w:spacing w:after="0"/>
            </w:pPr>
            <w:r>
              <w:rPr>
                <w:rFonts w:ascii="Calibri" w:hAnsi="Calibri"/>
                <w:color w:val="334155"/>
                <w:sz w:val="18"/>
              </w:rPr>
              <w:t>35</w:t>
            </w:r>
          </w:p>
        </w:tc>
        <w:tc>
          <w:tcPr>
            <w:tcW w:type="dxa" w:w="3120"/>
            <w:shd w:fill="FFFFFF"/>
            <w:tcMar>
              <w:top w:w="50" w:type="dxa"/>
              <w:bottom w:w="50" w:type="dxa"/>
              <w:left w:w="100" w:type="dxa"/>
              <w:right w:w="100" w:type="dxa"/>
            </w:tcMar>
          </w:tcPr>
          <w:p>
            <w:pPr>
              <w:spacing w:after="0"/>
            </w:pPr>
            <w:r>
              <w:rPr>
                <w:rFonts w:ascii="Calibri" w:hAnsi="Calibri"/>
                <w:color w:val="334155"/>
                <w:sz w:val="18"/>
              </w:rPr>
              <w:t>Variables tipadas: subscription_id, SKU, versión de Node, cuotas y nombre web.</w:t>
            </w:r>
          </w:p>
        </w:tc>
      </w:tr>
      <w:tr>
        <w:tc>
          <w:tcPr>
            <w:tcW w:type="dxa" w:w="3120"/>
            <w:shd w:fill="F8FAFC"/>
            <w:tcMar>
              <w:top w:w="50" w:type="dxa"/>
              <w:bottom w:w="50" w:type="dxa"/>
              <w:left w:w="100" w:type="dxa"/>
              <w:right w:w="100" w:type="dxa"/>
            </w:tcMar>
          </w:tcPr>
          <w:p>
            <w:pPr>
              <w:spacing w:after="0"/>
            </w:pPr>
            <w:r>
              <w:rPr>
                <w:rFonts w:ascii="Calibri" w:hAnsi="Calibri"/>
                <w:color w:val="334155"/>
                <w:sz w:val="18"/>
              </w:rPr>
              <w:t>locals.tf</w:t>
            </w:r>
          </w:p>
        </w:tc>
        <w:tc>
          <w:tcPr>
            <w:tcW w:type="dxa" w:w="3120"/>
            <w:shd w:fill="F8FAFC"/>
            <w:tcMar>
              <w:top w:w="50" w:type="dxa"/>
              <w:bottom w:w="50" w:type="dxa"/>
              <w:left w:w="100" w:type="dxa"/>
              <w:right w:w="100" w:type="dxa"/>
            </w:tcMar>
          </w:tcPr>
          <w:p>
            <w:pPr>
              <w:spacing w:after="0"/>
            </w:pPr>
            <w:r>
              <w:rPr>
                <w:rFonts w:ascii="Calibri" w:hAnsi="Calibri"/>
                <w:color w:val="334155"/>
                <w:sz w:val="18"/>
              </w:rPr>
              <w:t>15</w:t>
            </w:r>
          </w:p>
        </w:tc>
        <w:tc>
          <w:tcPr>
            <w:tcW w:type="dxa" w:w="3120"/>
            <w:shd w:fill="F8FAFC"/>
            <w:tcMar>
              <w:top w:w="50" w:type="dxa"/>
              <w:bottom w:w="50" w:type="dxa"/>
              <w:left w:w="100" w:type="dxa"/>
              <w:right w:w="100" w:type="dxa"/>
            </w:tcMar>
          </w:tcPr>
          <w:p>
            <w:pPr>
              <w:spacing w:after="0"/>
            </w:pPr>
            <w:r>
              <w:rPr>
                <w:rFonts w:ascii="Calibri" w:hAnsi="Calibri"/>
                <w:color w:val="334155"/>
                <w:sz w:val="18"/>
              </w:rPr>
              <w:t>Define la región (eastus), sufijo CAF (utvt-integradora-qa-use-lgg01) y tags.</w:t>
            </w:r>
          </w:p>
        </w:tc>
      </w:tr>
      <w:tr>
        <w:tc>
          <w:tcPr>
            <w:tcW w:type="dxa" w:w="3120"/>
            <w:shd w:fill="FFFFFF"/>
            <w:tcMar>
              <w:top w:w="50" w:type="dxa"/>
              <w:bottom w:w="50" w:type="dxa"/>
              <w:left w:w="100" w:type="dxa"/>
              <w:right w:w="100" w:type="dxa"/>
            </w:tcMar>
          </w:tcPr>
          <w:p>
            <w:pPr>
              <w:spacing w:after="0"/>
            </w:pPr>
            <w:r>
              <w:rPr>
                <w:rFonts w:ascii="Calibri" w:hAnsi="Calibri"/>
                <w:color w:val="334155"/>
                <w:sz w:val="18"/>
              </w:rPr>
              <w:t>main.tf</w:t>
            </w:r>
          </w:p>
        </w:tc>
        <w:tc>
          <w:tcPr>
            <w:tcW w:type="dxa" w:w="3120"/>
            <w:shd w:fill="FFFFFF"/>
            <w:tcMar>
              <w:top w:w="50" w:type="dxa"/>
              <w:bottom w:w="50" w:type="dxa"/>
              <w:left w:w="100" w:type="dxa"/>
              <w:right w:w="100" w:type="dxa"/>
            </w:tcMar>
          </w:tcPr>
          <w:p>
            <w:pPr>
              <w:spacing w:after="0"/>
            </w:pPr>
            <w:r>
              <w:rPr>
                <w:rFonts w:ascii="Calibri" w:hAnsi="Calibri"/>
                <w:color w:val="334155"/>
                <w:sz w:val="18"/>
              </w:rPr>
              <w:t>67</w:t>
            </w:r>
          </w:p>
        </w:tc>
        <w:tc>
          <w:tcPr>
            <w:tcW w:type="dxa" w:w="3120"/>
            <w:shd w:fill="FFFFFF"/>
            <w:tcMar>
              <w:top w:w="50" w:type="dxa"/>
              <w:bottom w:w="50" w:type="dxa"/>
              <w:left w:w="100" w:type="dxa"/>
              <w:right w:w="100" w:type="dxa"/>
            </w:tcMar>
          </w:tcPr>
          <w:p>
            <w:pPr>
              <w:spacing w:after="0"/>
            </w:pPr>
            <w:r>
              <w:rPr>
                <w:rFonts w:ascii="Calibri" w:hAnsi="Calibri"/>
                <w:color w:val="334155"/>
                <w:sz w:val="18"/>
              </w:rPr>
              <w:t>Define los 5 recursos de infraestructura en AzureRM interconectados.</w:t>
            </w:r>
          </w:p>
        </w:tc>
      </w:tr>
      <w:tr>
        <w:tc>
          <w:tcPr>
            <w:tcW w:type="dxa" w:w="3120"/>
            <w:shd w:fill="F8FAFC"/>
            <w:tcMar>
              <w:top w:w="50" w:type="dxa"/>
              <w:bottom w:w="50" w:type="dxa"/>
              <w:left w:w="100" w:type="dxa"/>
              <w:right w:w="100" w:type="dxa"/>
            </w:tcMar>
          </w:tcPr>
          <w:p>
            <w:pPr>
              <w:spacing w:after="0"/>
            </w:pPr>
            <w:r>
              <w:rPr>
                <w:rFonts w:ascii="Calibri" w:hAnsi="Calibri"/>
                <w:color w:val="334155"/>
                <w:sz w:val="18"/>
              </w:rPr>
              <w:t>outputs.tf</w:t>
            </w:r>
          </w:p>
        </w:tc>
        <w:tc>
          <w:tcPr>
            <w:tcW w:type="dxa" w:w="3120"/>
            <w:shd w:fill="F8FAFC"/>
            <w:tcMar>
              <w:top w:w="50" w:type="dxa"/>
              <w:bottom w:w="50" w:type="dxa"/>
              <w:left w:w="100" w:type="dxa"/>
              <w:right w:w="100" w:type="dxa"/>
            </w:tcMar>
          </w:tcPr>
          <w:p>
            <w:pPr>
              <w:spacing w:after="0"/>
            </w:pPr>
            <w:r>
              <w:rPr>
                <w:rFonts w:ascii="Calibri" w:hAnsi="Calibri"/>
                <w:color w:val="334155"/>
                <w:sz w:val="18"/>
              </w:rPr>
              <w:t>20</w:t>
            </w:r>
          </w:p>
        </w:tc>
        <w:tc>
          <w:tcPr>
            <w:tcW w:type="dxa" w:w="3120"/>
            <w:shd w:fill="F8FAFC"/>
            <w:tcMar>
              <w:top w:w="50" w:type="dxa"/>
              <w:bottom w:w="50" w:type="dxa"/>
              <w:left w:w="100" w:type="dxa"/>
              <w:right w:w="100" w:type="dxa"/>
            </w:tcMar>
          </w:tcPr>
          <w:p>
            <w:pPr>
              <w:spacing w:after="0"/>
            </w:pPr>
            <w:r>
              <w:rPr>
                <w:rFonts w:ascii="Calibri" w:hAnsi="Calibri"/>
                <w:color w:val="334155"/>
                <w:sz w:val="18"/>
              </w:rPr>
              <w:t>Exporta resource_group_name, web_app_url, appi_name y workspace_id.</w:t>
            </w:r>
          </w:p>
        </w:tc>
      </w:tr>
      <w:tr>
        <w:tc>
          <w:tcPr>
            <w:tcW w:type="dxa" w:w="3120"/>
            <w:shd w:fill="FFFFFF"/>
            <w:tcMar>
              <w:top w:w="50" w:type="dxa"/>
              <w:bottom w:w="50" w:type="dxa"/>
              <w:left w:w="100" w:type="dxa"/>
              <w:right w:w="100" w:type="dxa"/>
            </w:tcMar>
          </w:tcPr>
          <w:p>
            <w:pPr>
              <w:spacing w:after="0"/>
            </w:pPr>
            <w:r>
              <w:rPr>
                <w:rFonts w:ascii="Calibri" w:hAnsi="Calibri"/>
                <w:color w:val="334155"/>
                <w:sz w:val="18"/>
              </w:rPr>
              <w:t>terraform.tfvars</w:t>
            </w:r>
          </w:p>
        </w:tc>
        <w:tc>
          <w:tcPr>
            <w:tcW w:type="dxa" w:w="3120"/>
            <w:shd w:fill="FFFFFF"/>
            <w:tcMar>
              <w:top w:w="50" w:type="dxa"/>
              <w:bottom w:w="50" w:type="dxa"/>
              <w:left w:w="100" w:type="dxa"/>
              <w:right w:w="100" w:type="dxa"/>
            </w:tcMar>
          </w:tcPr>
          <w:p>
            <w:pPr>
              <w:spacing w:after="0"/>
            </w:pPr>
            <w:r>
              <w:rPr>
                <w:rFonts w:ascii="Calibri" w:hAnsi="Calibri"/>
                <w:color w:val="334155"/>
                <w:sz w:val="18"/>
              </w:rPr>
              <w:t>1</w:t>
            </w:r>
          </w:p>
        </w:tc>
        <w:tc>
          <w:tcPr>
            <w:tcW w:type="dxa" w:w="3120"/>
            <w:shd w:fill="FFFFFF"/>
            <w:tcMar>
              <w:top w:w="50" w:type="dxa"/>
              <w:bottom w:w="50" w:type="dxa"/>
              <w:left w:w="100" w:type="dxa"/>
              <w:right w:w="100" w:type="dxa"/>
            </w:tcMar>
          </w:tcPr>
          <w:p>
            <w:pPr>
              <w:spacing w:after="0"/>
            </w:pPr>
            <w:r>
              <w:rPr>
                <w:rFonts w:ascii="Calibri" w:hAnsi="Calibri"/>
                <w:color w:val="334155"/>
                <w:sz w:val="18"/>
              </w:rPr>
              <w:t>Asigna el ID real de la suscripción para el entorno local (ignorado en git).</w:t>
            </w:r>
          </w:p>
        </w:tc>
      </w:tr>
      <w:tr>
        <w:tc>
          <w:tcPr>
            <w:tcW w:type="dxa" w:w="3120"/>
            <w:shd w:fill="F8FAFC"/>
            <w:tcMar>
              <w:top w:w="50" w:type="dxa"/>
              <w:bottom w:w="50" w:type="dxa"/>
              <w:left w:w="100" w:type="dxa"/>
              <w:right w:w="100" w:type="dxa"/>
            </w:tcMar>
          </w:tcPr>
          <w:p>
            <w:pPr>
              <w:spacing w:after="0"/>
            </w:pPr>
            <w:r>
              <w:rPr>
                <w:rFonts w:ascii="Calibri" w:hAnsi="Calibri"/>
                <w:color w:val="334155"/>
                <w:sz w:val="18"/>
              </w:rPr>
              <w:t>.gitignore</w:t>
            </w:r>
          </w:p>
        </w:tc>
        <w:tc>
          <w:tcPr>
            <w:tcW w:type="dxa" w:w="3120"/>
            <w:shd w:fill="F8FAFC"/>
            <w:tcMar>
              <w:top w:w="50" w:type="dxa"/>
              <w:bottom w:w="50" w:type="dxa"/>
              <w:left w:w="100" w:type="dxa"/>
              <w:right w:w="100" w:type="dxa"/>
            </w:tcMar>
          </w:tcPr>
          <w:p>
            <w:pPr>
              <w:spacing w:after="0"/>
            </w:pPr>
            <w:r>
              <w:rPr>
                <w:rFonts w:ascii="Calibri" w:hAnsi="Calibri"/>
                <w:color w:val="334155"/>
                <w:sz w:val="18"/>
              </w:rPr>
              <w:t>28</w:t>
            </w:r>
          </w:p>
        </w:tc>
        <w:tc>
          <w:tcPr>
            <w:tcW w:type="dxa" w:w="3120"/>
            <w:shd w:fill="F8FAFC"/>
            <w:tcMar>
              <w:top w:w="50" w:type="dxa"/>
              <w:bottom w:w="50" w:type="dxa"/>
              <w:left w:w="100" w:type="dxa"/>
              <w:right w:w="100" w:type="dxa"/>
            </w:tcMar>
          </w:tcPr>
          <w:p>
            <w:pPr>
              <w:spacing w:after="0"/>
            </w:pPr>
            <w:r>
              <w:rPr>
                <w:rFonts w:ascii="Calibri" w:hAnsi="Calibri"/>
                <w:color w:val="334155"/>
                <w:sz w:val="18"/>
              </w:rPr>
              <w:t>Excluye .terraform/, lock files de estado *.tfstate y archivos *.tfvars sensibles.</w:t>
            </w:r>
          </w:p>
        </w:tc>
      </w:tr>
    </w:tbl>
    <w:p>
      <w:pPr>
        <w:spacing w:after="160"/>
      </w:pPr>
    </w:p>
    <w:p>
      <w:pPr>
        <w:pStyle w:val="Heading1"/>
        <w:spacing w:before="320" w:after="120"/>
      </w:pPr>
      <w:r>
        <w:rPr>
          <w:rFonts w:ascii="Calibri" w:hAnsi="Calibri"/>
          <w:b/>
          <w:color w:val="5C4EE5"/>
          <w:sz w:val="32"/>
        </w:rPr>
        <w:t>6. Desarrollo Paso a Paso del Ciclo de Vida de Terraform</w:t>
      </w:r>
    </w:p>
    <w:p>
      <w:pPr>
        <w:spacing w:before="0" w:after="120" w:line="276" w:lineRule="auto"/>
      </w:pPr>
      <w:r>
        <w:rPr>
          <w:rFonts w:ascii="Calibri" w:hAnsi="Calibri"/>
          <w:color w:val="334155"/>
          <w:sz w:val="22"/>
        </w:rPr>
        <w:t>El flujo de trabajo se ejecutó estrictamente en concordancia con el ciclo de vida canónico de Terraform:</w:t>
      </w:r>
    </w:p>
    <w:p>
      <w:pPr>
        <w:pStyle w:val="Heading2"/>
        <w:spacing w:before="240" w:after="80"/>
      </w:pPr>
      <w:r>
        <w:rPr>
          <w:rFonts w:ascii="Calibri" w:hAnsi="Calibri"/>
          <w:b/>
          <w:color w:val="334155"/>
          <w:sz w:val="26"/>
        </w:rPr>
        <w:t>6.1 Inicialización del Directorio de Trabajo (terraform init)</w:t>
      </w:r>
    </w:p>
    <w:p>
      <w:pPr>
        <w:spacing w:before="0" w:after="120" w:line="276" w:lineRule="auto"/>
      </w:pPr>
      <w:r>
        <w:rPr>
          <w:rFonts w:ascii="Calibri" w:hAnsi="Calibri"/>
          <w:color w:val="334155"/>
          <w:sz w:val="22"/>
        </w:rPr>
        <w:t>El comando terraform init leyó la configuración en providers.tf, descargó el proveedor oficial hashicorp/azurerm v5.0.0 firmado por HashiCorp e inicializó el backend local.</w:t>
      </w:r>
    </w:p>
    <w:p>
      <w:pPr>
        <w:spacing w:before="160" w:after="80"/>
        <w:jc w:val="center"/>
      </w:pPr>
      <w:r>
        <w:drawing>
          <wp:inline xmlns:a="http://schemas.openxmlformats.org/drawingml/2006/main" xmlns:pic="http://schemas.openxmlformats.org/drawingml/2006/picture">
            <wp:extent cx="5852160" cy="1875079"/>
            <wp:docPr id="5" name="Picture 5"/>
            <wp:cNvGraphicFramePr>
              <a:graphicFrameLocks noChangeAspect="1"/>
            </wp:cNvGraphicFramePr>
            <a:graphic>
              <a:graphicData uri="http://schemas.openxmlformats.org/drawingml/2006/picture">
                <pic:pic>
                  <pic:nvPicPr>
                    <pic:cNvPr id="0" name="05-terraform-init.png"/>
                    <pic:cNvPicPr/>
                  </pic:nvPicPr>
                  <pic:blipFill>
                    <a:blip r:embed="rId14"/>
                    <a:stretch>
                      <a:fillRect/>
                    </a:stretch>
                  </pic:blipFill>
                  <pic:spPr>
                    <a:xfrm>
                      <a:off x="0" y="0"/>
                      <a:ext cx="5852160" cy="1875079"/>
                    </a:xfrm>
                    <a:prstGeom prst="rect"/>
                  </pic:spPr>
                </pic:pic>
              </a:graphicData>
            </a:graphic>
          </wp:inline>
        </w:drawing>
      </w:r>
    </w:p>
    <w:p>
      <w:pPr>
        <w:spacing w:before="0" w:after="240"/>
        <w:jc w:val="center"/>
      </w:pPr>
      <w:r>
        <w:rPr>
          <w:rFonts w:ascii="Calibri" w:hAnsi="Calibri"/>
          <w:i/>
          <w:color w:val="64748B"/>
          <w:sz w:val="19"/>
        </w:rPr>
        <w:t>Figura 5. Ejecución exitosa de terraform init con descarga e instalación del proveedor AzureRM.</w:t>
      </w:r>
    </w:p>
    <w:p>
      <w:pPr>
        <w:pStyle w:val="Heading2"/>
        <w:spacing w:before="240" w:after="80"/>
      </w:pPr>
      <w:r>
        <w:rPr>
          <w:rFonts w:ascii="Calibri" w:hAnsi="Calibri"/>
          <w:b/>
          <w:color w:val="334155"/>
          <w:sz w:val="26"/>
        </w:rPr>
        <w:t>6.2 Formateo y Validación Sintáctica (terraform fmt &amp; validate)</w:t>
      </w:r>
    </w:p>
    <w:p>
      <w:pPr>
        <w:spacing w:before="0" w:after="120" w:line="276" w:lineRule="auto"/>
      </w:pPr>
      <w:r>
        <w:rPr>
          <w:rFonts w:ascii="Calibri" w:hAnsi="Calibri"/>
          <w:color w:val="334155"/>
          <w:sz w:val="22"/>
        </w:rPr>
        <w:t>Se ejecutó terraform fmt -check para asegurar que la indentación y sangrado respeten el estándar oficial HCL, seguido de terraform validate para corroborar la coherencia sintáctica interna y la validez de los tipos de variables.</w:t>
      </w:r>
    </w:p>
    <w:p>
      <w:pPr>
        <w:spacing w:before="160" w:after="80"/>
        <w:jc w:val="center"/>
      </w:pPr>
      <w:r>
        <w:drawing>
          <wp:inline xmlns:a="http://schemas.openxmlformats.org/drawingml/2006/main" xmlns:pic="http://schemas.openxmlformats.org/drawingml/2006/picture">
            <wp:extent cx="5852160" cy="1086830"/>
            <wp:docPr id="6" name="Picture 6"/>
            <wp:cNvGraphicFramePr>
              <a:graphicFrameLocks noChangeAspect="1"/>
            </wp:cNvGraphicFramePr>
            <a:graphic>
              <a:graphicData uri="http://schemas.openxmlformats.org/drawingml/2006/picture">
                <pic:pic>
                  <pic:nvPicPr>
                    <pic:cNvPr id="0" name="06-terraform-validate-fmt.png"/>
                    <pic:cNvPicPr/>
                  </pic:nvPicPr>
                  <pic:blipFill>
                    <a:blip r:embed="rId15"/>
                    <a:stretch>
                      <a:fillRect/>
                    </a:stretch>
                  </pic:blipFill>
                  <pic:spPr>
                    <a:xfrm>
                      <a:off x="0" y="0"/>
                      <a:ext cx="5852160" cy="1086830"/>
                    </a:xfrm>
                    <a:prstGeom prst="rect"/>
                  </pic:spPr>
                </pic:pic>
              </a:graphicData>
            </a:graphic>
          </wp:inline>
        </w:drawing>
      </w:r>
    </w:p>
    <w:p>
      <w:pPr>
        <w:spacing w:before="0" w:after="240"/>
        <w:jc w:val="center"/>
      </w:pPr>
      <w:r>
        <w:rPr>
          <w:rFonts w:ascii="Calibri" w:hAnsi="Calibri"/>
          <w:i/>
          <w:color w:val="64748B"/>
          <w:sz w:val="19"/>
        </w:rPr>
        <w:t>Figura 6. Validación sintáctica con resultado 'Success! The configuration is valid.'</w:t>
      </w:r>
    </w:p>
    <w:p>
      <w:pPr>
        <w:pStyle w:val="Heading2"/>
        <w:spacing w:before="240" w:after="80"/>
      </w:pPr>
      <w:r>
        <w:rPr>
          <w:rFonts w:ascii="Calibri" w:hAnsi="Calibri"/>
          <w:b/>
          <w:color w:val="334155"/>
          <w:sz w:val="26"/>
        </w:rPr>
        <w:t>6.3 Planificación de la Infraestructura (terraform plan)</w:t>
      </w:r>
    </w:p>
    <w:p>
      <w:pPr>
        <w:spacing w:before="0" w:after="120" w:line="276" w:lineRule="auto"/>
      </w:pPr>
      <w:r>
        <w:rPr>
          <w:rFonts w:ascii="Calibri" w:hAnsi="Calibri"/>
          <w:color w:val="334155"/>
          <w:sz w:val="22"/>
        </w:rPr>
        <w:t>Se generó el plan de ejecución comparando el estado deseado contra el estado real de la nube. Terraform calculó con exactitud la creación secuencial de 5 recursos:</w:t>
      </w:r>
    </w:p>
    <w:p>
      <w:pPr>
        <w:spacing w:before="160" w:after="80"/>
        <w:jc w:val="center"/>
      </w:pPr>
      <w:r>
        <w:drawing>
          <wp:inline xmlns:a="http://schemas.openxmlformats.org/drawingml/2006/main" xmlns:pic="http://schemas.openxmlformats.org/drawingml/2006/picture">
            <wp:extent cx="5852160" cy="4371205"/>
            <wp:docPr id="7" name="Picture 7"/>
            <wp:cNvGraphicFramePr>
              <a:graphicFrameLocks noChangeAspect="1"/>
            </wp:cNvGraphicFramePr>
            <a:graphic>
              <a:graphicData uri="http://schemas.openxmlformats.org/drawingml/2006/picture">
                <pic:pic>
                  <pic:nvPicPr>
                    <pic:cNvPr id="0" name="07-terraform-plan.png"/>
                    <pic:cNvPicPr/>
                  </pic:nvPicPr>
                  <pic:blipFill>
                    <a:blip r:embed="rId16"/>
                    <a:stretch>
                      <a:fillRect/>
                    </a:stretch>
                  </pic:blipFill>
                  <pic:spPr>
                    <a:xfrm>
                      <a:off x="0" y="0"/>
                      <a:ext cx="5852160" cy="4371205"/>
                    </a:xfrm>
                    <a:prstGeom prst="rect"/>
                  </pic:spPr>
                </pic:pic>
              </a:graphicData>
            </a:graphic>
          </wp:inline>
        </w:drawing>
      </w:r>
    </w:p>
    <w:p>
      <w:pPr>
        <w:spacing w:before="0" w:after="240"/>
        <w:jc w:val="center"/>
      </w:pPr>
      <w:r>
        <w:rPr>
          <w:rFonts w:ascii="Calibri" w:hAnsi="Calibri"/>
          <w:i/>
          <w:color w:val="64748B"/>
          <w:sz w:val="19"/>
        </w:rPr>
        <w:t>Figura 7. Salida de terraform plan resumiendo: 5 to add, 0 to change, 0 to destroy.</w:t>
      </w:r>
    </w:p>
    <w:p>
      <w:pPr>
        <w:pStyle w:val="Heading2"/>
        <w:spacing w:before="240" w:after="80"/>
      </w:pPr>
      <w:r>
        <w:rPr>
          <w:rFonts w:ascii="Calibri" w:hAnsi="Calibri"/>
          <w:b/>
          <w:color w:val="334155"/>
          <w:sz w:val="26"/>
        </w:rPr>
        <w:t>6.4 Aprovisionamiento en Nube (terraform apply)</w:t>
      </w:r>
    </w:p>
    <w:p>
      <w:pPr>
        <w:spacing w:before="0" w:after="120" w:line="276" w:lineRule="auto"/>
      </w:pPr>
      <w:r>
        <w:rPr>
          <w:rFonts w:ascii="Calibri" w:hAnsi="Calibri"/>
          <w:color w:val="334155"/>
          <w:sz w:val="22"/>
        </w:rPr>
        <w:t>Se aplicó el plan mediante terraform apply -auto-approve. El motor de Terraform orquestó la creación respetando el grafo de dependencias implícitas:</w:t>
      </w:r>
    </w:p>
    <w:p>
      <w:pPr>
        <w:spacing w:before="0" w:after="120" w:line="276" w:lineRule="auto"/>
      </w:pPr>
      <w:r>
        <w:rPr>
          <w:rFonts w:ascii="Calibri" w:hAnsi="Calibri"/>
          <w:color w:val="334155"/>
          <w:sz w:val="22"/>
        </w:rPr>
        <w:t>1. Creación del Grupo de Recursos (rg-utvt-integradora-qa-use-lgg01) [27 segundos].</w:t>
      </w:r>
    </w:p>
    <w:p>
      <w:pPr>
        <w:spacing w:before="0" w:after="120" w:line="276" w:lineRule="auto"/>
      </w:pPr>
      <w:r>
        <w:rPr>
          <w:rFonts w:ascii="Calibri" w:hAnsi="Calibri"/>
          <w:color w:val="334155"/>
          <w:sz w:val="22"/>
        </w:rPr>
        <w:t>2. Creación en paralelo del App Service Plan (asp-...) [32s] y del Log Analytics Workspace (log-...) [44s].</w:t>
      </w:r>
    </w:p>
    <w:p>
      <w:pPr>
        <w:spacing w:before="0" w:after="120" w:line="276" w:lineRule="auto"/>
      </w:pPr>
      <w:r>
        <w:rPr>
          <w:rFonts w:ascii="Calibri" w:hAnsi="Calibri"/>
          <w:color w:val="334155"/>
          <w:sz w:val="22"/>
        </w:rPr>
        <w:t>3. Creación de Application Insights vinculado al workspace [4s].</w:t>
      </w:r>
    </w:p>
    <w:p>
      <w:pPr>
        <w:spacing w:before="0" w:after="120" w:line="276" w:lineRule="auto"/>
      </w:pPr>
      <w:r>
        <w:rPr>
          <w:rFonts w:ascii="Calibri" w:hAnsi="Calibri"/>
          <w:color w:val="334155"/>
          <w:sz w:val="22"/>
        </w:rPr>
        <w:t>4. Despliegue de la Linux Web App vinculada al App Service Plan e inyectando las Connection Strings de Application Insights [1m 8s].</w:t>
      </w:r>
    </w:p>
    <w:p>
      <w:pPr>
        <w:spacing w:before="0" w:after="120" w:line="276" w:lineRule="auto"/>
      </w:pPr>
      <w:r>
        <w:rPr>
          <w:rFonts w:ascii="Calibri" w:hAnsi="Calibri"/>
          <w:color w:val="334155"/>
          <w:sz w:val="22"/>
        </w:rPr>
        <w:t>Tiempo total de despliegue: 2 minutos y 48 segundos sin errores.</w:t>
      </w:r>
    </w:p>
    <w:p>
      <w:pPr>
        <w:spacing w:before="160" w:after="80"/>
        <w:jc w:val="center"/>
      </w:pPr>
      <w:r>
        <w:drawing>
          <wp:inline xmlns:a="http://schemas.openxmlformats.org/drawingml/2006/main" xmlns:pic="http://schemas.openxmlformats.org/drawingml/2006/picture">
            <wp:extent cx="5852160" cy="2926080"/>
            <wp:docPr id="8" name="Picture 8"/>
            <wp:cNvGraphicFramePr>
              <a:graphicFrameLocks noChangeAspect="1"/>
            </wp:cNvGraphicFramePr>
            <a:graphic>
              <a:graphicData uri="http://schemas.openxmlformats.org/drawingml/2006/picture">
                <pic:pic>
                  <pic:nvPicPr>
                    <pic:cNvPr id="0" name="08-terraform-apply.png"/>
                    <pic:cNvPicPr/>
                  </pic:nvPicPr>
                  <pic:blipFill>
                    <a:blip r:embed="rId17"/>
                    <a:stretch>
                      <a:fillRect/>
                    </a:stretch>
                  </pic:blipFill>
                  <pic:spPr>
                    <a:xfrm>
                      <a:off x="0" y="0"/>
                      <a:ext cx="5852160" cy="2926080"/>
                    </a:xfrm>
                    <a:prstGeom prst="rect"/>
                  </pic:spPr>
                </pic:pic>
              </a:graphicData>
            </a:graphic>
          </wp:inline>
        </w:drawing>
      </w:r>
    </w:p>
    <w:p>
      <w:pPr>
        <w:spacing w:before="0" w:after="240"/>
        <w:jc w:val="center"/>
      </w:pPr>
      <w:r>
        <w:rPr>
          <w:rFonts w:ascii="Calibri" w:hAnsi="Calibri"/>
          <w:i/>
          <w:color w:val="64748B"/>
          <w:sz w:val="19"/>
        </w:rPr>
        <w:t>Figura 8. Salida de terraform apply confirmando 'Apply complete! Resources: 5 added' y valores de salida.</w:t>
      </w:r>
    </w:p>
    <w:p>
      <w:pPr>
        <w:pStyle w:val="Heading2"/>
        <w:spacing w:before="240" w:after="80"/>
      </w:pPr>
      <w:r>
        <w:rPr>
          <w:rFonts w:ascii="Calibri" w:hAnsi="Calibri"/>
          <w:b/>
          <w:color w:val="334155"/>
          <w:sz w:val="26"/>
        </w:rPr>
        <w:t>6.5 Auditoría de Recursos Desplegados en Azure</w:t>
      </w:r>
    </w:p>
    <w:p>
      <w:pPr>
        <w:spacing w:before="0" w:after="120" w:line="276" w:lineRule="auto"/>
      </w:pPr>
      <w:r>
        <w:rPr>
          <w:rFonts w:ascii="Calibri" w:hAnsi="Calibri"/>
          <w:color w:val="334155"/>
          <w:sz w:val="22"/>
        </w:rPr>
        <w:t>Se auditó directamente la suscripción mediante Azure CLI con az resource list para certificar que todos los componentes estuvieran en estado ProvisioningState = Succeeded.</w:t>
      </w:r>
    </w:p>
    <w:p>
      <w:pPr>
        <w:spacing w:before="160" w:after="80"/>
        <w:jc w:val="center"/>
      </w:pPr>
      <w:r>
        <w:drawing>
          <wp:inline xmlns:a="http://schemas.openxmlformats.org/drawingml/2006/main" xmlns:pic="http://schemas.openxmlformats.org/drawingml/2006/picture">
            <wp:extent cx="5852160" cy="1480955"/>
            <wp:docPr id="9" name="Picture 9"/>
            <wp:cNvGraphicFramePr>
              <a:graphicFrameLocks noChangeAspect="1"/>
            </wp:cNvGraphicFramePr>
            <a:graphic>
              <a:graphicData uri="http://schemas.openxmlformats.org/drawingml/2006/picture">
                <pic:pic>
                  <pic:nvPicPr>
                    <pic:cNvPr id="0" name="09-verificacion-azure-cli.png"/>
                    <pic:cNvPicPr/>
                  </pic:nvPicPr>
                  <pic:blipFill>
                    <a:blip r:embed="rId18"/>
                    <a:stretch>
                      <a:fillRect/>
                    </a:stretch>
                  </pic:blipFill>
                  <pic:spPr>
                    <a:xfrm>
                      <a:off x="0" y="0"/>
                      <a:ext cx="5852160" cy="1480955"/>
                    </a:xfrm>
                    <a:prstGeom prst="rect"/>
                  </pic:spPr>
                </pic:pic>
              </a:graphicData>
            </a:graphic>
          </wp:inline>
        </w:drawing>
      </w:r>
    </w:p>
    <w:p>
      <w:pPr>
        <w:spacing w:before="0" w:after="240"/>
        <w:jc w:val="center"/>
      </w:pPr>
      <w:r>
        <w:rPr>
          <w:rFonts w:ascii="Calibri" w:hAnsi="Calibri"/>
          <w:i/>
          <w:color w:val="64748B"/>
          <w:sz w:val="19"/>
        </w:rPr>
        <w:t>Figura 9. Inventario en Azure CLI mostrando los 4 componentes en estado 'Succeeded'.</w:t>
      </w:r>
    </w:p>
    <w:p>
      <w:pPr>
        <w:pStyle w:val="Heading2"/>
        <w:spacing w:before="240" w:after="80"/>
      </w:pPr>
      <w:r>
        <w:rPr>
          <w:rFonts w:ascii="Calibri" w:hAnsi="Calibri"/>
          <w:b/>
          <w:color w:val="334155"/>
          <w:sz w:val="26"/>
        </w:rPr>
        <w:t>6.6 Verificación Funcional HTTP de la Aplicación Web</w:t>
      </w:r>
    </w:p>
    <w:p>
      <w:pPr>
        <w:spacing w:before="0" w:after="120" w:line="276" w:lineRule="auto"/>
      </w:pPr>
      <w:r>
        <w:rPr>
          <w:rFonts w:ascii="Calibri" w:hAnsi="Calibri"/>
          <w:color w:val="334155"/>
          <w:sz w:val="22"/>
        </w:rPr>
        <w:t>Se consultaron los metadatos del servicio web mediante az webapp show, comprobando que el estado operativo es 'Running', el stack es 'NODE|24-lts' y el atributo 'HTTPSOnly' está habilitado. Posteriormente, se efectuó una petición HTTP GET con curl a la URL pública generada (https://app-utvt-integradora-web-qa-use-lgg01.azurewebsites.net), recibiendo el código HTTP 200 OK y la página de bienvenida de Node.js de Azure App Service.</w:t>
      </w:r>
    </w:p>
    <w:p>
      <w:pPr>
        <w:spacing w:before="160" w:after="80"/>
        <w:jc w:val="center"/>
      </w:pPr>
      <w:r>
        <w:drawing>
          <wp:inline xmlns:a="http://schemas.openxmlformats.org/drawingml/2006/main" xmlns:pic="http://schemas.openxmlformats.org/drawingml/2006/picture">
            <wp:extent cx="5852160" cy="2137830"/>
            <wp:docPr id="10" name="Picture 10"/>
            <wp:cNvGraphicFramePr>
              <a:graphicFrameLocks noChangeAspect="1"/>
            </wp:cNvGraphicFramePr>
            <a:graphic>
              <a:graphicData uri="http://schemas.openxmlformats.org/drawingml/2006/picture">
                <pic:pic>
                  <pic:nvPicPr>
                    <pic:cNvPr id="0" name="10-webapp-http-test.png"/>
                    <pic:cNvPicPr/>
                  </pic:nvPicPr>
                  <pic:blipFill>
                    <a:blip r:embed="rId19"/>
                    <a:stretch>
                      <a:fillRect/>
                    </a:stretch>
                  </pic:blipFill>
                  <pic:spPr>
                    <a:xfrm>
                      <a:off x="0" y="0"/>
                      <a:ext cx="5852160" cy="2137830"/>
                    </a:xfrm>
                    <a:prstGeom prst="rect"/>
                  </pic:spPr>
                </pic:pic>
              </a:graphicData>
            </a:graphic>
          </wp:inline>
        </w:drawing>
      </w:r>
    </w:p>
    <w:p>
      <w:pPr>
        <w:spacing w:before="0" w:after="240"/>
        <w:jc w:val="center"/>
      </w:pPr>
      <w:r>
        <w:rPr>
          <w:rFonts w:ascii="Calibri" w:hAnsi="Calibri"/>
          <w:i/>
          <w:color w:val="64748B"/>
          <w:sz w:val="19"/>
        </w:rPr>
        <w:t>Figura 10. Consulta HTTP 200 OK y metadatos de ejecución de la Web App en Azure.</w:t>
      </w:r>
    </w:p>
    <w:p>
      <w:pPr>
        <w:pStyle w:val="Heading2"/>
        <w:spacing w:before="240" w:after="80"/>
      </w:pPr>
      <w:r>
        <w:rPr>
          <w:rFonts w:ascii="Calibri" w:hAnsi="Calibri"/>
          <w:b/>
          <w:color w:val="334155"/>
          <w:sz w:val="26"/>
        </w:rPr>
        <w:t>6.7 Gestión del Ciclo de Vida y Plan de Destrucción Controlada (terraform plan -destroy)</w:t>
      </w:r>
    </w:p>
    <w:p>
      <w:pPr>
        <w:spacing w:before="0" w:after="120" w:line="276" w:lineRule="auto"/>
      </w:pPr>
      <w:r>
        <w:rPr>
          <w:rFonts w:ascii="Calibri" w:hAnsi="Calibri"/>
          <w:color w:val="334155"/>
          <w:sz w:val="22"/>
        </w:rPr>
        <w:t>Como parte de las buenas prácticas de ingeniería en la nube y optimización de créditos estudiantiles, se probó la capacidad de teardown mediante terraform plan -destroy, confirmando que Terraform es capaz de desmantelar limpiamente los 5 recursos en orden inverso sin dejar artefactos huérfanos.</w:t>
      </w:r>
    </w:p>
    <w:p>
      <w:pPr>
        <w:spacing w:before="160" w:after="80"/>
        <w:jc w:val="center"/>
      </w:pPr>
      <w:r>
        <w:drawing>
          <wp:inline xmlns:a="http://schemas.openxmlformats.org/drawingml/2006/main" xmlns:pic="http://schemas.openxmlformats.org/drawingml/2006/picture">
            <wp:extent cx="5852160" cy="3057455"/>
            <wp:docPr id="11" name="Picture 11"/>
            <wp:cNvGraphicFramePr>
              <a:graphicFrameLocks noChangeAspect="1"/>
            </wp:cNvGraphicFramePr>
            <a:graphic>
              <a:graphicData uri="http://schemas.openxmlformats.org/drawingml/2006/picture">
                <pic:pic>
                  <pic:nvPicPr>
                    <pic:cNvPr id="0" name="12-terraform-destroy-plan.png"/>
                    <pic:cNvPicPr/>
                  </pic:nvPicPr>
                  <pic:blipFill>
                    <a:blip r:embed="rId20"/>
                    <a:stretch>
                      <a:fillRect/>
                    </a:stretch>
                  </pic:blipFill>
                  <pic:spPr>
                    <a:xfrm>
                      <a:off x="0" y="0"/>
                      <a:ext cx="5852160" cy="3057455"/>
                    </a:xfrm>
                    <a:prstGeom prst="rect"/>
                  </pic:spPr>
                </pic:pic>
              </a:graphicData>
            </a:graphic>
          </wp:inline>
        </w:drawing>
      </w:r>
    </w:p>
    <w:p>
      <w:pPr>
        <w:spacing w:before="0" w:after="240"/>
        <w:jc w:val="center"/>
      </w:pPr>
      <w:r>
        <w:rPr>
          <w:rFonts w:ascii="Calibri" w:hAnsi="Calibri"/>
          <w:i/>
          <w:color w:val="64748B"/>
          <w:sz w:val="19"/>
        </w:rPr>
        <w:t>Figura 11. Plan de destrucción controlada demostrando 5 to destroy.</w:t>
      </w:r>
    </w:p>
    <w:p>
      <w:pPr>
        <w:pStyle w:val="Heading1"/>
        <w:spacing w:before="320" w:after="120"/>
      </w:pPr>
      <w:r>
        <w:rPr>
          <w:rFonts w:ascii="Calibri" w:hAnsi="Calibri"/>
          <w:b/>
          <w:color w:val="5C4EE5"/>
          <w:sz w:val="32"/>
        </w:rPr>
        <w:t>7. Control de Versiones en Git y Repositorio en GitHub</w:t>
      </w:r>
    </w:p>
    <w:p>
      <w:pPr>
        <w:spacing w:before="0" w:after="120" w:line="276" w:lineRule="auto"/>
      </w:pPr>
      <w:r>
        <w:rPr>
          <w:rFonts w:ascii="Calibri" w:hAnsi="Calibri"/>
          <w:color w:val="334155"/>
          <w:sz w:val="22"/>
        </w:rPr>
        <w:t>El código fuente de la práctica fue gestionado rigurosamente con Git y publicado en GitHub en el repositorio público:</w:t>
      </w:r>
    </w:p>
    <w:p>
      <w:pPr>
        <w:spacing w:before="0" w:after="120" w:line="276" w:lineRule="auto"/>
      </w:pPr>
      <w:r>
        <w:rPr>
          <w:rFonts w:ascii="Calibri" w:hAnsi="Calibri"/>
          <w:b/>
          <w:color w:val="1E293B"/>
          <w:sz w:val="22"/>
        </w:rPr>
        <w:t xml:space="preserve">URL de GitHub: </w:t>
      </w:r>
      <w:r>
        <w:rPr>
          <w:rFonts w:ascii="Calibri" w:hAnsi="Calibri"/>
          <w:color w:val="334155"/>
          <w:sz w:val="22"/>
        </w:rPr>
        <w:t>https://github.com/LudwinGarcia1/terraform-tercer-programa</w:t>
      </w:r>
    </w:p>
    <w:p>
      <w:pPr>
        <w:spacing w:before="0" w:after="120" w:line="276" w:lineRule="auto"/>
      </w:pPr>
      <w:r>
        <w:rPr>
          <w:rFonts w:ascii="Calibri" w:hAnsi="Calibri"/>
          <w:color w:val="334155"/>
          <w:sz w:val="22"/>
        </w:rPr>
        <w:t>Se mantuvo un historial de commits claro, atómico y estructurado bajo la especificación Conventional Commits:</w:t>
      </w:r>
    </w:p>
    <w:tbl>
      <w:tblPr>
        <w:tblW w:type="auto" w:w="0"/>
        <w:jc w:val="center"/>
        <w:tblLook w:firstColumn="1" w:firstRow="1" w:lastColumn="0" w:lastRow="0" w:noHBand="0" w:noVBand="1" w:val="04A0"/>
      </w:tblPr>
      <w:tblGrid>
        <w:gridCol w:w="3120"/>
        <w:gridCol w:w="3120"/>
        <w:gridCol w:w="3120"/>
      </w:tblGrid>
      <w:tr>
        <w:tc>
          <w:tcPr>
            <w:tcW w:type="dxa" w:w="3120"/>
            <w:shd w:fill="5C4EE5"/>
          </w:tcPr>
          <w:p>
            <w:pPr>
              <w:spacing w:after="0"/>
            </w:pPr>
            <w:r>
              <w:rPr>
                <w:rFonts w:ascii="Calibri" w:hAnsi="Calibri"/>
                <w:b/>
                <w:color w:val="FFFFFF"/>
                <w:sz w:val="20"/>
              </w:rPr>
              <w:t>Hash</w:t>
            </w:r>
          </w:p>
        </w:tc>
        <w:tc>
          <w:tcPr>
            <w:tcW w:type="dxa" w:w="3120"/>
            <w:shd w:fill="5C4EE5"/>
          </w:tcPr>
          <w:p>
            <w:pPr>
              <w:spacing w:after="0"/>
            </w:pPr>
            <w:r>
              <w:rPr>
                <w:rFonts w:ascii="Calibri" w:hAnsi="Calibri"/>
                <w:b/>
                <w:color w:val="FFFFFF"/>
                <w:sz w:val="20"/>
              </w:rPr>
              <w:t>Tipo / Prefijo</w:t>
            </w:r>
          </w:p>
        </w:tc>
        <w:tc>
          <w:tcPr>
            <w:tcW w:type="dxa" w:w="3120"/>
            <w:shd w:fill="5C4EE5"/>
          </w:tcPr>
          <w:p>
            <w:pPr>
              <w:spacing w:after="0"/>
            </w:pPr>
            <w:r>
              <w:rPr>
                <w:rFonts w:ascii="Calibri" w:hAnsi="Calibri"/>
                <w:b/>
                <w:color w:val="FFFFFF"/>
                <w:sz w:val="20"/>
              </w:rPr>
              <w:t>Mensaje del Commit</w:t>
            </w:r>
          </w:p>
        </w:tc>
      </w:tr>
      <w:tr>
        <w:tc>
          <w:tcPr>
            <w:tcW w:type="dxa" w:w="3120"/>
            <w:shd w:fill="F8FAFC"/>
            <w:tcMar>
              <w:top w:w="40" w:type="dxa"/>
              <w:bottom w:w="40" w:type="dxa"/>
              <w:left w:w="80" w:type="dxa"/>
              <w:right w:w="80" w:type="dxa"/>
            </w:tcMar>
          </w:tcPr>
          <w:p>
            <w:pPr>
              <w:spacing w:after="0"/>
            </w:pPr>
            <w:r>
              <w:rPr>
                <w:rFonts w:ascii="Consolas" w:hAnsi="Consolas"/>
                <w:color w:val="5C4EE5"/>
                <w:sz w:val="18"/>
              </w:rPr>
              <w:t>e9daecc</w:t>
            </w:r>
          </w:p>
        </w:tc>
        <w:tc>
          <w:tcPr>
            <w:tcW w:type="dxa" w:w="3120"/>
            <w:shd w:fill="F8FAFC"/>
            <w:tcMar>
              <w:top w:w="40" w:type="dxa"/>
              <w:bottom w:w="40" w:type="dxa"/>
              <w:left w:w="80" w:type="dxa"/>
              <w:right w:w="80" w:type="dxa"/>
            </w:tcMar>
          </w:tcPr>
          <w:p>
            <w:pPr>
              <w:spacing w:after="0"/>
            </w:pPr>
            <w:r>
              <w:rPr>
                <w:rFonts w:ascii="Calibri" w:hAnsi="Calibri"/>
                <w:color w:val="334155"/>
                <w:sz w:val="18"/>
              </w:rPr>
              <w:t>docs</w:t>
            </w:r>
          </w:p>
        </w:tc>
        <w:tc>
          <w:tcPr>
            <w:tcW w:type="dxa" w:w="3120"/>
            <w:shd w:fill="F8FAFC"/>
            <w:tcMar>
              <w:top w:w="40" w:type="dxa"/>
              <w:bottom w:w="40" w:type="dxa"/>
              <w:left w:w="80" w:type="dxa"/>
              <w:right w:w="80" w:type="dxa"/>
            </w:tcMar>
          </w:tcPr>
          <w:p>
            <w:pPr>
              <w:spacing w:after="0"/>
            </w:pPr>
            <w:r>
              <w:rPr>
                <w:rFonts w:ascii="Calibri" w:hAnsi="Calibri"/>
                <w:color w:val="334155"/>
                <w:sz w:val="18"/>
              </w:rPr>
              <w:t>add laboratory evidence report and execution screenshots</w:t>
            </w:r>
          </w:p>
        </w:tc>
      </w:tr>
      <w:tr>
        <w:tc>
          <w:tcPr>
            <w:tcW w:type="dxa" w:w="3120"/>
            <w:shd w:fill="FFFFFF"/>
            <w:tcMar>
              <w:top w:w="40" w:type="dxa"/>
              <w:bottom w:w="40" w:type="dxa"/>
              <w:left w:w="80" w:type="dxa"/>
              <w:right w:w="80" w:type="dxa"/>
            </w:tcMar>
          </w:tcPr>
          <w:p>
            <w:pPr>
              <w:spacing w:after="0"/>
            </w:pPr>
            <w:r>
              <w:rPr>
                <w:rFonts w:ascii="Consolas" w:hAnsi="Consolas"/>
                <w:color w:val="5C4EE5"/>
                <w:sz w:val="18"/>
              </w:rPr>
              <w:t>19bc46e</w:t>
            </w:r>
          </w:p>
        </w:tc>
        <w:tc>
          <w:tcPr>
            <w:tcW w:type="dxa" w:w="3120"/>
            <w:shd w:fill="FFFFFF"/>
            <w:tcMar>
              <w:top w:w="40" w:type="dxa"/>
              <w:bottom w:w="40" w:type="dxa"/>
              <w:left w:w="80" w:type="dxa"/>
              <w:right w:w="80" w:type="dxa"/>
            </w:tcMar>
          </w:tcPr>
          <w:p>
            <w:pPr>
              <w:spacing w:after="0"/>
            </w:pPr>
            <w:r>
              <w:rPr>
                <w:rFonts w:ascii="Calibri" w:hAnsi="Calibri"/>
                <w:color w:val="334155"/>
                <w:sz w:val="18"/>
              </w:rPr>
              <w:t>fix</w:t>
            </w:r>
          </w:p>
        </w:tc>
        <w:tc>
          <w:tcPr>
            <w:tcW w:type="dxa" w:w="3120"/>
            <w:shd w:fill="FFFFFF"/>
            <w:tcMar>
              <w:top w:w="40" w:type="dxa"/>
              <w:bottom w:w="40" w:type="dxa"/>
              <w:left w:w="80" w:type="dxa"/>
              <w:right w:w="80" w:type="dxa"/>
            </w:tcMar>
          </w:tcPr>
          <w:p>
            <w:pPr>
              <w:spacing w:after="0"/>
            </w:pPr>
            <w:r>
              <w:rPr>
                <w:rFonts w:ascii="Calibri" w:hAnsi="Calibri"/>
                <w:color w:val="334155"/>
                <w:sz w:val="18"/>
              </w:rPr>
              <w:t>actualizar región a eastus (use) conforme a políticas de Azure for Students</w:t>
            </w:r>
          </w:p>
        </w:tc>
      </w:tr>
      <w:tr>
        <w:tc>
          <w:tcPr>
            <w:tcW w:type="dxa" w:w="3120"/>
            <w:shd w:fill="F8FAFC"/>
            <w:tcMar>
              <w:top w:w="40" w:type="dxa"/>
              <w:bottom w:w="40" w:type="dxa"/>
              <w:left w:w="80" w:type="dxa"/>
              <w:right w:w="80" w:type="dxa"/>
            </w:tcMar>
          </w:tcPr>
          <w:p>
            <w:pPr>
              <w:spacing w:after="0"/>
            </w:pPr>
            <w:r>
              <w:rPr>
                <w:rFonts w:ascii="Consolas" w:hAnsi="Consolas"/>
                <w:color w:val="5C4EE5"/>
                <w:sz w:val="18"/>
              </w:rPr>
              <w:t>2b58197</w:t>
            </w:r>
          </w:p>
        </w:tc>
        <w:tc>
          <w:tcPr>
            <w:tcW w:type="dxa" w:w="3120"/>
            <w:shd w:fill="F8FAFC"/>
            <w:tcMar>
              <w:top w:w="40" w:type="dxa"/>
              <w:bottom w:w="40" w:type="dxa"/>
              <w:left w:w="80" w:type="dxa"/>
              <w:right w:w="80" w:type="dxa"/>
            </w:tcMar>
          </w:tcPr>
          <w:p>
            <w:pPr>
              <w:spacing w:after="0"/>
            </w:pPr>
            <w:r>
              <w:rPr>
                <w:rFonts w:ascii="Calibri" w:hAnsi="Calibri"/>
                <w:color w:val="334155"/>
                <w:sz w:val="18"/>
              </w:rPr>
              <w:t>docs</w:t>
            </w:r>
          </w:p>
        </w:tc>
        <w:tc>
          <w:tcPr>
            <w:tcW w:type="dxa" w:w="3120"/>
            <w:shd w:fill="F8FAFC"/>
            <w:tcMar>
              <w:top w:w="40" w:type="dxa"/>
              <w:bottom w:w="40" w:type="dxa"/>
              <w:left w:w="80" w:type="dxa"/>
              <w:right w:w="80" w:type="dxa"/>
            </w:tcMar>
          </w:tcPr>
          <w:p>
            <w:pPr>
              <w:spacing w:after="0"/>
            </w:pPr>
            <w:r>
              <w:rPr>
                <w:rFonts w:ascii="Calibri" w:hAnsi="Calibri"/>
                <w:color w:val="334155"/>
                <w:sz w:val="18"/>
              </w:rPr>
              <w:t>add README with lab instructions</w:t>
            </w:r>
          </w:p>
        </w:tc>
      </w:tr>
      <w:tr>
        <w:tc>
          <w:tcPr>
            <w:tcW w:type="dxa" w:w="3120"/>
            <w:shd w:fill="FFFFFF"/>
            <w:tcMar>
              <w:top w:w="40" w:type="dxa"/>
              <w:bottom w:w="40" w:type="dxa"/>
              <w:left w:w="80" w:type="dxa"/>
              <w:right w:w="80" w:type="dxa"/>
            </w:tcMar>
          </w:tcPr>
          <w:p>
            <w:pPr>
              <w:spacing w:after="0"/>
            </w:pPr>
            <w:r>
              <w:rPr>
                <w:rFonts w:ascii="Consolas" w:hAnsi="Consolas"/>
                <w:color w:val="5C4EE5"/>
                <w:sz w:val="18"/>
              </w:rPr>
              <w:t>059a5b7</w:t>
            </w:r>
          </w:p>
        </w:tc>
        <w:tc>
          <w:tcPr>
            <w:tcW w:type="dxa" w:w="3120"/>
            <w:shd w:fill="FFFFFF"/>
            <w:tcMar>
              <w:top w:w="40" w:type="dxa"/>
              <w:bottom w:w="40" w:type="dxa"/>
              <w:left w:w="80" w:type="dxa"/>
              <w:right w:w="80" w:type="dxa"/>
            </w:tcMar>
          </w:tcPr>
          <w:p>
            <w:pPr>
              <w:spacing w:after="0"/>
            </w:pPr>
            <w:r>
              <w:rPr>
                <w:rFonts w:ascii="Calibri" w:hAnsi="Calibri"/>
                <w:color w:val="334155"/>
                <w:sz w:val="18"/>
              </w:rPr>
              <w:t>docs</w:t>
            </w:r>
          </w:p>
        </w:tc>
        <w:tc>
          <w:tcPr>
            <w:tcW w:type="dxa" w:w="3120"/>
            <w:shd w:fill="FFFFFF"/>
            <w:tcMar>
              <w:top w:w="40" w:type="dxa"/>
              <w:bottom w:w="40" w:type="dxa"/>
              <w:left w:w="80" w:type="dxa"/>
              <w:right w:w="80" w:type="dxa"/>
            </w:tcMar>
          </w:tcPr>
          <w:p>
            <w:pPr>
              <w:spacing w:after="0"/>
            </w:pPr>
            <w:r>
              <w:rPr>
                <w:rFonts w:ascii="Calibri" w:hAnsi="Calibri"/>
                <w:color w:val="334155"/>
                <w:sz w:val="18"/>
              </w:rPr>
              <w:t>add tfvars example for subscription id</w:t>
            </w:r>
          </w:p>
        </w:tc>
      </w:tr>
      <w:tr>
        <w:tc>
          <w:tcPr>
            <w:tcW w:type="dxa" w:w="3120"/>
            <w:shd w:fill="F8FAFC"/>
            <w:tcMar>
              <w:top w:w="40" w:type="dxa"/>
              <w:bottom w:w="40" w:type="dxa"/>
              <w:left w:w="80" w:type="dxa"/>
              <w:right w:w="80" w:type="dxa"/>
            </w:tcMar>
          </w:tcPr>
          <w:p>
            <w:pPr>
              <w:spacing w:after="0"/>
            </w:pPr>
            <w:r>
              <w:rPr>
                <w:rFonts w:ascii="Consolas" w:hAnsi="Consolas"/>
                <w:color w:val="5C4EE5"/>
                <w:sz w:val="18"/>
              </w:rPr>
              <w:t>9273cd4</w:t>
            </w:r>
          </w:p>
        </w:tc>
        <w:tc>
          <w:tcPr>
            <w:tcW w:type="dxa" w:w="3120"/>
            <w:shd w:fill="F8FAFC"/>
            <w:tcMar>
              <w:top w:w="40" w:type="dxa"/>
              <w:bottom w:w="40" w:type="dxa"/>
              <w:left w:w="80" w:type="dxa"/>
              <w:right w:w="80" w:type="dxa"/>
            </w:tcMar>
          </w:tcPr>
          <w:p>
            <w:pPr>
              <w:spacing w:after="0"/>
            </w:pPr>
            <w:r>
              <w:rPr>
                <w:rFonts w:ascii="Calibri" w:hAnsi="Calibri"/>
                <w:color w:val="334155"/>
                <w:sz w:val="18"/>
              </w:rPr>
              <w:t>chore</w:t>
            </w:r>
          </w:p>
        </w:tc>
        <w:tc>
          <w:tcPr>
            <w:tcW w:type="dxa" w:w="3120"/>
            <w:shd w:fill="F8FAFC"/>
            <w:tcMar>
              <w:top w:w="40" w:type="dxa"/>
              <w:bottom w:w="40" w:type="dxa"/>
              <w:left w:w="80" w:type="dxa"/>
              <w:right w:w="80" w:type="dxa"/>
            </w:tcMar>
          </w:tcPr>
          <w:p>
            <w:pPr>
              <w:spacing w:after="0"/>
            </w:pPr>
            <w:r>
              <w:rPr>
                <w:rFonts w:ascii="Calibri" w:hAnsi="Calibri"/>
                <w:color w:val="334155"/>
                <w:sz w:val="18"/>
              </w:rPr>
              <w:t>add provider dependency lock file (.terraform.lock.hcl)</w:t>
            </w:r>
          </w:p>
        </w:tc>
      </w:tr>
      <w:tr>
        <w:tc>
          <w:tcPr>
            <w:tcW w:type="dxa" w:w="3120"/>
            <w:shd w:fill="FFFFFF"/>
            <w:tcMar>
              <w:top w:w="40" w:type="dxa"/>
              <w:bottom w:w="40" w:type="dxa"/>
              <w:left w:w="80" w:type="dxa"/>
              <w:right w:w="80" w:type="dxa"/>
            </w:tcMar>
          </w:tcPr>
          <w:p>
            <w:pPr>
              <w:spacing w:after="0"/>
            </w:pPr>
            <w:r>
              <w:rPr>
                <w:rFonts w:ascii="Consolas" w:hAnsi="Consolas"/>
                <w:color w:val="5C4EE5"/>
                <w:sz w:val="18"/>
              </w:rPr>
              <w:t>304654b</w:t>
            </w:r>
          </w:p>
        </w:tc>
        <w:tc>
          <w:tcPr>
            <w:tcW w:type="dxa" w:w="3120"/>
            <w:shd w:fill="FFFFFF"/>
            <w:tcMar>
              <w:top w:w="40" w:type="dxa"/>
              <w:bottom w:w="40" w:type="dxa"/>
              <w:left w:w="80" w:type="dxa"/>
              <w:right w:w="80" w:type="dxa"/>
            </w:tcMar>
          </w:tcPr>
          <w:p>
            <w:pPr>
              <w:spacing w:after="0"/>
            </w:pPr>
            <w:r>
              <w:rPr>
                <w:rFonts w:ascii="Calibri" w:hAnsi="Calibri"/>
                <w:color w:val="334155"/>
                <w:sz w:val="18"/>
              </w:rPr>
              <w:t>feat</w:t>
            </w:r>
          </w:p>
        </w:tc>
        <w:tc>
          <w:tcPr>
            <w:tcW w:type="dxa" w:w="3120"/>
            <w:shd w:fill="FFFFFF"/>
            <w:tcMar>
              <w:top w:w="40" w:type="dxa"/>
              <w:bottom w:w="40" w:type="dxa"/>
              <w:left w:w="80" w:type="dxa"/>
              <w:right w:w="80" w:type="dxa"/>
            </w:tcMar>
          </w:tcPr>
          <w:p>
            <w:pPr>
              <w:spacing w:after="0"/>
            </w:pPr>
            <w:r>
              <w:rPr>
                <w:rFonts w:ascii="Calibri" w:hAnsi="Calibri"/>
                <w:color w:val="334155"/>
                <w:sz w:val="18"/>
              </w:rPr>
              <w:t>add outputs for resource group, web app and monitoring</w:t>
            </w:r>
          </w:p>
        </w:tc>
      </w:tr>
      <w:tr>
        <w:tc>
          <w:tcPr>
            <w:tcW w:type="dxa" w:w="3120"/>
            <w:shd w:fill="F8FAFC"/>
            <w:tcMar>
              <w:top w:w="40" w:type="dxa"/>
              <w:bottom w:w="40" w:type="dxa"/>
              <w:left w:w="80" w:type="dxa"/>
              <w:right w:w="80" w:type="dxa"/>
            </w:tcMar>
          </w:tcPr>
          <w:p>
            <w:pPr>
              <w:spacing w:after="0"/>
            </w:pPr>
            <w:r>
              <w:rPr>
                <w:rFonts w:ascii="Consolas" w:hAnsi="Consolas"/>
                <w:color w:val="5C4EE5"/>
                <w:sz w:val="18"/>
              </w:rPr>
              <w:t>25b7b4f</w:t>
            </w:r>
          </w:p>
        </w:tc>
        <w:tc>
          <w:tcPr>
            <w:tcW w:type="dxa" w:w="3120"/>
            <w:shd w:fill="F8FAFC"/>
            <w:tcMar>
              <w:top w:w="40" w:type="dxa"/>
              <w:bottom w:w="40" w:type="dxa"/>
              <w:left w:w="80" w:type="dxa"/>
              <w:right w:w="80" w:type="dxa"/>
            </w:tcMar>
          </w:tcPr>
          <w:p>
            <w:pPr>
              <w:spacing w:after="0"/>
            </w:pPr>
            <w:r>
              <w:rPr>
                <w:rFonts w:ascii="Calibri" w:hAnsi="Calibri"/>
                <w:color w:val="334155"/>
                <w:sz w:val="18"/>
              </w:rPr>
              <w:t>feat</w:t>
            </w:r>
          </w:p>
        </w:tc>
        <w:tc>
          <w:tcPr>
            <w:tcW w:type="dxa" w:w="3120"/>
            <w:shd w:fill="F8FAFC"/>
            <w:tcMar>
              <w:top w:w="40" w:type="dxa"/>
              <w:bottom w:w="40" w:type="dxa"/>
              <w:left w:w="80" w:type="dxa"/>
              <w:right w:w="80" w:type="dxa"/>
            </w:tcMar>
          </w:tcPr>
          <w:p>
            <w:pPr>
              <w:spacing w:after="0"/>
            </w:pPr>
            <w:r>
              <w:rPr>
                <w:rFonts w:ascii="Calibri" w:hAnsi="Calibri"/>
                <w:color w:val="334155"/>
                <w:sz w:val="18"/>
              </w:rPr>
              <w:t>add QA resources: resource group, monitoring and linux web app (main.tf)</w:t>
            </w:r>
          </w:p>
        </w:tc>
      </w:tr>
      <w:tr>
        <w:tc>
          <w:tcPr>
            <w:tcW w:type="dxa" w:w="3120"/>
            <w:shd w:fill="FFFFFF"/>
            <w:tcMar>
              <w:top w:w="40" w:type="dxa"/>
              <w:bottom w:w="40" w:type="dxa"/>
              <w:left w:w="80" w:type="dxa"/>
              <w:right w:w="80" w:type="dxa"/>
            </w:tcMar>
          </w:tcPr>
          <w:p>
            <w:pPr>
              <w:spacing w:after="0"/>
            </w:pPr>
            <w:r>
              <w:rPr>
                <w:rFonts w:ascii="Consolas" w:hAnsi="Consolas"/>
                <w:color w:val="5C4EE5"/>
                <w:sz w:val="18"/>
              </w:rPr>
              <w:t>2001869</w:t>
            </w:r>
          </w:p>
        </w:tc>
        <w:tc>
          <w:tcPr>
            <w:tcW w:type="dxa" w:w="3120"/>
            <w:shd w:fill="FFFFFF"/>
            <w:tcMar>
              <w:top w:w="40" w:type="dxa"/>
              <w:bottom w:w="40" w:type="dxa"/>
              <w:left w:w="80" w:type="dxa"/>
              <w:right w:w="80" w:type="dxa"/>
            </w:tcMar>
          </w:tcPr>
          <w:p>
            <w:pPr>
              <w:spacing w:after="0"/>
            </w:pPr>
            <w:r>
              <w:rPr>
                <w:rFonts w:ascii="Calibri" w:hAnsi="Calibri"/>
                <w:color w:val="334155"/>
                <w:sz w:val="18"/>
              </w:rPr>
              <w:t>feat</w:t>
            </w:r>
          </w:p>
        </w:tc>
        <w:tc>
          <w:tcPr>
            <w:tcW w:type="dxa" w:w="3120"/>
            <w:shd w:fill="FFFFFF"/>
            <w:tcMar>
              <w:top w:w="40" w:type="dxa"/>
              <w:bottom w:w="40" w:type="dxa"/>
              <w:left w:w="80" w:type="dxa"/>
              <w:right w:w="80" w:type="dxa"/>
            </w:tcMar>
          </w:tcPr>
          <w:p>
            <w:pPr>
              <w:spacing w:after="0"/>
            </w:pPr>
            <w:r>
              <w:rPr>
                <w:rFonts w:ascii="Calibri" w:hAnsi="Calibri"/>
                <w:color w:val="334155"/>
                <w:sz w:val="18"/>
              </w:rPr>
              <w:t>add locals for resource naming and tags (locals.tf)</w:t>
            </w:r>
          </w:p>
        </w:tc>
      </w:tr>
      <w:tr>
        <w:tc>
          <w:tcPr>
            <w:tcW w:type="dxa" w:w="3120"/>
            <w:shd w:fill="F8FAFC"/>
            <w:tcMar>
              <w:top w:w="40" w:type="dxa"/>
              <w:bottom w:w="40" w:type="dxa"/>
              <w:left w:w="80" w:type="dxa"/>
              <w:right w:w="80" w:type="dxa"/>
            </w:tcMar>
          </w:tcPr>
          <w:p>
            <w:pPr>
              <w:spacing w:after="0"/>
            </w:pPr>
            <w:r>
              <w:rPr>
                <w:rFonts w:ascii="Consolas" w:hAnsi="Consolas"/>
                <w:color w:val="5C4EE5"/>
                <w:sz w:val="18"/>
              </w:rPr>
              <w:t>f6550df</w:t>
            </w:r>
          </w:p>
        </w:tc>
        <w:tc>
          <w:tcPr>
            <w:tcW w:type="dxa" w:w="3120"/>
            <w:shd w:fill="F8FAFC"/>
            <w:tcMar>
              <w:top w:w="40" w:type="dxa"/>
              <w:bottom w:w="40" w:type="dxa"/>
              <w:left w:w="80" w:type="dxa"/>
              <w:right w:w="80" w:type="dxa"/>
            </w:tcMar>
          </w:tcPr>
          <w:p>
            <w:pPr>
              <w:spacing w:after="0"/>
            </w:pPr>
            <w:r>
              <w:rPr>
                <w:rFonts w:ascii="Calibri" w:hAnsi="Calibri"/>
                <w:color w:val="334155"/>
                <w:sz w:val="18"/>
              </w:rPr>
              <w:t>feat</w:t>
            </w:r>
          </w:p>
        </w:tc>
        <w:tc>
          <w:tcPr>
            <w:tcW w:type="dxa" w:w="3120"/>
            <w:shd w:fill="F8FAFC"/>
            <w:tcMar>
              <w:top w:w="40" w:type="dxa"/>
              <w:bottom w:w="40" w:type="dxa"/>
              <w:left w:w="80" w:type="dxa"/>
              <w:right w:w="80" w:type="dxa"/>
            </w:tcMar>
          </w:tcPr>
          <w:p>
            <w:pPr>
              <w:spacing w:after="0"/>
            </w:pPr>
            <w:r>
              <w:rPr>
                <w:rFonts w:ascii="Calibri" w:hAnsi="Calibri"/>
                <w:color w:val="334155"/>
                <w:sz w:val="18"/>
              </w:rPr>
              <w:t>add input variables for QA environment (variables.tf)</w:t>
            </w:r>
          </w:p>
        </w:tc>
      </w:tr>
      <w:tr>
        <w:tc>
          <w:tcPr>
            <w:tcW w:type="dxa" w:w="3120"/>
            <w:shd w:fill="FFFFFF"/>
            <w:tcMar>
              <w:top w:w="40" w:type="dxa"/>
              <w:bottom w:w="40" w:type="dxa"/>
              <w:left w:w="80" w:type="dxa"/>
              <w:right w:w="80" w:type="dxa"/>
            </w:tcMar>
          </w:tcPr>
          <w:p>
            <w:pPr>
              <w:spacing w:after="0"/>
            </w:pPr>
            <w:r>
              <w:rPr>
                <w:rFonts w:ascii="Consolas" w:hAnsi="Consolas"/>
                <w:color w:val="5C4EE5"/>
                <w:sz w:val="18"/>
              </w:rPr>
              <w:t>a48b3d7</w:t>
            </w:r>
          </w:p>
        </w:tc>
        <w:tc>
          <w:tcPr>
            <w:tcW w:type="dxa" w:w="3120"/>
            <w:shd w:fill="FFFFFF"/>
            <w:tcMar>
              <w:top w:w="40" w:type="dxa"/>
              <w:bottom w:w="40" w:type="dxa"/>
              <w:left w:w="80" w:type="dxa"/>
              <w:right w:w="80" w:type="dxa"/>
            </w:tcMar>
          </w:tcPr>
          <w:p>
            <w:pPr>
              <w:spacing w:after="0"/>
            </w:pPr>
            <w:r>
              <w:rPr>
                <w:rFonts w:ascii="Calibri" w:hAnsi="Calibri"/>
                <w:color w:val="334155"/>
                <w:sz w:val="18"/>
              </w:rPr>
              <w:t>feat</w:t>
            </w:r>
          </w:p>
        </w:tc>
        <w:tc>
          <w:tcPr>
            <w:tcW w:type="dxa" w:w="3120"/>
            <w:shd w:fill="FFFFFF"/>
            <w:tcMar>
              <w:top w:w="40" w:type="dxa"/>
              <w:bottom w:w="40" w:type="dxa"/>
              <w:left w:w="80" w:type="dxa"/>
              <w:right w:w="80" w:type="dxa"/>
            </w:tcMar>
          </w:tcPr>
          <w:p>
            <w:pPr>
              <w:spacing w:after="0"/>
            </w:pPr>
            <w:r>
              <w:rPr>
                <w:rFonts w:ascii="Calibri" w:hAnsi="Calibri"/>
                <w:color w:val="334155"/>
                <w:sz w:val="18"/>
              </w:rPr>
              <w:t>configure terraform block and azurerm provider (providers.tf)</w:t>
            </w:r>
          </w:p>
        </w:tc>
      </w:tr>
      <w:tr>
        <w:tc>
          <w:tcPr>
            <w:tcW w:type="dxa" w:w="3120"/>
            <w:shd w:fill="F8FAFC"/>
            <w:tcMar>
              <w:top w:w="40" w:type="dxa"/>
              <w:bottom w:w="40" w:type="dxa"/>
              <w:left w:w="80" w:type="dxa"/>
              <w:right w:w="80" w:type="dxa"/>
            </w:tcMar>
          </w:tcPr>
          <w:p>
            <w:pPr>
              <w:spacing w:after="0"/>
            </w:pPr>
            <w:r>
              <w:rPr>
                <w:rFonts w:ascii="Consolas" w:hAnsi="Consolas"/>
                <w:color w:val="5C4EE5"/>
                <w:sz w:val="18"/>
              </w:rPr>
              <w:t>383d3ba</w:t>
            </w:r>
          </w:p>
        </w:tc>
        <w:tc>
          <w:tcPr>
            <w:tcW w:type="dxa" w:w="3120"/>
            <w:shd w:fill="F8FAFC"/>
            <w:tcMar>
              <w:top w:w="40" w:type="dxa"/>
              <w:bottom w:w="40" w:type="dxa"/>
              <w:left w:w="80" w:type="dxa"/>
              <w:right w:w="80" w:type="dxa"/>
            </w:tcMar>
          </w:tcPr>
          <w:p>
            <w:pPr>
              <w:spacing w:after="0"/>
            </w:pPr>
            <w:r>
              <w:rPr>
                <w:rFonts w:ascii="Calibri" w:hAnsi="Calibri"/>
                <w:color w:val="334155"/>
                <w:sz w:val="18"/>
              </w:rPr>
              <w:t>chore</w:t>
            </w:r>
          </w:p>
        </w:tc>
        <w:tc>
          <w:tcPr>
            <w:tcW w:type="dxa" w:w="3120"/>
            <w:shd w:fill="F8FAFC"/>
            <w:tcMar>
              <w:top w:w="40" w:type="dxa"/>
              <w:bottom w:w="40" w:type="dxa"/>
              <w:left w:w="80" w:type="dxa"/>
              <w:right w:w="80" w:type="dxa"/>
            </w:tcMar>
          </w:tcPr>
          <w:p>
            <w:pPr>
              <w:spacing w:after="0"/>
            </w:pPr>
            <w:r>
              <w:rPr>
                <w:rFonts w:ascii="Calibri" w:hAnsi="Calibri"/>
                <w:color w:val="334155"/>
                <w:sz w:val="18"/>
              </w:rPr>
              <w:t>add Terraform gitignore</w:t>
            </w:r>
          </w:p>
        </w:tc>
      </w:tr>
    </w:tbl>
    <w:p>
      <w:pPr>
        <w:spacing w:after="120"/>
      </w:pPr>
    </w:p>
    <w:p>
      <w:pPr>
        <w:spacing w:before="160" w:after="80"/>
        <w:jc w:val="center"/>
      </w:pPr>
      <w:r>
        <w:drawing>
          <wp:inline xmlns:a="http://schemas.openxmlformats.org/drawingml/2006/main" xmlns:pic="http://schemas.openxmlformats.org/drawingml/2006/picture">
            <wp:extent cx="5852160" cy="2531955"/>
            <wp:docPr id="12" name="Picture 12"/>
            <wp:cNvGraphicFramePr>
              <a:graphicFrameLocks noChangeAspect="1"/>
            </wp:cNvGraphicFramePr>
            <a:graphic>
              <a:graphicData uri="http://schemas.openxmlformats.org/drawingml/2006/picture">
                <pic:pic>
                  <pic:nvPicPr>
                    <pic:cNvPr id="0" name="11-git-commit-history.png"/>
                    <pic:cNvPicPr/>
                  </pic:nvPicPr>
                  <pic:blipFill>
                    <a:blip r:embed="rId21"/>
                    <a:stretch>
                      <a:fillRect/>
                    </a:stretch>
                  </pic:blipFill>
                  <pic:spPr>
                    <a:xfrm>
                      <a:off x="0" y="0"/>
                      <a:ext cx="5852160" cy="2531955"/>
                    </a:xfrm>
                    <a:prstGeom prst="rect"/>
                  </pic:spPr>
                </pic:pic>
              </a:graphicData>
            </a:graphic>
          </wp:inline>
        </w:drawing>
      </w:r>
    </w:p>
    <w:p>
      <w:pPr>
        <w:spacing w:before="0" w:after="240"/>
        <w:jc w:val="center"/>
      </w:pPr>
      <w:r>
        <w:rPr>
          <w:rFonts w:ascii="Calibri" w:hAnsi="Calibri"/>
          <w:i/>
          <w:color w:val="64748B"/>
          <w:sz w:val="19"/>
        </w:rPr>
        <w:t>Figura 12. Historial de commits en Git y sincronización con GitHub.</w:t>
      </w:r>
    </w:p>
    <w:p>
      <w:pPr>
        <w:pStyle w:val="Heading1"/>
        <w:spacing w:before="320" w:after="120"/>
      </w:pPr>
      <w:r>
        <w:rPr>
          <w:rFonts w:ascii="Calibri" w:hAnsi="Calibri"/>
          <w:b/>
          <w:color w:val="5C4EE5"/>
          <w:sz w:val="32"/>
        </w:rPr>
        <w:t>8. Matriz de Resultados y Validación de Entregables</w:t>
      </w:r>
    </w:p>
    <w:p>
      <w:pPr>
        <w:spacing w:before="0" w:after="120" w:line="276" w:lineRule="auto"/>
      </w:pPr>
      <w:r>
        <w:rPr>
          <w:rFonts w:ascii="Calibri" w:hAnsi="Calibri"/>
          <w:color w:val="334155"/>
          <w:sz w:val="22"/>
        </w:rPr>
        <w:t>A continuación se resume el estado de cumplimiento de los objetivos y entregables solicitados:</w:t>
      </w:r>
    </w:p>
    <w:tbl>
      <w:tblPr>
        <w:tblW w:type="auto" w:w="0"/>
        <w:jc w:val="center"/>
        <w:tblLook w:firstColumn="1" w:firstRow="1" w:lastColumn="0" w:lastRow="0" w:noHBand="0" w:noVBand="1" w:val="04A0"/>
      </w:tblPr>
      <w:tblGrid>
        <w:gridCol w:w="3120"/>
        <w:gridCol w:w="3120"/>
        <w:gridCol w:w="3120"/>
      </w:tblGrid>
      <w:tr>
        <w:tc>
          <w:tcPr>
            <w:tcW w:type="dxa" w:w="3120"/>
            <w:shd w:fill="5C4EE5"/>
          </w:tcPr>
          <w:p>
            <w:pPr>
              <w:spacing w:after="0"/>
            </w:pPr>
            <w:r>
              <w:rPr>
                <w:rFonts w:ascii="Calibri" w:hAnsi="Calibri"/>
                <w:b/>
                <w:color w:val="FFFFFF"/>
                <w:sz w:val="20"/>
              </w:rPr>
              <w:t>Entregable / Criterio</w:t>
            </w:r>
          </w:p>
        </w:tc>
        <w:tc>
          <w:tcPr>
            <w:tcW w:type="dxa" w:w="3120"/>
            <w:shd w:fill="5C4EE5"/>
          </w:tcPr>
          <w:p>
            <w:pPr>
              <w:spacing w:after="0"/>
            </w:pPr>
            <w:r>
              <w:rPr>
                <w:rFonts w:ascii="Calibri" w:hAnsi="Calibri"/>
                <w:b/>
                <w:color w:val="FFFFFF"/>
                <w:sz w:val="20"/>
              </w:rPr>
              <w:t>Resultado Obtenido</w:t>
            </w:r>
          </w:p>
        </w:tc>
        <w:tc>
          <w:tcPr>
            <w:tcW w:type="dxa" w:w="3120"/>
            <w:shd w:fill="5C4EE5"/>
          </w:tcPr>
          <w:p>
            <w:pPr>
              <w:spacing w:after="0"/>
            </w:pPr>
            <w:r>
              <w:rPr>
                <w:rFonts w:ascii="Calibri" w:hAnsi="Calibri"/>
                <w:b/>
                <w:color w:val="FFFFFF"/>
                <w:sz w:val="20"/>
              </w:rPr>
              <w:t>Validación</w:t>
            </w:r>
          </w:p>
        </w:tc>
      </w:tr>
      <w:tr>
        <w:tc>
          <w:tcPr>
            <w:tcW w:type="dxa" w:w="3120"/>
            <w:shd w:fill="F8FAFC"/>
            <w:tcMar>
              <w:top w:w="50" w:type="dxa"/>
              <w:bottom w:w="50" w:type="dxa"/>
              <w:left w:w="100" w:type="dxa"/>
              <w:right w:w="100" w:type="dxa"/>
            </w:tcMar>
          </w:tcPr>
          <w:p>
            <w:pPr>
              <w:spacing w:after="0"/>
            </w:pPr>
            <w:r>
              <w:rPr>
                <w:rFonts w:ascii="Calibri" w:hAnsi="Calibri"/>
                <w:b w:val="0"/>
                <w:color w:val="334155"/>
                <w:sz w:val="19"/>
              </w:rPr>
              <w:t>Código fuente en repositorio Git</w:t>
            </w:r>
          </w:p>
        </w:tc>
        <w:tc>
          <w:tcPr>
            <w:tcW w:type="dxa" w:w="3120"/>
            <w:shd w:fill="F8FAFC"/>
            <w:tcMar>
              <w:top w:w="50" w:type="dxa"/>
              <w:bottom w:w="50" w:type="dxa"/>
              <w:left w:w="100" w:type="dxa"/>
              <w:right w:w="100" w:type="dxa"/>
            </w:tcMar>
          </w:tcPr>
          <w:p>
            <w:pPr>
              <w:spacing w:after="0"/>
            </w:pPr>
            <w:r>
              <w:rPr>
                <w:rFonts w:ascii="Calibri" w:hAnsi="Calibri"/>
                <w:b w:val="0"/>
                <w:color w:val="334155"/>
                <w:sz w:val="19"/>
              </w:rPr>
              <w:t>Repositorio público en GitHub con 10 commits claros y Conventional Commits.</w:t>
            </w:r>
          </w:p>
        </w:tc>
        <w:tc>
          <w:tcPr>
            <w:tcW w:type="dxa" w:w="3120"/>
            <w:shd w:fill="F8FAFC"/>
            <w:tcMar>
              <w:top w:w="50" w:type="dxa"/>
              <w:bottom w:w="50" w:type="dxa"/>
              <w:left w:w="100" w:type="dxa"/>
              <w:right w:w="100" w:type="dxa"/>
            </w:tcMar>
          </w:tcPr>
          <w:p>
            <w:pPr>
              <w:spacing w:after="0"/>
            </w:pPr>
            <w:r>
              <w:rPr>
                <w:rFonts w:ascii="Calibri" w:hAnsi="Calibri"/>
                <w:b/>
                <w:color w:val="059669"/>
                <w:sz w:val="19"/>
              </w:rPr>
              <w:t>CUMPLIDO AL 100%</w:t>
            </w:r>
          </w:p>
        </w:tc>
      </w:tr>
      <w:tr>
        <w:tc>
          <w:tcPr>
            <w:tcW w:type="dxa" w:w="3120"/>
            <w:shd w:fill="FFFFFF"/>
            <w:tcMar>
              <w:top w:w="50" w:type="dxa"/>
              <w:bottom w:w="50" w:type="dxa"/>
              <w:left w:w="100" w:type="dxa"/>
              <w:right w:w="100" w:type="dxa"/>
            </w:tcMar>
          </w:tcPr>
          <w:p>
            <w:pPr>
              <w:spacing w:after="0"/>
            </w:pPr>
            <w:r>
              <w:rPr>
                <w:rFonts w:ascii="Calibri" w:hAnsi="Calibri"/>
                <w:b w:val="0"/>
                <w:color w:val="334155"/>
                <w:sz w:val="19"/>
              </w:rPr>
              <w:t>Despliegue en Microsoft Azure</w:t>
            </w:r>
          </w:p>
        </w:tc>
        <w:tc>
          <w:tcPr>
            <w:tcW w:type="dxa" w:w="3120"/>
            <w:shd w:fill="FFFFFF"/>
            <w:tcMar>
              <w:top w:w="50" w:type="dxa"/>
              <w:bottom w:w="50" w:type="dxa"/>
              <w:left w:w="100" w:type="dxa"/>
              <w:right w:w="100" w:type="dxa"/>
            </w:tcMar>
          </w:tcPr>
          <w:p>
            <w:pPr>
              <w:spacing w:after="0"/>
            </w:pPr>
            <w:r>
              <w:rPr>
                <w:rFonts w:ascii="Calibri" w:hAnsi="Calibri"/>
                <w:b w:val="0"/>
                <w:color w:val="334155"/>
                <w:sz w:val="19"/>
              </w:rPr>
              <w:t>5 recursos aprovisionados exitosamente en Azure East US sin errores.</w:t>
            </w:r>
          </w:p>
        </w:tc>
        <w:tc>
          <w:tcPr>
            <w:tcW w:type="dxa" w:w="3120"/>
            <w:shd w:fill="FFFFFF"/>
            <w:tcMar>
              <w:top w:w="50" w:type="dxa"/>
              <w:bottom w:w="50" w:type="dxa"/>
              <w:left w:w="100" w:type="dxa"/>
              <w:right w:w="100" w:type="dxa"/>
            </w:tcMar>
          </w:tcPr>
          <w:p>
            <w:pPr>
              <w:spacing w:after="0"/>
            </w:pPr>
            <w:r>
              <w:rPr>
                <w:rFonts w:ascii="Calibri" w:hAnsi="Calibri"/>
                <w:b/>
                <w:color w:val="059669"/>
                <w:sz w:val="19"/>
              </w:rPr>
              <w:t>CUMPLIDO AL 100%</w:t>
            </w:r>
          </w:p>
        </w:tc>
      </w:tr>
      <w:tr>
        <w:tc>
          <w:tcPr>
            <w:tcW w:type="dxa" w:w="3120"/>
            <w:shd w:fill="F8FAFC"/>
            <w:tcMar>
              <w:top w:w="50" w:type="dxa"/>
              <w:bottom w:w="50" w:type="dxa"/>
              <w:left w:w="100" w:type="dxa"/>
              <w:right w:w="100" w:type="dxa"/>
            </w:tcMar>
          </w:tcPr>
          <w:p>
            <w:pPr>
              <w:spacing w:after="0"/>
            </w:pPr>
            <w:r>
              <w:rPr>
                <w:rFonts w:ascii="Calibri" w:hAnsi="Calibri"/>
                <w:b w:val="0"/>
                <w:color w:val="334155"/>
                <w:sz w:val="19"/>
              </w:rPr>
              <w:t>Nomenclatura y Cloud Adoption Framework</w:t>
            </w:r>
          </w:p>
        </w:tc>
        <w:tc>
          <w:tcPr>
            <w:tcW w:type="dxa" w:w="3120"/>
            <w:shd w:fill="F8FAFC"/>
            <w:tcMar>
              <w:top w:w="50" w:type="dxa"/>
              <w:bottom w:w="50" w:type="dxa"/>
              <w:left w:w="100" w:type="dxa"/>
              <w:right w:w="100" w:type="dxa"/>
            </w:tcMar>
          </w:tcPr>
          <w:p>
            <w:pPr>
              <w:spacing w:after="0"/>
            </w:pPr>
            <w:r>
              <w:rPr>
                <w:rFonts w:ascii="Calibri" w:hAnsi="Calibri"/>
                <w:b w:val="0"/>
                <w:color w:val="334155"/>
                <w:sz w:val="19"/>
              </w:rPr>
              <w:t>Prefijos rg, log, appi, asp, app y tags institucionales completos.</w:t>
            </w:r>
          </w:p>
        </w:tc>
        <w:tc>
          <w:tcPr>
            <w:tcW w:type="dxa" w:w="3120"/>
            <w:shd w:fill="F8FAFC"/>
            <w:tcMar>
              <w:top w:w="50" w:type="dxa"/>
              <w:bottom w:w="50" w:type="dxa"/>
              <w:left w:w="100" w:type="dxa"/>
              <w:right w:w="100" w:type="dxa"/>
            </w:tcMar>
          </w:tcPr>
          <w:p>
            <w:pPr>
              <w:spacing w:after="0"/>
            </w:pPr>
            <w:r>
              <w:rPr>
                <w:rFonts w:ascii="Calibri" w:hAnsi="Calibri"/>
                <w:b/>
                <w:color w:val="059669"/>
                <w:sz w:val="19"/>
              </w:rPr>
              <w:t>CUMPLIDO AL 100%</w:t>
            </w:r>
          </w:p>
        </w:tc>
      </w:tr>
      <w:tr>
        <w:tc>
          <w:tcPr>
            <w:tcW w:type="dxa" w:w="3120"/>
            <w:shd w:fill="FFFFFF"/>
            <w:tcMar>
              <w:top w:w="50" w:type="dxa"/>
              <w:bottom w:w="50" w:type="dxa"/>
              <w:left w:w="100" w:type="dxa"/>
              <w:right w:w="100" w:type="dxa"/>
            </w:tcMar>
          </w:tcPr>
          <w:p>
            <w:pPr>
              <w:spacing w:after="0"/>
            </w:pPr>
            <w:r>
              <w:rPr>
                <w:rFonts w:ascii="Calibri" w:hAnsi="Calibri"/>
                <w:b w:val="0"/>
                <w:color w:val="334155"/>
                <w:sz w:val="19"/>
              </w:rPr>
              <w:t>Integración de Monitoreo</w:t>
            </w:r>
          </w:p>
        </w:tc>
        <w:tc>
          <w:tcPr>
            <w:tcW w:type="dxa" w:w="3120"/>
            <w:shd w:fill="FFFFFF"/>
            <w:tcMar>
              <w:top w:w="50" w:type="dxa"/>
              <w:bottom w:w="50" w:type="dxa"/>
              <w:left w:w="100" w:type="dxa"/>
              <w:right w:w="100" w:type="dxa"/>
            </w:tcMar>
          </w:tcPr>
          <w:p>
            <w:pPr>
              <w:spacing w:after="0"/>
            </w:pPr>
            <w:r>
              <w:rPr>
                <w:rFonts w:ascii="Calibri" w:hAnsi="Calibri"/>
                <w:b w:val="0"/>
                <w:color w:val="334155"/>
                <w:sz w:val="19"/>
              </w:rPr>
              <w:t>Application Insights conectado al espacio de trabajo de Log Analytics.</w:t>
            </w:r>
          </w:p>
        </w:tc>
        <w:tc>
          <w:tcPr>
            <w:tcW w:type="dxa" w:w="3120"/>
            <w:shd w:fill="FFFFFF"/>
            <w:tcMar>
              <w:top w:w="50" w:type="dxa"/>
              <w:bottom w:w="50" w:type="dxa"/>
              <w:left w:w="100" w:type="dxa"/>
              <w:right w:w="100" w:type="dxa"/>
            </w:tcMar>
          </w:tcPr>
          <w:p>
            <w:pPr>
              <w:spacing w:after="0"/>
            </w:pPr>
            <w:r>
              <w:rPr>
                <w:rFonts w:ascii="Calibri" w:hAnsi="Calibri"/>
                <w:b/>
                <w:color w:val="059669"/>
                <w:sz w:val="19"/>
              </w:rPr>
              <w:t>CUMPLIDO AL 100%</w:t>
            </w:r>
          </w:p>
        </w:tc>
      </w:tr>
      <w:tr>
        <w:tc>
          <w:tcPr>
            <w:tcW w:type="dxa" w:w="3120"/>
            <w:shd w:fill="F8FAFC"/>
            <w:tcMar>
              <w:top w:w="50" w:type="dxa"/>
              <w:bottom w:w="50" w:type="dxa"/>
              <w:left w:w="100" w:type="dxa"/>
              <w:right w:w="100" w:type="dxa"/>
            </w:tcMar>
          </w:tcPr>
          <w:p>
            <w:pPr>
              <w:spacing w:after="0"/>
            </w:pPr>
            <w:r>
              <w:rPr>
                <w:rFonts w:ascii="Calibri" w:hAnsi="Calibri"/>
                <w:b w:val="0"/>
                <w:color w:val="334155"/>
                <w:sz w:val="19"/>
              </w:rPr>
              <w:t>Reporte de Evidencias en Word (.docx)</w:t>
            </w:r>
          </w:p>
        </w:tc>
        <w:tc>
          <w:tcPr>
            <w:tcW w:type="dxa" w:w="3120"/>
            <w:shd w:fill="F8FAFC"/>
            <w:tcMar>
              <w:top w:w="50" w:type="dxa"/>
              <w:bottom w:w="50" w:type="dxa"/>
              <w:left w:w="100" w:type="dxa"/>
              <w:right w:w="100" w:type="dxa"/>
            </w:tcMar>
          </w:tcPr>
          <w:p>
            <w:pPr>
              <w:spacing w:after="0"/>
            </w:pPr>
            <w:r>
              <w:rPr>
                <w:rFonts w:ascii="Calibri" w:hAnsi="Calibri"/>
                <w:b w:val="0"/>
                <w:color w:val="334155"/>
                <w:sz w:val="19"/>
              </w:rPr>
              <w:t>Documento Word formal con metodología, capturas reales y resultados.</w:t>
            </w:r>
          </w:p>
        </w:tc>
        <w:tc>
          <w:tcPr>
            <w:tcW w:type="dxa" w:w="3120"/>
            <w:shd w:fill="F8FAFC"/>
            <w:tcMar>
              <w:top w:w="50" w:type="dxa"/>
              <w:bottom w:w="50" w:type="dxa"/>
              <w:left w:w="100" w:type="dxa"/>
              <w:right w:w="100" w:type="dxa"/>
            </w:tcMar>
          </w:tcPr>
          <w:p>
            <w:pPr>
              <w:spacing w:after="0"/>
            </w:pPr>
            <w:r>
              <w:rPr>
                <w:rFonts w:ascii="Calibri" w:hAnsi="Calibri"/>
                <w:b/>
                <w:color w:val="059669"/>
                <w:sz w:val="19"/>
              </w:rPr>
              <w:t>CUMPLIDO AL 100%</w:t>
            </w:r>
          </w:p>
        </w:tc>
      </w:tr>
    </w:tbl>
    <w:p>
      <w:pPr>
        <w:spacing w:after="160"/>
      </w:pPr>
    </w:p>
    <w:p>
      <w:pPr>
        <w:pStyle w:val="Heading1"/>
        <w:spacing w:before="320" w:after="120"/>
      </w:pPr>
      <w:r>
        <w:rPr>
          <w:rFonts w:ascii="Calibri" w:hAnsi="Calibri"/>
          <w:b/>
          <w:color w:val="5C4EE5"/>
          <w:sz w:val="32"/>
        </w:rPr>
        <w:t>9. Conclusiones y Aprendizajes Clave</w:t>
      </w:r>
    </w:p>
    <w:p>
      <w:pPr>
        <w:spacing w:before="0" w:after="120" w:line="276" w:lineRule="auto"/>
      </w:pPr>
      <w:r>
        <w:rPr>
          <w:rFonts w:ascii="Calibri" w:hAnsi="Calibri"/>
          <w:color w:val="334155"/>
          <w:sz w:val="22"/>
        </w:rPr>
        <w:t>1. Automatización declarativa y repetibilidad: Terraform demostró su capacidad para orquestar infraestructuras complejas en la nube de forma declarativa y predecible. Mediante el uso de variables y valores locales, un entorno de QA completo puede reproducirse en cuestión de minutos para entornos de desarrollo, staging o producción.</w:t>
      </w:r>
    </w:p>
    <w:p>
      <w:pPr>
        <w:spacing w:before="0" w:after="120" w:line="276" w:lineRule="auto"/>
      </w:pPr>
      <w:r>
        <w:rPr>
          <w:rFonts w:ascii="Calibri" w:hAnsi="Calibri"/>
          <w:color w:val="334155"/>
          <w:sz w:val="22"/>
        </w:rPr>
        <w:t>2. Importancia de la gobernanza y Cloud Adoption Framework: El uso de estándares de nomenclatura de Microsoft y etiquetas corporativas no es solo estético; es fundamental para la administración operativa, el control de accesos basados en roles (RBAC) y la asignación transparente de presupuestos.</w:t>
      </w:r>
    </w:p>
    <w:p>
      <w:pPr>
        <w:spacing w:before="0" w:after="120" w:line="276" w:lineRule="auto"/>
      </w:pPr>
      <w:r>
        <w:rPr>
          <w:rFonts w:ascii="Calibri" w:hAnsi="Calibri"/>
          <w:color w:val="334155"/>
          <w:sz w:val="22"/>
        </w:rPr>
        <w:t>3. Resolución proactiva de políticas de suscripción: El enfrentamiento al error RequestDisallowedByAzure permitió comprender que en el mundo profesional de DevOps y Cloud Computing, las suscripciones suelen estar fuertemente gobernadas por Azure Policies. La capacidad de diagnosticar directivas con az policy y ajustar la infraestructura en HCL es una habilidad crítica.</w:t>
      </w:r>
    </w:p>
    <w:p>
      <w:pPr>
        <w:spacing w:before="0" w:after="120" w:line="276" w:lineRule="auto"/>
      </w:pPr>
      <w:r>
        <w:rPr>
          <w:rFonts w:ascii="Calibri" w:hAnsi="Calibri"/>
          <w:color w:val="334155"/>
          <w:sz w:val="22"/>
        </w:rPr>
        <w:t>4. Seguridad y manejo de secretos: Se comprobó la importancia crítica de aislar datos sensibles (como el subscription_id) mediante archivos terraform.tfvars ignorados por Git, preservando la seguridad del código compartido en plataformas públicas como GitHub.</w:t>
      </w:r>
    </w:p>
    <w:p>
      <w:pPr>
        <w:spacing w:before="0" w:after="120" w:line="276" w:lineRule="auto"/>
      </w:pPr>
      <w:r>
        <w:rPr>
          <w:rFonts w:ascii="Calibri" w:hAnsi="Calibri"/>
          <w:color w:val="334155"/>
          <w:sz w:val="22"/>
        </w:rPr>
        <w:t>5. Control de versiones profesional: Un historial de commits atómico y descriptivo permite rastrear la evolución exacta del diseño de infraestructura, facilitando la colaboración en equipo y las auditorías de cambios.</w:t>
      </w:r>
    </w:p>
    <w:p>
      <w:pPr>
        <w:pStyle w:val="Heading1"/>
        <w:spacing w:before="320" w:after="120"/>
      </w:pPr>
      <w:r>
        <w:rPr>
          <w:rFonts w:ascii="Calibri" w:hAnsi="Calibri"/>
          <w:b/>
          <w:color w:val="5C4EE5"/>
          <w:sz w:val="32"/>
        </w:rPr>
        <w:t>10. Referencias Bibliográficas y Documentación Oficial</w:t>
      </w:r>
    </w:p>
    <w:p>
      <w:pPr>
        <w:spacing w:before="40" w:after="80"/>
      </w:pPr>
      <w:r>
        <w:rPr>
          <w:rFonts w:ascii="Calibri" w:hAnsi="Calibri"/>
          <w:color w:val="475569"/>
          <w:sz w:val="19"/>
        </w:rPr>
        <w:t>1. Microsoft Learn. (2026). Azure Cloud Adoption Framework: Resource Abbreviations. Recuperado de: https://learn.microsoft.com/en-us/azure/cloud-adoption-framework/ready/azure-best-practices/resource-abbreviations</w:t>
      </w:r>
    </w:p>
    <w:p>
      <w:pPr>
        <w:spacing w:before="40" w:after="80"/>
      </w:pPr>
      <w:r>
        <w:rPr>
          <w:rFonts w:ascii="Calibri" w:hAnsi="Calibri"/>
          <w:color w:val="475569"/>
          <w:sz w:val="19"/>
        </w:rPr>
        <w:t>2. HashiCorp. (2026). AzureRM Provider Official Documentation (v5.0). Terraform Registry. Recuperado de: https://registry.terraform.io/providers/hashicorp/azurerm/latest/docs</w:t>
      </w:r>
    </w:p>
    <w:p>
      <w:pPr>
        <w:spacing w:before="40" w:after="80"/>
      </w:pPr>
      <w:r>
        <w:rPr>
          <w:rFonts w:ascii="Calibri" w:hAnsi="Calibri"/>
          <w:color w:val="475569"/>
          <w:sz w:val="19"/>
        </w:rPr>
        <w:t>3. Microsoft Learn. (2026). Azure App Service Documentation: Linux Web Apps and Node.js Runtimes. Recuperado de: https://learn.microsoft.com/en-us/azure/app-service/</w:t>
      </w:r>
    </w:p>
    <w:p>
      <w:pPr>
        <w:spacing w:before="40" w:after="80"/>
      </w:pPr>
      <w:r>
        <w:rPr>
          <w:rFonts w:ascii="Calibri" w:hAnsi="Calibri"/>
          <w:color w:val="475569"/>
          <w:sz w:val="19"/>
        </w:rPr>
        <w:t>4. Microsoft Learn. (2026). Azure Monitor: Application Insights and Log Analytics Workspace Integration. Recuperado de: https://learn.microsoft.com/en-us/azure/azure-monitor/</w:t>
      </w:r>
    </w:p>
    <w:p>
      <w:pPr>
        <w:spacing w:before="40" w:after="80"/>
      </w:pPr>
      <w:r>
        <w:rPr>
          <w:rFonts w:ascii="Calibri" w:hAnsi="Calibri"/>
          <w:color w:val="475569"/>
          <w:sz w:val="19"/>
        </w:rPr>
        <w:t>5. Almeida Montiel, J. (2026). Repositorio de Laboratorios de Terraform: tercer-programa. GitHub. Recuperado de: https://github.com/jorgealmeidamontiel/terraform-laboratories/tree/main/tercer-programa</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UTVT • Práctica 3: Terraform &amp; Azure • Ludwin García Gaytán (222310777)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