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Rule="auto"/>
        <w:rPr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48"/>
          <w:szCs w:val="48"/>
          <w:rtl w:val="0"/>
        </w:rPr>
        <w:t xml:space="preserve">Spot X Climbing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ALL SPOT X ROUTES AND UPDATES NOW ON THECRAG.COM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hyperlink r:id="rId6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http://www.thecrag.com/climbing/australia/northern-rivers-urbenville/area/577103496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Rule="auto"/>
        <w:rPr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48"/>
          <w:szCs w:val="48"/>
          <w:rtl w:val="0"/>
        </w:rPr>
        <w:t xml:space="preserve">Crossroads Climbing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ACCESS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The “other wall” at Spot X. 10 minutes additional walk from Spot X. Adventure sport climbing. 20 quickdraws needed, and an 80m rope, or if you are using a shorter one, you’ll need to lower in two parts. Tie a knot, wear a helmet.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SEASON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April - May - June - July - August: Prime. No sun on the wall. Lowest temps.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 summer, the wall comes into sun at 2pm (not cool).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27ba0"/>
          <w:sz w:val="20"/>
          <w:szCs w:val="20"/>
        </w:rPr>
      </w:pPr>
      <w:hyperlink r:id="rId7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http://www.thecrag.com/climbing/australia/northern-rivers-urbenville/area/577187457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thecrag.com/climbing/australia/northern-rivers-urbenville/area/577103496" TargetMode="External"/><Relationship Id="rId7" Type="http://schemas.openxmlformats.org/officeDocument/2006/relationships/hyperlink" Target="http://www.thecrag.com/climbing/australia/northern-rivers-urbenville/area/57718745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