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LISTA DE HISTORIA DE USUARIOS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HISTORIAS DE USUARIO: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historias de usuario fueron recopiladas dentro de la Universidad Nacional Mayor de San Marcos, en modo entrevista tratando de obtener datos sobre qué funcionalidades buscan los usuarios en la aplicación, con el precedente de una ya hecha anteriormente, pero que no funcionaba de forma correcta, por lo que se decidió utilizar la forma tradicional de entrega de tickets, sin embargo no es la más eficiente.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tbl>
      <w:tblPr>
        <w:tblStyle w:val="Table1"/>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520"/>
        <w:tblGridChange w:id="0">
          <w:tblGrid>
            <w:gridCol w:w="1500"/>
            <w:gridCol w:w="5520"/>
          </w:tblGrid>
        </w:tblGridChange>
      </w:tblGrid>
      <w:tr>
        <w:trPr>
          <w:cantSplit w:val="0"/>
          <w:trHeight w:val="300" w:hRule="atLeast"/>
          <w:tblHeader w:val="0"/>
        </w:trPr>
        <w:tc>
          <w:tcPr>
            <w:gridSpan w:val="2"/>
            <w:tcBorders>
              <w:top w:color="000000" w:space="0" w:sz="12" w:val="single"/>
              <w:left w:color="000000" w:space="0" w:sz="12"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b w:val="1"/>
                <w:color w:val="ffffff"/>
                <w:sz w:val="24"/>
                <w:szCs w:val="24"/>
                <w:rtl w:val="0"/>
              </w:rPr>
              <w:t xml:space="preserve">Histora de Usuario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HU_004</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C">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Visualizar información nutricional de los alimentos servidos</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Baja</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0">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Bajo</w:t>
            </w:r>
          </w:p>
        </w:tc>
      </w:tr>
      <w:tr>
        <w:trPr>
          <w:cantSplit w:val="0"/>
          <w:trHeight w:val="69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El usuario tiene la posibilidad de recibir información nutricional de cada uno de los platos servidos en el servicio de comedor.</w:t>
            </w:r>
          </w:p>
        </w:tc>
      </w:tr>
      <w:tr>
        <w:trPr>
          <w:cantSplit w:val="0"/>
          <w:trHeight w:val="114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b w:val="1"/>
                <w:i w:val="1"/>
                <w:sz w:val="20"/>
                <w:szCs w:val="20"/>
                <w:rtl w:val="0"/>
              </w:rPr>
              <w:t xml:space="preserve">Validación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&gt;Esto se podrá realizar mediante campos añadidos a los elementos de tipo "plato" dentro de la base de datos para agregar (y mostrar) sus componentes nutricionales de importancia.</w:t>
            </w:r>
          </w:p>
        </w:tc>
      </w:tr>
    </w:tbl>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