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drawing>
          <wp:inline distB="0" distT="0" distL="0" distR="0">
            <wp:extent cx="2172360" cy="2034868"/>
            <wp:effectExtent b="0" l="0" r="0" t="0"/>
            <wp:docPr descr="Omniscient Reader's Viewpoint Wiki | Fandom" id="6" name="image2.png"/>
            <a:graphic>
              <a:graphicData uri="http://schemas.openxmlformats.org/drawingml/2006/picture">
                <pic:pic>
                  <pic:nvPicPr>
                    <pic:cNvPr descr="Omniscient Reader's Viewpoint Wiki | Fandom" id="0" name="image2.png"/>
                    <pic:cNvPicPr preferRelativeResize="0"/>
                  </pic:nvPicPr>
                  <pic:blipFill>
                    <a:blip r:embed="rId7"/>
                    <a:srcRect b="3750" l="0" r="1250" t="3748"/>
                    <a:stretch>
                      <a:fillRect/>
                    </a:stretch>
                  </pic:blipFill>
                  <pic:spPr>
                    <a:xfrm>
                      <a:off x="0" y="0"/>
                      <a:ext cx="2172360" cy="20348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PARCHS</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Ampuero Donayre</w:t>
        <w:tab/>
        <w:t xml:space="preserve">, Germán Alejandro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Angeles Bocangel</w:t>
        <w:tab/>
        <w:tab/>
        <w:t xml:space="preserve">, Manuel Moises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Cardenas Ramirez</w:t>
        <w:tab/>
        <w:t xml:space="preserve">, Jean Carlo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Huerta Villalta</w:t>
        <w:tab/>
        <w:tab/>
        <w:t xml:space="preserve">, Jasmin Amparo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Pairazaman Arias</w:t>
        <w:tab/>
        <w:tab/>
        <w:t xml:space="preserve">, Oscar Eduardo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Rojas Gala</w:t>
        <w:tab/>
        <w:tab/>
        <w:tab/>
        <w:t xml:space="preserve">, Nicolas Alonso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Solano Otiniano</w:t>
        <w:tab/>
        <w:tab/>
        <w:t xml:space="preserve">, Lucia Alejandra</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9/10/2022</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 versión 1.0</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14/10/2022</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 versión presentada en clase (a añadir)</w:t>
            </w:r>
          </w:p>
        </w:tc>
      </w:tr>
      <w:tr>
        <w:trPr>
          <w:cantSplit w:val="0"/>
          <w:tblHeader w:val="0"/>
        </w:trPr>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4/11/2022</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w:t>
            </w:r>
          </w:p>
        </w:tc>
      </w:tr>
      <w:tr>
        <w:trPr>
          <w:cantSplit w:val="0"/>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15/11/2022</w:t>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w:t>
            </w:r>
          </w:p>
        </w:tc>
      </w:tr>
      <w:tr>
        <w:trPr>
          <w:cantSplit w:val="0"/>
          <w:tblHeader w:val="0"/>
        </w:trPr>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30/11/2022</w:t>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w:t>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12/12/2022</w:t>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Finalización del proyecto</w:t>
            </w:r>
          </w:p>
        </w:tc>
      </w:tr>
    </w:tbl>
    <w:p w:rsidR="00000000" w:rsidDel="00000000" w:rsidP="00000000" w:rsidRDefault="00000000" w:rsidRPr="00000000" w14:paraId="0000002E">
      <w:pPr>
        <w:spacing w:after="240" w:before="240" w:lineRule="auto"/>
        <w:rPr>
          <w:rFonts w:ascii="Times New Roman" w:cs="Times New Roman" w:eastAsia="Times New Roman" w:hAnsi="Times New Roman"/>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42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30">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PARCHS se encuentra conformada en su totalidad por estudiantes de la Universidad Nacional Mayor de San Marcos, los cuales tienen como fundamento el desarrollo de aplicaciones y herramientas que apoyen el funcionamiento de la institución y mejoren la eficiencia en la gestión de procesos para la administración, como para aumentar la calidad de la experiencia de los usuarios estudiantes. Una de las situaciones problemáticas de la empresa es la de los estudiantes que desean hacer uso del Comedor Universitario, los cuales deben acercarse a tempranas horas de la mañana para reservar un ticket de forma presencial, sin alternativas funcionales. Esto afecta enormemente a aquellos estudiantes que, por diversos motivos, no pueden acercarse a la ciudad universitaria a solicitar su ticket en el horario establecido.</w:t>
      </w:r>
    </w:p>
    <w:p w:rsidR="00000000" w:rsidDel="00000000" w:rsidP="00000000" w:rsidRDefault="00000000" w:rsidRPr="00000000" w14:paraId="00000031">
      <w:pPr>
        <w:spacing w:after="240" w:lineRule="auto"/>
        <w:ind w:left="28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Pese a la existencia de una aplicación precedente en la </w:t>
      </w:r>
      <w:r w:rsidDel="00000000" w:rsidR="00000000" w:rsidRPr="00000000">
        <w:rPr>
          <w:rFonts w:ascii="Times New Roman" w:cs="Times New Roman" w:eastAsia="Times New Roman" w:hAnsi="Times New Roman"/>
          <w:i w:val="1"/>
          <w:rtl w:val="0"/>
        </w:rPr>
        <w:t xml:space="preserve">play store</w:t>
      </w:r>
      <w:r w:rsidDel="00000000" w:rsidR="00000000" w:rsidRPr="00000000">
        <w:rPr>
          <w:rFonts w:ascii="Times New Roman" w:cs="Times New Roman" w:eastAsia="Times New Roman" w:hAnsi="Times New Roman"/>
          <w:rtl w:val="0"/>
        </w:rPr>
        <w:t xml:space="preserve"> que permite reservar un ticket de manera virtual, esta no se encuentra en funcionamiento desde el año 2019, además de presentar quejas tanto en su funcionamiento como en el modelado de la aplicación, teniendo una mala recepción con el público objetivo. La problemática que hemos detectado en el sistema es la falta de una base de datos que genere de forma automática los tickets reservados para los estudiantes. Es de esta forma, múltiples herramientas o posibles herramientas no son implementadas de forma adecuada por distintas instituciones educativas, pese a que facilitará los procesos existentes a grandes niveles; por lo tanto, la empresa PARCHS busca desarrollar herramientas y aplicaciones innovativas y amigables para el usuario, sin descuidar su funcionalidad.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360" w:right="0" w:hanging="76.0000000000000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Situación de la empresa y problemática</w:t>
      </w:r>
    </w:p>
    <w:p w:rsidR="00000000" w:rsidDel="00000000" w:rsidP="00000000" w:rsidRDefault="00000000" w:rsidRPr="00000000" w14:paraId="00000034">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situación actual de la empresa tiene presente un problema respecto a la organización del sistema en el repositorio compartido; el cual, sin un adecuada estructura, planificación y estructuración, resultará en un entorpecimiento del proceso de desarrollo de los múltiples proyectos de la empresa, además de dificultar la gestión de estos productos al momento de ser liberados al mercado.</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360" w:right="0" w:hanging="76.0000000000000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El objetivo del plan </w:t>
      </w:r>
    </w:p>
    <w:p w:rsidR="00000000" w:rsidDel="00000000" w:rsidP="00000000" w:rsidRDefault="00000000" w:rsidRPr="00000000" w14:paraId="00000036">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principal de este plan de gestión de la configuración del software es la estandarización del proceso de documentación y desarrollo de los diferentes proyectos de la empres PARCHS, facilitando el manejo de información del grupo relacionado, los roles y responsabilidades pertinentes; además de una referencia del modelo de trabajo utilizado en la organización de forma detallada sobre la nomenclatura y la gestión de librerías dentro del repositorio de la empresa.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0" w:line="276" w:lineRule="auto"/>
        <w:ind w:left="714" w:right="0" w:hanging="357"/>
        <w:jc w:val="left"/>
        <w:rPr>
          <w:rFonts w:ascii="Times New Roman" w:cs="Times New Roman" w:eastAsia="Times New Roman" w:hAnsi="Times New Roman"/>
          <w:b w:val="0"/>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Roles y responsabilidades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Huerta Villalta, Jasmin Amparo </w:t>
        <w:tab/>
        <w:tab/>
        <w:t xml:space="preserve">— Jefe de Proyecto (JP)</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Ampuero Donayre, German Alejandro</w:t>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Angeles Bocangel, Manuel Moises</w:t>
        <w:tab/>
        <w:tab/>
        <w:t xml:space="preserve">—</w:t>
      </w:r>
      <w:r w:rsidDel="00000000" w:rsidR="00000000" w:rsidRPr="00000000">
        <w:rPr>
          <w:rFonts w:ascii="Times New Roman" w:cs="Times New Roman" w:eastAsia="Times New Roman" w:hAnsi="Times New Roman"/>
          <w:rtl w:val="0"/>
        </w:rPr>
        <w:t xml:space="preserve"> Gestor de la configuración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Cardenas Ramirez, Jean Carlo</w:t>
        <w:tab/>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Pairazaman Arias, Oscar Eduardo</w:t>
        <w:tab/>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Rojas Gala, Nicolas Alonso</w:t>
        <w:tab/>
        <w:tab/>
        <w:tab/>
        <w:t xml:space="preserve">—</w:t>
      </w:r>
      <w:r w:rsidDel="00000000" w:rsidR="00000000" w:rsidRPr="00000000">
        <w:rPr>
          <w:rFonts w:ascii="Times New Roman" w:cs="Times New Roman" w:eastAsia="Times New Roman" w:hAnsi="Times New Roman"/>
          <w:rtl w:val="0"/>
        </w:rPr>
        <w:t xml:space="preserve"> Gestor de la configuración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607.7952755905511"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Solano Otiniano, Lucia Alejandra</w:t>
        <w:tab/>
        <w:tab/>
        <w:t xml:space="preserve">— Bibliotecari</w:t>
      </w:r>
      <w:r w:rsidDel="00000000" w:rsidR="00000000" w:rsidRPr="00000000">
        <w:rPr>
          <w:rFonts w:ascii="Times New Roman" w:cs="Times New Roman" w:eastAsia="Times New Roman" w:hAnsi="Times New Roman"/>
          <w:rtl w:val="0"/>
        </w:rPr>
        <w:t xml:space="preserve">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seleccionada por el equipo de trabajo será Github, es una plataforma de alojamiento de código para el control de versiones y la colaboración. Permite trabajar juntos en proyectos desde cualquier lugar, presenta elementos esenciales como repositorios, ramas, confirmaciones y solicitudes de extracción.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siguiente tabla muestra una comparación entre las herramientas de control de versiones, con sus características más destacadas para tener un panorama de cuál sería la mejor opción entre las siguientes.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2"/>
        <w:tblW w:w="8299.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rHeight w:val="821.8505859375" w:hRule="atLeast"/>
          <w:tblHeader w:val="0"/>
        </w:trPr>
        <w:tc>
          <w:tcPr>
            <w:vMerge w:val="restart"/>
            <w:shd w:fill="c9daf8"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vMerge w:val="restart"/>
            <w:shd w:fill="c9daf8"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vMerge w:val="restart"/>
            <w:shd w:fill="c9daf8"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SVN</w:t>
            </w:r>
          </w:p>
        </w:tc>
        <w:tc>
          <w:tcPr>
            <w:vMerge w:val="restart"/>
            <w:shd w:fill="c9daf8"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Mercurial</w:t>
            </w:r>
            <w:r w:rsidDel="00000000" w:rsidR="00000000" w:rsidRPr="00000000">
              <w:rPr>
                <w:rtl w:val="0"/>
              </w:rPr>
            </w:r>
          </w:p>
        </w:tc>
      </w:tr>
      <w:tr>
        <w:trPr>
          <w:cantSplit w:val="0"/>
          <w:tblHeader w:val="0"/>
        </w:trPr>
        <w:tc>
          <w:tcPr>
            <w:vMerge w:val="continue"/>
            <w:shd w:fill="c9daf8"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Repositorio</w:t>
            </w: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Copias locales</w:t>
            </w:r>
            <w:r w:rsidDel="00000000" w:rsidR="00000000" w:rsidRPr="00000000">
              <w:rPr>
                <w:rtl w:val="0"/>
              </w:rPr>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Central único</w:t>
            </w:r>
            <w:r w:rsidDel="00000000" w:rsidR="00000000" w:rsidRPr="00000000">
              <w:rPr>
                <w:rtl w:val="0"/>
              </w:rPr>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Copias locales</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Acceso</w:t>
            </w:r>
            <w:r w:rsidDel="00000000" w:rsidR="00000000" w:rsidRPr="00000000">
              <w:rPr>
                <w:rtl w:val="0"/>
              </w:rPr>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Totalidad del directorio</w:t>
            </w:r>
            <w:r w:rsidDel="00000000" w:rsidR="00000000" w:rsidRPr="00000000">
              <w:rPr>
                <w:rtl w:val="0"/>
              </w:rPr>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Desde una ruta de acceso </w:t>
            </w:r>
            <w:r w:rsidDel="00000000" w:rsidR="00000000" w:rsidRPr="00000000">
              <w:rPr>
                <w:rtl w:val="0"/>
              </w:rPr>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Desde un servidor</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Conectividad</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solo para sincronización </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para cada acceso </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solo para la sincronización </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Fuente de control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Tema: Preferencias entre diferentes herramientas de control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46625" cy="2227180"/>
            <wp:effectExtent b="0" l="0" r="0" t="0"/>
            <wp:docPr id="7" name="image1.png"/>
            <a:graphic>
              <a:graphicData uri="http://schemas.openxmlformats.org/drawingml/2006/picture">
                <pic:pic>
                  <pic:nvPicPr>
                    <pic:cNvPr id="0" name="image1.png"/>
                    <pic:cNvPicPr preferRelativeResize="0"/>
                  </pic:nvPicPr>
                  <pic:blipFill>
                    <a:blip r:embed="rId8"/>
                    <a:srcRect b="10355" l="6918" r="22662" t="11922"/>
                    <a:stretch>
                      <a:fillRect/>
                    </a:stretch>
                  </pic:blipFill>
                  <pic:spPr>
                    <a:xfrm>
                      <a:off x="0" y="0"/>
                      <a:ext cx="3446625" cy="22271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Recuperado de: https://insights.stackoverflow.com/survey/2015</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Identificación</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Definición de la estructura de las librerías</w:t>
      </w: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144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Figura 2: Estructura de las librerías en GitHub</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-192403</wp:posOffset>
            </wp:positionH>
            <wp:positionV relativeFrom="paragraph">
              <wp:posOffset>150495</wp:posOffset>
            </wp:positionV>
            <wp:extent cx="6128385" cy="3656772"/>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3541" l="4018" r="4019" t="3387"/>
                    <a:stretch>
                      <a:fillRect/>
                    </a:stretch>
                  </pic:blipFill>
                  <pic:spPr>
                    <a:xfrm>
                      <a:off x="0" y="0"/>
                      <a:ext cx="6128385" cy="3656772"/>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highlight w:val="yellow"/>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Definición de Líneas Base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tbl>
      <w:tblPr>
        <w:tblStyle w:val="Table3"/>
        <w:tblW w:w="8844.0" w:type="dxa"/>
        <w:jc w:val="left"/>
        <w:tblInd w:w="23.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4.0000000000005"/>
        <w:gridCol w:w="6030"/>
        <w:tblGridChange w:id="0">
          <w:tblGrid>
            <w:gridCol w:w="2814.0000000000005"/>
            <w:gridCol w:w="6030"/>
          </w:tblGrid>
        </w:tblGridChange>
      </w:tblGrid>
      <w:tr>
        <w:trPr>
          <w:cantSplit w:val="0"/>
          <w:trHeight w:val="686.9999999999891" w:hRule="atLeast"/>
          <w:tblHeader w:val="0"/>
        </w:trPr>
        <w:tc>
          <w:tcPr>
            <w:tcBorders>
              <w:top w:color="000000" w:space="0" w:sz="8" w:val="single"/>
              <w:left w:color="000000" w:space="0" w:sz="8" w:val="single"/>
              <w:bottom w:color="000000" w:space="0" w:sz="8" w:val="single"/>
              <w:right w:color="000000" w:space="0" w:sz="8" w:val="single"/>
            </w:tcBorders>
            <w:shd w:fill="8e7cc3" w:val="clear"/>
            <w:tcMar>
              <w:top w:w="0.0" w:type="dxa"/>
              <w:left w:w="100.0" w:type="dxa"/>
              <w:bottom w:w="0.0" w:type="dxa"/>
              <w:right w:w="100.0" w:type="dxa"/>
            </w:tcMar>
            <w:vAlign w:val="top"/>
          </w:tcPr>
          <w:p w:rsidR="00000000" w:rsidDel="00000000" w:rsidP="00000000" w:rsidRDefault="00000000" w:rsidRPr="00000000" w14:paraId="00000082">
            <w:pPr>
              <w:spacing w:after="200" w:before="240" w:line="360" w:lineRule="auto"/>
              <w:ind w:left="140" w:right="14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Nombre de línea base</w:t>
            </w:r>
          </w:p>
        </w:tc>
        <w:tc>
          <w:tcPr>
            <w:tcBorders>
              <w:top w:color="000000" w:space="0" w:sz="8" w:val="single"/>
              <w:left w:color="000000" w:space="0" w:sz="8" w:val="single"/>
              <w:bottom w:color="000000" w:space="0" w:sz="8" w:val="single"/>
              <w:right w:color="000000" w:space="0" w:sz="8" w:val="single"/>
            </w:tcBorders>
            <w:shd w:fill="8e7cc3" w:val="clear"/>
            <w:tcMar>
              <w:top w:w="0.0" w:type="dxa"/>
              <w:left w:w="100.0" w:type="dxa"/>
              <w:bottom w:w="0.0" w:type="dxa"/>
              <w:right w:w="100.0" w:type="dxa"/>
            </w:tcMar>
            <w:vAlign w:val="top"/>
          </w:tcPr>
          <w:p w:rsidR="00000000" w:rsidDel="00000000" w:rsidP="00000000" w:rsidRDefault="00000000" w:rsidRPr="00000000" w14:paraId="00000083">
            <w:pPr>
              <w:spacing w:after="200" w:before="240" w:line="360" w:lineRule="auto"/>
              <w:ind w:left="140" w:right="14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Items</w:t>
            </w:r>
          </w:p>
        </w:tc>
      </w:tr>
      <w:tr>
        <w:trPr>
          <w:cantSplit w:val="0"/>
          <w:trHeight w:val="24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numPr>
                <w:ilvl w:val="0"/>
                <w:numId w:val="6"/>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p w:rsidR="00000000" w:rsidDel="00000000" w:rsidP="00000000" w:rsidRDefault="00000000" w:rsidRPr="00000000" w14:paraId="00000086">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UI</w:t>
            </w:r>
            <w:r w:rsidDel="00000000" w:rsidR="00000000" w:rsidRPr="00000000">
              <w:rPr>
                <w:rtl w:val="0"/>
              </w:rPr>
            </w:r>
          </w:p>
          <w:p w:rsidR="00000000" w:rsidDel="00000000" w:rsidP="00000000" w:rsidRDefault="00000000" w:rsidRPr="00000000" w14:paraId="00000087">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Guía de Estilos</w:t>
            </w:r>
            <w:r w:rsidDel="00000000" w:rsidR="00000000" w:rsidRPr="00000000">
              <w:rPr>
                <w:rtl w:val="0"/>
              </w:rPr>
            </w:r>
          </w:p>
          <w:p w:rsidR="00000000" w:rsidDel="00000000" w:rsidP="00000000" w:rsidRDefault="00000000" w:rsidRPr="00000000" w14:paraId="00000088">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Arquitectura del Software</w:t>
            </w:r>
            <w:r w:rsidDel="00000000" w:rsidR="00000000" w:rsidRPr="00000000">
              <w:rPr>
                <w:rtl w:val="0"/>
              </w:rPr>
            </w:r>
          </w:p>
          <w:p w:rsidR="00000000" w:rsidDel="00000000" w:rsidP="00000000" w:rsidRDefault="00000000" w:rsidRPr="00000000" w14:paraId="00000089">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BenchMarking-Sistemas de Versiones</w:t>
            </w:r>
            <w:r w:rsidDel="00000000" w:rsidR="00000000" w:rsidRPr="00000000">
              <w:rPr>
                <w:rtl w:val="0"/>
              </w:rPr>
            </w:r>
          </w:p>
          <w:p w:rsidR="00000000" w:rsidDel="00000000" w:rsidP="00000000" w:rsidRDefault="00000000" w:rsidRPr="00000000" w14:paraId="0000008A">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de gestión de la Configuración</w:t>
            </w:r>
            <w:r w:rsidDel="00000000" w:rsidR="00000000" w:rsidRPr="00000000">
              <w:rPr>
                <w:rtl w:val="0"/>
              </w:rPr>
            </w:r>
          </w:p>
          <w:p w:rsidR="00000000" w:rsidDel="00000000" w:rsidP="00000000" w:rsidRDefault="00000000" w:rsidRPr="00000000" w14:paraId="0000008B">
            <w:pPr>
              <w:numPr>
                <w:ilvl w:val="0"/>
                <w:numId w:val="6"/>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del Primer Sprint</w:t>
            </w:r>
            <w:r w:rsidDel="00000000" w:rsidR="00000000" w:rsidRPr="00000000">
              <w:rPr>
                <w:rtl w:val="0"/>
              </w:rPr>
            </w:r>
          </w:p>
        </w:tc>
      </w:tr>
      <w:tr>
        <w:trPr>
          <w:cantSplit w:val="0"/>
          <w:trHeight w:val="1190.9999999999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numPr>
                <w:ilvl w:val="0"/>
                <w:numId w:val="7"/>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HU</w:t>
            </w:r>
            <w:r w:rsidDel="00000000" w:rsidR="00000000" w:rsidRPr="00000000">
              <w:rPr>
                <w:rtl w:val="0"/>
              </w:rPr>
            </w:r>
          </w:p>
          <w:p w:rsidR="00000000" w:rsidDel="00000000" w:rsidP="00000000" w:rsidRDefault="00000000" w:rsidRPr="00000000" w14:paraId="0000008E">
            <w:pPr>
              <w:numPr>
                <w:ilvl w:val="0"/>
                <w:numId w:val="7"/>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del Segundo Sprint</w:t>
            </w:r>
            <w:r w:rsidDel="00000000" w:rsidR="00000000" w:rsidRPr="00000000">
              <w:rPr>
                <w:rtl w:val="0"/>
              </w:rPr>
            </w:r>
          </w:p>
        </w:tc>
      </w:tr>
      <w:tr>
        <w:trPr>
          <w:cantSplit w:val="0"/>
          <w:trHeight w:val="1841.999999999989"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numPr>
                <w:ilvl w:val="0"/>
                <w:numId w:val="5"/>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p w:rsidR="00000000" w:rsidDel="00000000" w:rsidP="00000000" w:rsidRDefault="00000000" w:rsidRPr="00000000" w14:paraId="00000091">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UI</w:t>
            </w:r>
            <w:r w:rsidDel="00000000" w:rsidR="00000000" w:rsidRPr="00000000">
              <w:rPr>
                <w:rtl w:val="0"/>
              </w:rPr>
            </w:r>
          </w:p>
          <w:p w:rsidR="00000000" w:rsidDel="00000000" w:rsidP="00000000" w:rsidRDefault="00000000" w:rsidRPr="00000000" w14:paraId="00000092">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Arquitectura del Software</w:t>
            </w:r>
            <w:r w:rsidDel="00000000" w:rsidR="00000000" w:rsidRPr="00000000">
              <w:rPr>
                <w:rtl w:val="0"/>
              </w:rPr>
            </w:r>
          </w:p>
          <w:p w:rsidR="00000000" w:rsidDel="00000000" w:rsidP="00000000" w:rsidRDefault="00000000" w:rsidRPr="00000000" w14:paraId="00000093">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 de usuario</w:t>
            </w:r>
            <w:r w:rsidDel="00000000" w:rsidR="00000000" w:rsidRPr="00000000">
              <w:rPr>
                <w:rtl w:val="0"/>
              </w:rPr>
            </w:r>
          </w:p>
          <w:p w:rsidR="00000000" w:rsidDel="00000000" w:rsidP="00000000" w:rsidRDefault="00000000" w:rsidRPr="00000000" w14:paraId="00000094">
            <w:pPr>
              <w:numPr>
                <w:ilvl w:val="0"/>
                <w:numId w:val="5"/>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pruebas del software</w:t>
            </w:r>
            <w:r w:rsidDel="00000000" w:rsidR="00000000" w:rsidRPr="00000000">
              <w:rPr>
                <w:rtl w:val="0"/>
              </w:rPr>
            </w:r>
          </w:p>
        </w:tc>
      </w:tr>
    </w:tbl>
    <w:p w:rsidR="00000000" w:rsidDel="00000000" w:rsidP="00000000" w:rsidRDefault="00000000" w:rsidRPr="00000000" w14:paraId="00000095">
      <w:pPr>
        <w:spacing w:after="20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Lista de clasificación de CI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4"/>
        <w:tblW w:w="9045.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485"/>
        <w:gridCol w:w="4365"/>
        <w:gridCol w:w="1680"/>
        <w:gridCol w:w="1515"/>
        <w:tblGridChange w:id="0">
          <w:tblGrid>
            <w:gridCol w:w="1485"/>
            <w:gridCol w:w="4365"/>
            <w:gridCol w:w="1680"/>
            <w:gridCol w:w="1515"/>
          </w:tblGrid>
        </w:tblGridChange>
      </w:tblGrid>
      <w:tr>
        <w:trPr>
          <w:cantSplit w:val="0"/>
          <w:trHeight w:val="880.1191406249973" w:hRule="atLeast"/>
          <w:tblHeader w:val="0"/>
        </w:trPr>
        <w:tc>
          <w:tcPr>
            <w:shd w:fill="d9d2e9"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shd w:fill="d9d2e9"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shd w:fill="d9d2e9" w:val="cle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shd w:fill="d9d2e9"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la Gestión de la configuración</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302.9252929687528"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rHeight w:val="380.92529296875"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8">
            <w:pPr>
              <w:keepLines w:val="1"/>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BenchMarking-Sistemas de Versiones</w:t>
            </w:r>
          </w:p>
        </w:tc>
        <w:tc>
          <w:tcPr/>
          <w:p w:rsidR="00000000" w:rsidDel="00000000" w:rsidP="00000000" w:rsidRDefault="00000000" w:rsidRPr="00000000" w14:paraId="000000A9">
            <w:pPr>
              <w:keepLines w:val="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rtl w:val="0"/>
                </w:rPr>
                <w:t xml:space="preserve">D</w:t>
              </w:r>
            </w:hyperlink>
            <w:r w:rsidDel="00000000" w:rsidR="00000000" w:rsidRPr="00000000">
              <w:rPr>
                <w:rFonts w:ascii="Times New Roman" w:cs="Times New Roman" w:eastAsia="Times New Roman" w:hAnsi="Times New Roman"/>
                <w:rtl w:val="0"/>
              </w:rPr>
              <w:t xml:space="preserve">iagrama de estructura de Software </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0B0">
            <w:pPr>
              <w:spacing w:after="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H_U</w:t>
            </w:r>
            <w:r w:rsidDel="00000000" w:rsidR="00000000" w:rsidRPr="00000000">
              <w:rPr>
                <w:rtl w:val="0"/>
              </w:rPr>
            </w:r>
          </w:p>
        </w:tc>
        <w:tc>
          <w:tcPr/>
          <w:p w:rsidR="00000000" w:rsidDel="00000000" w:rsidP="00000000" w:rsidRDefault="00000000" w:rsidRPr="00000000" w14:paraId="000000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del primer sprint</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6">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7">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B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segundo sprint</w:t>
            </w:r>
          </w:p>
        </w:tc>
        <w:tc>
          <w:tcPr/>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A">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B">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B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tercer sprint</w:t>
            </w:r>
          </w:p>
        </w:tc>
        <w:tc>
          <w:tcPr/>
          <w:p w:rsidR="00000000" w:rsidDel="00000000" w:rsidP="00000000" w:rsidRDefault="00000000" w:rsidRPr="00000000" w14:paraId="000000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Definición de la Nomenclatura de ítem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Mínimo 4 </w:t>
      </w:r>
      <w:r w:rsidDel="00000000" w:rsidR="00000000" w:rsidRPr="00000000">
        <w:rPr>
          <w:rFonts w:ascii="Times New Roman" w:cs="Times New Roman" w:eastAsia="Times New Roman" w:hAnsi="Times New Roman"/>
          <w:i w:val="1"/>
          <w:sz w:val="14"/>
          <w:szCs w:val="14"/>
          <w:rtl w:val="0"/>
        </w:rPr>
        <w:t xml:space="preserve">fórmulas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(1) - Elementos que pertenecen a un proyecto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principal nomenclatura utilizada en el proyecto para los varios elementos utiliza la siguiente fórmula:</w:t>
      </w:r>
    </w:p>
    <w:p w:rsidR="00000000" w:rsidDel="00000000" w:rsidP="00000000" w:rsidRDefault="00000000" w:rsidRPr="00000000" w14:paraId="000000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40" w:before="0" w:line="276" w:lineRule="auto"/>
        <w:ind w:left="144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PROYECTO + “-” +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ELEMENTO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elementos con preposiciones y conectores dentro de su nombre, este es omitido en la nomenclatura y solo se consideran las iniciales de las palabras claves. En situaciones de Reportes y Documentos, se coloca “R” o “D” al inicio del acrónimo.</w:t>
      </w:r>
    </w:p>
    <w:p w:rsidR="00000000" w:rsidDel="00000000" w:rsidP="00000000" w:rsidRDefault="00000000" w:rsidRPr="00000000" w14:paraId="000000C6">
      <w:pPr>
        <w:spacing w:after="0" w:lineRule="auto"/>
        <w:ind w:left="2125.9842519685035"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Ejemplo</w:t>
      </w:r>
    </w:p>
    <w:p w:rsidR="00000000" w:rsidDel="00000000" w:rsidP="00000000" w:rsidRDefault="00000000" w:rsidRPr="00000000" w14:paraId="000000C7">
      <w:pPr>
        <w:spacing w:after="240" w:lineRule="auto"/>
        <w:ind w:left="2125.9842519685035" w:firstLine="0"/>
        <w:rPr>
          <w:rFonts w:ascii="Times New Roman" w:cs="Times New Roman" w:eastAsia="Times New Roman" w:hAnsi="Times New Roman"/>
        </w:rPr>
      </w:pPr>
      <w:sdt>
        <w:sdtPr>
          <w:tag w:val="goog_rdk_0"/>
        </w:sdtPr>
        <w:sdtContent>
          <w:r w:rsidDel="00000000" w:rsidR="00000000" w:rsidRPr="00000000">
            <w:rPr>
              <w:rFonts w:ascii="Cardo" w:cs="Cardo" w:eastAsia="Cardo" w:hAnsi="Cardo"/>
              <w:rtl w:val="0"/>
            </w:rPr>
            <w:t xml:space="preserve">Documento de Especificación de Base de Datos - Proyecto App Comedor UNMSM → ACU-DEBD</w:t>
          </w:r>
        </w:sdtContent>
      </w:sdt>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Caso(2) - Elementos pertenecientes a la documentación de la empresa</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ACRÓNIMO DE</w:t>
      </w:r>
      <w:r w:rsidDel="00000000" w:rsidR="00000000" w:rsidRPr="00000000">
        <w:rPr>
          <w:rFonts w:ascii="Times New Roman" w:cs="Times New Roman" w:eastAsia="Times New Roman" w:hAnsi="Times New Roman"/>
          <w:rtl w:val="0"/>
        </w:rPr>
        <w:t xml:space="preserve"> LA EMPRESA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ELEMENTO</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16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PARCHIS¨-¨+ACRÓNIMO ELEMENTO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Caso(3) - Elementos pertenecientes a las Historias de Usuario del proyecto</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ACRÓNIMO DEL PROYECTO + “-HU” + NÚMERO DE LA HISTORIA</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125.984251968503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ACU-HU001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Caso(4) - Auditorías de Proyectos</w:t>
      </w:r>
    </w:p>
    <w:p w:rsidR="00000000" w:rsidDel="00000000" w:rsidP="00000000" w:rsidRDefault="00000000" w:rsidRPr="00000000" w14:paraId="000000CF">
      <w:pPr>
        <w:numPr>
          <w:ilvl w:val="0"/>
          <w:numId w:val="4"/>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PROYECTO + “-AUD”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Lista de ítem con la nomenclatura</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256"/>
        <w:gridCol w:w="2221"/>
        <w:gridCol w:w="2031"/>
        <w:gridCol w:w="1511"/>
        <w:tblGridChange w:id="0">
          <w:tblGrid>
            <w:gridCol w:w="3256"/>
            <w:gridCol w:w="2221"/>
            <w:gridCol w:w="2031"/>
            <w:gridCol w:w="1511"/>
          </w:tblGrid>
        </w:tblGridChange>
      </w:tblGrid>
      <w:tr>
        <w:trPr>
          <w:cantSplit w:val="0"/>
          <w:tblHeader w:val="0"/>
        </w:trPr>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DESCRIPCION DEL ITEM</w:t>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NOMENCLATURA</w:t>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tl w:val="0"/>
              </w:rPr>
              <w:t xml:space="preserve">EXTENSIÓN</w:t>
            </w:r>
            <w:r w:rsidDel="00000000" w:rsidR="00000000" w:rsidRPr="00000000">
              <w:rPr>
                <w:rtl w:val="0"/>
              </w:rPr>
            </w:r>
          </w:p>
        </w:tc>
        <w:tc>
          <w:tcP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PROYECTO</w:t>
            </w:r>
          </w:p>
        </w:tc>
      </w:tr>
      <w:tr>
        <w:trPr>
          <w:cantSplit w:val="0"/>
          <w:tblHeader w:val="0"/>
        </w:trPr>
        <w:tc>
          <w:tcPr>
            <w:shd w:fill="f2f2f2"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Proyecto (PROJECT CHARTER)</w:t>
            </w:r>
          </w:p>
        </w:tc>
        <w:tc>
          <w:tcPr>
            <w:shd w:fill="f2f2f2"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ACU-PP</w:t>
            </w:r>
          </w:p>
        </w:tc>
        <w:tc>
          <w:tcPr>
            <w:shd w:fill="f2f2f2"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Cronograma del Proyecto</w:t>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ACU-CP</w:t>
            </w:r>
          </w:p>
        </w:tc>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.XLSX</w:t>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Requisitos del Software</w:t>
            </w:r>
          </w:p>
        </w:tc>
        <w:tc>
          <w:tcPr>
            <w:shd w:fill="f2f2f2"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ACU-DERS</w:t>
            </w:r>
          </w:p>
        </w:tc>
        <w:tc>
          <w:tcPr>
            <w:shd w:fill="f2f2f2"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tl w:val="0"/>
              </w:rPr>
              <w:t xml:space="preserve">Documento de Historias de usuario</w:t>
            </w:r>
            <w:r w:rsidDel="00000000" w:rsidR="00000000" w:rsidRPr="00000000">
              <w:rPr>
                <w:rtl w:val="0"/>
              </w:rPr>
            </w:r>
          </w:p>
        </w:tc>
        <w:tc>
          <w:tcPr>
            <w:shd w:fill="f2f2f2"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ACU-HU</w:t>
            </w:r>
            <w:r w:rsidDel="00000000" w:rsidR="00000000" w:rsidRPr="00000000">
              <w:rPr>
                <w:rtl w:val="0"/>
              </w:rPr>
            </w:r>
          </w:p>
        </w:tc>
        <w:tc>
          <w:tcPr>
            <w:shd w:fill="f2f2f2"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shd w:fill="f2f2f2"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Relación de Casos de Uso</w:t>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ACU-RCU</w:t>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UI</w:t>
            </w:r>
          </w:p>
        </w:tc>
        <w:tc>
          <w:tcPr>
            <w:shd w:fill="f2f2f2"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ACU-DEUI</w:t>
            </w:r>
          </w:p>
        </w:tc>
        <w:tc>
          <w:tcPr>
            <w:shd w:fill="f2f2f2"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la BD</w:t>
            </w:r>
          </w:p>
        </w:tc>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ACU-DEBD</w:t>
            </w:r>
          </w:p>
        </w:tc>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shd w:fill="f2f2f2"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SIC-DA</w:t>
            </w:r>
          </w:p>
        </w:tc>
        <w:tc>
          <w:tcPr>
            <w:shd w:fill="f2f2f2"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240" w:before="240" w:lineRule="auto"/>
        <w:ind w:left="0" w:firstLine="0"/>
        <w:rPr>
          <w:rFonts w:ascii="Times New Roman" w:cs="Times New Roman" w:eastAsia="Times New Roman" w:hAnsi="Times New Roman"/>
          <w:color w:val="95b3d7"/>
        </w:rPr>
      </w:pPr>
      <w:r w:rsidDel="00000000" w:rsidR="00000000" w:rsidRPr="00000000">
        <w:rPr>
          <w:rtl w:val="0"/>
        </w:rPr>
      </w:r>
    </w:p>
    <w:p w:rsidR="00000000" w:rsidDel="00000000" w:rsidP="00000000" w:rsidRDefault="00000000" w:rsidRPr="00000000" w14:paraId="000000FA">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Rubio, J. (2019) Qué es GIT y para qué sirve </w:t>
      </w:r>
      <w:hyperlink r:id="rId11">
        <w:r w:rsidDel="00000000" w:rsidR="00000000" w:rsidRPr="00000000">
          <w:rPr>
            <w:rFonts w:ascii="Times New Roman" w:cs="Times New Roman" w:eastAsia="Times New Roman" w:hAnsi="Times New Roman"/>
            <w:color w:val="1155cc"/>
            <w:u w:val="single"/>
            <w:rtl w:val="0"/>
          </w:rPr>
          <w:t xml:space="preserve">https://openwebinars.net/blog/que-es-git-y-para-que-sirve/</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283.46456692913375" w:right="0" w:hanging="283.46456692913375"/>
        <w:jc w:val="left"/>
        <w:rPr>
          <w:rFonts w:ascii="Times New Roman" w:cs="Times New Roman" w:eastAsia="Times New Roman" w:hAnsi="Times New Roman"/>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shd w:fill="auto" w:val="clea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NormalWeb">
    <w:name w:val="Normal (Web)"/>
    <w:basedOn w:val="Normal"/>
    <w:uiPriority w:val="99"/>
    <w:semiHidden w:val="1"/>
    <w:unhideWhenUsed w:val="1"/>
    <w:rsid w:val="00044C8E"/>
    <w:pPr>
      <w:spacing w:after="100" w:afterAutospacing="1" w:before="100" w:beforeAutospacing="1" w:line="240" w:lineRule="auto"/>
    </w:pPr>
    <w:rPr>
      <w:rFonts w:ascii="Times New Roman" w:cs="Times New Roman" w:eastAsia="Times New Roman" w:hAnsi="Times New Roman"/>
      <w:sz w:val="24"/>
      <w:szCs w:val="24"/>
      <w:lang w:val="es-PE"/>
    </w:rPr>
  </w:style>
  <w:style w:type="table" w:styleId="Tabladelista2-nfasis4">
    <w:name w:val="List Table 2 Accent 4"/>
    <w:basedOn w:val="Tablanormal"/>
    <w:uiPriority w:val="47"/>
    <w:rsid w:val="000A33A4"/>
    <w:pPr>
      <w:spacing w:line="240" w:lineRule="auto"/>
    </w:pPr>
    <w:tblPr>
      <w:tblStyleRowBandSize w:val="1"/>
      <w:tblStyleColBandSize w:val="1"/>
      <w:tblBorders>
        <w:top w:color="b2a1c7" w:space="0" w:sz="4" w:themeColor="accent4" w:themeTint="000099" w:val="single"/>
        <w:bottom w:color="b2a1c7" w:space="0" w:sz="4" w:themeColor="accent4" w:themeTint="000099" w:val="single"/>
        <w:insideH w:color="b2a1c7"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nfasis4">
    <w:name w:val="List Table 6 Colorful Accent 4"/>
    <w:basedOn w:val="Tablanormal"/>
    <w:uiPriority w:val="51"/>
    <w:rsid w:val="000A33A4"/>
    <w:pPr>
      <w:spacing w:line="240" w:lineRule="auto"/>
    </w:pPr>
    <w:rPr>
      <w:color w:val="5f497a" w:themeColor="accent4" w:themeShade="0000BF"/>
    </w:rPr>
    <w:tblPr>
      <w:tblStyleRowBandSize w:val="1"/>
      <w:tblStyleColBandSize w:val="1"/>
      <w:tblBorders>
        <w:top w:color="8064a2" w:space="0" w:sz="4" w:themeColor="accent4" w:val="single"/>
        <w:bottom w:color="8064a2" w:space="0" w:sz="4" w:themeColor="accent4" w:val="single"/>
      </w:tblBorders>
    </w:tblPr>
    <w:tblStylePr w:type="firstRow">
      <w:rPr>
        <w:b w:val="1"/>
        <w:bCs w:val="1"/>
      </w:rPr>
      <w:tblPr/>
      <w:tcPr>
        <w:tcBorders>
          <w:bottom w:color="8064a2" w:space="0" w:sz="4" w:themeColor="accent4" w:val="single"/>
        </w:tcBorders>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
    <w:name w:val="List Table 6 Colorful"/>
    <w:basedOn w:val="Tablanormal"/>
    <w:uiPriority w:val="51"/>
    <w:rsid w:val="000A33A4"/>
    <w:pPr>
      <w:spacing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Encabezado">
    <w:name w:val="header"/>
    <w:basedOn w:val="Normal"/>
    <w:link w:val="EncabezadoCar"/>
    <w:uiPriority w:val="99"/>
    <w:unhideWhenUsed w:val="1"/>
    <w:rsid w:val="000A33A4"/>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0A33A4"/>
  </w:style>
  <w:style w:type="paragraph" w:styleId="Piedepgina">
    <w:name w:val="footer"/>
    <w:basedOn w:val="Normal"/>
    <w:link w:val="PiedepginaCar"/>
    <w:uiPriority w:val="99"/>
    <w:unhideWhenUsed w:val="1"/>
    <w:rsid w:val="000A33A4"/>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0A33A4"/>
  </w:style>
  <w:style w:type="table" w:styleId="Tablaconcuadrcula6concolores">
    <w:name w:val="Grid Table 6 Colorful"/>
    <w:basedOn w:val="Tablanormal"/>
    <w:uiPriority w:val="51"/>
    <w:rsid w:val="000A2E48"/>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webinars.net/blog/que-es-git-y-para-que-sirve/" TargetMode="External"/><Relationship Id="rId10" Type="http://schemas.openxmlformats.org/officeDocument/2006/relationships/hyperlink" Target="https://github.com/ANAISBT/PALPA_DEVELOPERS/blob/master/DOCUMENTOS/PGC/DIAGRAMA%20DE%20ESTRUCTURA%20DE%20SOFTWARE.pdf"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4KQTYO+tnbfblz+A++warJ0BA==">AMUW2mVJ/u/nRliEhS5FXKECZ0aG0lbiicuPBUhFYVpZ5khYXVv7HyAY5mZngSpjtV/cYHsmQ8387OUvFk3dDGPSLgkDU6aSZO4WScGO8chot6ukFdpTIV0AdtgQpA/P8UKWZIfTYgkFKFcmIPj7WYIQKvhfSIyA5A==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