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780C7"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Phase 2: Development of Outcome-Specific Risk Models as Foundations for Aging Phenotyping</w:t>
      </w:r>
    </w:p>
    <w:p w14:paraId="42340DF0"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Phase 2 represents the analytical core of this research, bridging raw clinical data and higher-order phenotyping by translating heterogeneous patient information into structured, outcome-specific measures of vulnerability. The central objective of this phase was not merely to predict adverse outcomes, but to quantify latent risk dimensions that reflect underlying biological aging processes in oncology patients. These quantified risks were subsequently used as inputs for unsupervised phenotyping in Phase 3, making the methodological integrity of Phase 2 critical for the validity of all downstream analyses.</w:t>
      </w:r>
    </w:p>
    <w:p w14:paraId="62077A24"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Unlike traditional prognostic modeling, which often collapses diverse adverse events into a single composite endpoint, Phase 2 deliberately adopted a multi-outcome modeling strategy. Mortality, hospitalization, and severe adverse drug reactions (ADR) were treated as distinct but related manifestations of patient vulnerability. This approach reflects the clinical reality that aging does not express itself through a single pathway. Some patients primarily experience toxicity, others repeated hospitalizations, and others early mortality, even when their chronological age is similar. Modeling these outcomes separately preserves this heterogeneity and avoids masking clinically meaningful differences.</w:t>
      </w:r>
    </w:p>
    <w:p w14:paraId="53E59BA2"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Conceptual Framing and Design Philosophy</w:t>
      </w:r>
    </w:p>
    <w:p w14:paraId="00BAFAC1" w14:textId="156063D4"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The analytical philosophy underpinning Phase 2 was guided by three overarching principles. First, all models needed to be clinically interpretable, producing effect estimates that align with established oncological and geriatric knowledge. Second, the modeling strategy had to be robust to overfitting and data sparsity, given the real-world nature of the cohort and the presence of correlated predictors. Third, and most importantly, the resulting risk estimates had to be suitable for unsupervised integration, meaning they could not embed outcome information in a way that would contaminate later phenotyping steps. For this reason, Phase 2 was explicitly framed as a risk abstraction exercise rather than a final prediction task. The emphasis was placed on relative risk ranking and latent vulnerability rather than absolute prediction accuracy.</w:t>
      </w:r>
    </w:p>
    <w:p w14:paraId="20327530"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Data Sources and Analytical Cohort</w:t>
      </w:r>
    </w:p>
    <w:p w14:paraId="4AC67952"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lastRenderedPageBreak/>
        <w:t>All analyses in Phase 2 were conducted using a cleaned and harmonized patient-level dataset derived from the CODIGE oncology cohort. This dataset was the product of extensive preprocessing in Phase 1, which addressed inconsistencies in variable coding, removed implausible values, standardized categorical labels, and ensured temporal coherence between predictors and outcomes.</w:t>
      </w:r>
    </w:p>
    <w:p w14:paraId="3B291DB0"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The cohort included demographic characteristics, socio-economic indicators, comorbidities, laboratory measurements, treatment exposures, and pharmacogenomic markers. Importantly, all predictors used in Phase 2 were defined at baseline or prior to outcome occurrence, ensuring temporal validity. Variables that directly encoded outcomes, post-baseline events, or follow-up-dependent information were systematically excluded to prevent information leakage.</w:t>
      </w:r>
    </w:p>
    <w:p w14:paraId="3364B178"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Outcome Definition and Justification</w:t>
      </w:r>
    </w:p>
    <w:p w14:paraId="38F91BD7"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Three outcomes were modeled independently in Phase 2, each selected for its clinical relevance and relationship to biological aging.</w:t>
      </w:r>
    </w:p>
    <w:p w14:paraId="47ADD960"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All-cause mortality was chosen as the most definitive endpoint, reflecting global vulnerability and failure of physiological reserve. However, mortality alone is an incomplete representation of aging in oncology, as many patients experience significant morbidity long before death.</w:t>
      </w:r>
    </w:p>
    <w:p w14:paraId="737922A5"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Hospitalization was therefore modeled as a second outcome, capturing healthcare utilization, acute decompensation, and systemic instability. Hospital admissions often represent early manifestations of declining resilience and are particularly relevant in older cancer populations.</w:t>
      </w:r>
    </w:p>
    <w:p w14:paraId="09330DEE"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Severe adverse drug reactions were included as a third outcome to explicitly address treatment tolerance, a domain often underrepresented in aging research. Severe ADRs reflect the interaction between physiological reserve, pharmacokinetics, pharmacogenomics, and treatment intensity, making them a critical component of aging-related vulnerability.</w:t>
      </w:r>
    </w:p>
    <w:p w14:paraId="06AA0BDA"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Each outcome was encoded in a manner consistent with its data-generating process. Mortality was treated as a time-to-event outcome with censoring, while hospitalization and severe ADRs were treated as binary outcomes reflecting occurrence during the observation period.</w:t>
      </w:r>
    </w:p>
    <w:p w14:paraId="44955A00"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Predictor Selection and Outcome-Specific Refinement</w:t>
      </w:r>
    </w:p>
    <w:p w14:paraId="30AA877F"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lastRenderedPageBreak/>
        <w:t>An initial pool of candidate predictors was assembled based on prior literature, clinical expertise, and data availability. This pool spanned demographic variables, socio-economic indicators, comorbidities, laboratory ranges, pharmacogenomic markers, and treatment characteristics. Rather than enforcing a single predictor set across all outcomes, Phase 2 recognized that different adverse outcomes are driven by different mechanisms.</w:t>
      </w:r>
    </w:p>
    <w:p w14:paraId="016F1607" w14:textId="07617EE4"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Consequently, predictor lists were refined separately for each outcome. For mortality modeling, emphasis was placed on comorbidity burden, frailty proxies, and disease-related factors. Hospitalization models prioritized chronic disease burden and treatment exposure variables. Severe ADR models focused more heavily on laboratory markers, pharmacogenomic information, and indicators of treatment intensity.</w:t>
      </w:r>
      <w:r w:rsidR="00C55277" w:rsidRPr="0049636A">
        <w:rPr>
          <w:rFonts w:ascii="Times New Roman" w:hAnsi="Times New Roman" w:cs="Times New Roman"/>
          <w:lang w:val="en-GB"/>
        </w:rPr>
        <w:t xml:space="preserve"> </w:t>
      </w:r>
      <w:r w:rsidRPr="0049636A">
        <w:rPr>
          <w:rFonts w:ascii="Times New Roman" w:hAnsi="Times New Roman" w:cs="Times New Roman"/>
          <w:lang w:val="en-GB"/>
        </w:rPr>
        <w:t>This outcome-specific refinement improved model relevance and interpretability, while still maintaining conceptual coherence across outcomes.</w:t>
      </w:r>
    </w:p>
    <w:p w14:paraId="1DACC30B"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Mortality Modeling Strategy</w:t>
      </w:r>
    </w:p>
    <w:p w14:paraId="17D2136F" w14:textId="07CCCB49"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Mortality was modeled using survival analysis techniques to appropriately account for censoring and varying follow-up times. Cox proportional hazards regression was selected as the primary modeling framework due to its widespread use in oncology and its ability to produce interpretable hazard ratios.</w:t>
      </w:r>
      <w:r w:rsidR="00C55277" w:rsidRPr="0049636A">
        <w:rPr>
          <w:rFonts w:ascii="Times New Roman" w:hAnsi="Times New Roman" w:cs="Times New Roman"/>
          <w:lang w:val="en-GB"/>
        </w:rPr>
        <w:t xml:space="preserve"> </w:t>
      </w:r>
      <w:r w:rsidRPr="0049636A">
        <w:rPr>
          <w:rFonts w:ascii="Times New Roman" w:hAnsi="Times New Roman" w:cs="Times New Roman"/>
          <w:lang w:val="en-GB"/>
        </w:rPr>
        <w:t>Given the presence of correlated predictors and the moderate sample size, penalized Cox regression was employed to stabilize coefficient estimates and reduce overfitting. Penalization allowed the model to retain clinically important predictors while shrinking unstable effects toward zero.</w:t>
      </w:r>
      <w:r w:rsidR="00C55277" w:rsidRPr="0049636A">
        <w:rPr>
          <w:rFonts w:ascii="Times New Roman" w:hAnsi="Times New Roman" w:cs="Times New Roman"/>
          <w:lang w:val="en-GB"/>
        </w:rPr>
        <w:t xml:space="preserve"> </w:t>
      </w:r>
      <w:r w:rsidRPr="0049636A">
        <w:rPr>
          <w:rFonts w:ascii="Times New Roman" w:hAnsi="Times New Roman" w:cs="Times New Roman"/>
          <w:lang w:val="en-GB"/>
        </w:rPr>
        <w:t>Model diagnostics were conducted to assess proportional hazards assumptions and coefficient stability. Where minor deviations were observed, they were evaluated in the context of clinical plausibility rather than treated as purely statistical violations. The final mortality model exhibited coherent effect estimates consistent with established geriatric oncology risk factors.</w:t>
      </w:r>
    </w:p>
    <w:p w14:paraId="71404FC1"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Hospitalization Modeling Strategy</w:t>
      </w:r>
    </w:p>
    <w:p w14:paraId="3753B6C7" w14:textId="37E8DCE3"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Hospitalization was modeled as a binary outcome using multivariable logistic regression. Although hospitalization counts were available, a binary formulation was chosen to maintain interpretability and avoid assumptions about event recurrence processes that could not be robustly supported.</w:t>
      </w:r>
      <w:r w:rsidR="00C55277" w:rsidRPr="0049636A">
        <w:rPr>
          <w:rFonts w:ascii="Times New Roman" w:hAnsi="Times New Roman" w:cs="Times New Roman"/>
          <w:lang w:val="en-GB"/>
        </w:rPr>
        <w:t xml:space="preserve"> </w:t>
      </w:r>
      <w:r w:rsidRPr="0049636A">
        <w:rPr>
          <w:rFonts w:ascii="Times New Roman" w:hAnsi="Times New Roman" w:cs="Times New Roman"/>
          <w:lang w:val="en-GB"/>
        </w:rPr>
        <w:t xml:space="preserve">Logistic regression provided adjusted odds ratios that could be directly interpreted in clinical terms. Predictors were entered simultaneously after screening to estimate their independent contributions. Model discrimination was assessed using receiver operating characteristic curves </w:t>
      </w:r>
      <w:r w:rsidRPr="0049636A">
        <w:rPr>
          <w:rFonts w:ascii="Times New Roman" w:hAnsi="Times New Roman" w:cs="Times New Roman"/>
          <w:lang w:val="en-GB"/>
        </w:rPr>
        <w:lastRenderedPageBreak/>
        <w:t>and area under the curve metrics, while calibration was evaluated through comparison of predicted and observed risks.</w:t>
      </w:r>
      <w:r w:rsidR="00C55277" w:rsidRPr="0049636A">
        <w:rPr>
          <w:rFonts w:ascii="Times New Roman" w:hAnsi="Times New Roman" w:cs="Times New Roman"/>
          <w:lang w:val="en-GB"/>
        </w:rPr>
        <w:t xml:space="preserve"> </w:t>
      </w:r>
      <w:r w:rsidRPr="0049636A">
        <w:rPr>
          <w:rFonts w:ascii="Times New Roman" w:hAnsi="Times New Roman" w:cs="Times New Roman"/>
          <w:lang w:val="en-GB"/>
        </w:rPr>
        <w:t>The hospitalization model demonstrated acceptable performance for a heterogeneous clinical cohort and produced risk estimates that varied systematically across patient profiles.</w:t>
      </w:r>
    </w:p>
    <w:p w14:paraId="2197AF4F"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Severe Adverse Drug Reaction Modeling</w:t>
      </w:r>
    </w:p>
    <w:p w14:paraId="092346B7" w14:textId="6131E81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 xml:space="preserve">Severe ADRs were also modeled using logistic regression, reflecting their binary definition as grade three or higher toxicity events. </w:t>
      </w:r>
      <w:proofErr w:type="gramStart"/>
      <w:r w:rsidRPr="0049636A">
        <w:rPr>
          <w:rFonts w:ascii="Times New Roman" w:hAnsi="Times New Roman" w:cs="Times New Roman"/>
          <w:lang w:val="en-GB"/>
        </w:rPr>
        <w:t>Particular attention</w:t>
      </w:r>
      <w:proofErr w:type="gramEnd"/>
      <w:r w:rsidRPr="0049636A">
        <w:rPr>
          <w:rFonts w:ascii="Times New Roman" w:hAnsi="Times New Roman" w:cs="Times New Roman"/>
          <w:lang w:val="en-GB"/>
        </w:rPr>
        <w:t xml:space="preserve"> was paid to predictors related to drug metabolism, physiological reserve, and treatment exposure.</w:t>
      </w:r>
      <w:r w:rsidR="00C55277" w:rsidRPr="0049636A">
        <w:rPr>
          <w:rFonts w:ascii="Times New Roman" w:hAnsi="Times New Roman" w:cs="Times New Roman"/>
          <w:lang w:val="en-GB"/>
        </w:rPr>
        <w:t xml:space="preserve"> </w:t>
      </w:r>
      <w:r w:rsidRPr="0049636A">
        <w:rPr>
          <w:rFonts w:ascii="Times New Roman" w:hAnsi="Times New Roman" w:cs="Times New Roman"/>
          <w:lang w:val="en-GB"/>
        </w:rPr>
        <w:t>Pharmacogenomic variables, where available, were incorporated to capture inter-individual differences in drug handling. Laboratory abnormalities were included as proxies for organ function and vulnerability. The resulting model identified clinically coherent patterns of toxicity risk that aligned with pharmacological principles.</w:t>
      </w:r>
    </w:p>
    <w:p w14:paraId="295C95AD"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Univariate Screening and Statistical Control</w:t>
      </w:r>
    </w:p>
    <w:p w14:paraId="5FE6D45B"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Univariate analyses were conducted for each predictor-outcome pair as a diagnostic and interpretive step rather than a strict variable selection mechanism. These analyses provided insight into marginal associations and helped identify predictors with negligible or unstable effects.</w:t>
      </w:r>
    </w:p>
    <w:p w14:paraId="356D7DFA"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Given the large number of predictors evaluated, p-values were adjusted using the Benjamini–Hochberg false discovery rate procedure. Both raw and adjusted p-values were retained to support transparent reporting. Importantly, statistical significance was not treated as the sole criterion for importance; effect size magnitude and clinical plausibility were given equal weight.</w:t>
      </w:r>
    </w:p>
    <w:p w14:paraId="4486AE45"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Effect Size Estimation and Interpretation</w:t>
      </w:r>
    </w:p>
    <w:p w14:paraId="7DD86DB8"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Effect sizes were reported in outcome-appropriate metrics, with hazard ratios for mortality and odds ratios for hospitalization and severe ADRs. Emphasis was placed on the magnitude and direction of effects rather than binary significance thresholds.</w:t>
      </w:r>
    </w:p>
    <w:p w14:paraId="72F6382F"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Predictors with moderate statistical support but large effect sizes were retained for interpretation, reflecting the recognition that clinically meaningful effects may not always achieve conventional significance in real-world datasets.</w:t>
      </w:r>
    </w:p>
    <w:p w14:paraId="6AD64527"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Construction of Individualized Risk Scores</w:t>
      </w:r>
    </w:p>
    <w:p w14:paraId="3927E088"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lastRenderedPageBreak/>
        <w:t>For each outcome, individualized risk scores were derived from the fitted models using the linear predictor. These scores represent each patient’s relative position on the risk continuum for that outcome, rather than absolute risk probabilities.</w:t>
      </w:r>
    </w:p>
    <w:p w14:paraId="49DD8285"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To facilitate comparison and integration across outcomes, all risk scores were standardized using z-score transformation. This standardization ensured that differences in scale or model type did not unduly influence downstream analyses.</w:t>
      </w:r>
    </w:p>
    <w:p w14:paraId="51E4FC3C"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The resulting risk scores exhibited approximately normal distributions and meaningful variability across patients. Correlations between scores were present but incomplete, indicating that each outcome captured distinct aspects of vulnerability.</w:t>
      </w:r>
    </w:p>
    <w:p w14:paraId="58AD746B"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Model Performance and Robustness</w:t>
      </w:r>
    </w:p>
    <w:p w14:paraId="115818EC"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Model performance was evaluated using multiple complementary criteria. Discrimination metrics indicated acceptable separation between higher- and lower-risk patients across outcomes. Calibration assessments suggested reasonable agreement between predicted and observed risks, particularly in central risk ranges.</w:t>
      </w:r>
    </w:p>
    <w:p w14:paraId="7BC0C65C"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Sensitivity analyses were conducted to assess robustness, including re-estimation with alternative predictor subsets, exclusion of rare categories, and comparison of penalized and unpenalized models. These analyses demonstrated stability of key predictors and risk score rankings, supporting the reliability of the derived risk measures.</w:t>
      </w:r>
    </w:p>
    <w:p w14:paraId="2D86B334"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Interpretation of Phase 2 Outputs</w:t>
      </w:r>
    </w:p>
    <w:p w14:paraId="2395AE6E"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Phase 2 successfully translated complex, heterogeneous patient data into three structured risk dimensions reflecting mortality, hospitalization, and treatment toxicity vulnerability. While these dimensions were correlated, none was redundant, underscoring the value of a multi-outcome approach.</w:t>
      </w:r>
    </w:p>
    <w:p w14:paraId="405171F3"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 xml:space="preserve">Crucially, the risk scores were derived solely from baseline information and did not encode outcome occurrence directly, preserving their suitability for unsupervised phenotyping. This distinction is fundamental, as it ensures that Phase 3 phenotypes represent </w:t>
      </w:r>
      <w:r w:rsidRPr="0049636A">
        <w:rPr>
          <w:rFonts w:ascii="Times New Roman" w:hAnsi="Times New Roman" w:cs="Times New Roman"/>
          <w:b/>
          <w:bCs/>
          <w:lang w:val="en-GB"/>
        </w:rPr>
        <w:t>latent vulnerability profiles</w:t>
      </w:r>
      <w:r w:rsidRPr="0049636A">
        <w:rPr>
          <w:rFonts w:ascii="Times New Roman" w:hAnsi="Times New Roman" w:cs="Times New Roman"/>
          <w:lang w:val="en-GB"/>
        </w:rPr>
        <w:t xml:space="preserve"> rather than re-labeled outcomes.</w:t>
      </w:r>
    </w:p>
    <w:p w14:paraId="0F8D55C4"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Limitations of Phase 2</w:t>
      </w:r>
    </w:p>
    <w:p w14:paraId="3C1FF58D"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lastRenderedPageBreak/>
        <w:t>Several limitations should be acknowledged. The models were developed within a single cohort and require external validation. Some predictors exhibited sparse categories, limiting precision of effect estimates. Additionally, the risk scores represent relative rather than absolute risk and should be interpreted accordingly.</w:t>
      </w:r>
    </w:p>
    <w:p w14:paraId="311C08A7"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These limitations were explicitly considered in the design of Phase 3, which emphasized unsupervised integration and effect size interpretation rather than reliance on individual predictors.</w:t>
      </w:r>
    </w:p>
    <w:p w14:paraId="1B84ADC3" w14:textId="77777777" w:rsidR="00F91BC4" w:rsidRPr="0049636A" w:rsidRDefault="00F91BC4" w:rsidP="0049636A">
      <w:pPr>
        <w:spacing w:line="360" w:lineRule="auto"/>
        <w:jc w:val="both"/>
        <w:rPr>
          <w:rFonts w:ascii="Times New Roman" w:hAnsi="Times New Roman" w:cs="Times New Roman"/>
          <w:b/>
          <w:bCs/>
          <w:lang w:val="en-GB"/>
        </w:rPr>
      </w:pPr>
      <w:r w:rsidRPr="0049636A">
        <w:rPr>
          <w:rFonts w:ascii="Times New Roman" w:hAnsi="Times New Roman" w:cs="Times New Roman"/>
          <w:b/>
          <w:bCs/>
          <w:lang w:val="en-GB"/>
        </w:rPr>
        <w:t>Summary and Transition to Phase 3</w:t>
      </w:r>
    </w:p>
    <w:p w14:paraId="4C0AC311" w14:textId="5C17BD63"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In summary, Phase 2 established, outcome-specific modeling framework that quantified patient vulnerability across three clinically distinct domains. The resulting standardized risk scores provided a robust and interpretable foundation for Phase 3 phenotyping.</w:t>
      </w:r>
    </w:p>
    <w:p w14:paraId="53EA49FA" w14:textId="77777777" w:rsidR="00F91BC4" w:rsidRPr="0049636A" w:rsidRDefault="00F91BC4" w:rsidP="0049636A">
      <w:pPr>
        <w:spacing w:line="360" w:lineRule="auto"/>
        <w:jc w:val="both"/>
        <w:rPr>
          <w:rFonts w:ascii="Times New Roman" w:hAnsi="Times New Roman" w:cs="Times New Roman"/>
          <w:lang w:val="en-GB"/>
        </w:rPr>
      </w:pPr>
      <w:r w:rsidRPr="0049636A">
        <w:rPr>
          <w:rFonts w:ascii="Times New Roman" w:hAnsi="Times New Roman" w:cs="Times New Roman"/>
          <w:lang w:val="en-GB"/>
        </w:rPr>
        <w:t>By preserving outcome specificity while enabling integrative analysis, Phase 2 moves beyond traditional prognostic modeling and sets the stage for a systems-level understanding of aging in oncology populations.</w:t>
      </w:r>
    </w:p>
    <w:p w14:paraId="6C4DADA3" w14:textId="77777777" w:rsidR="008B5AA9" w:rsidRPr="0049636A" w:rsidRDefault="008B5AA9" w:rsidP="0049636A">
      <w:pPr>
        <w:spacing w:line="360" w:lineRule="auto"/>
        <w:jc w:val="both"/>
        <w:rPr>
          <w:rFonts w:ascii="Times New Roman" w:hAnsi="Times New Roman" w:cs="Times New Roman"/>
        </w:rPr>
      </w:pPr>
    </w:p>
    <w:sectPr w:rsidR="008B5AA9" w:rsidRPr="004963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C4"/>
    <w:rsid w:val="0044026A"/>
    <w:rsid w:val="0049636A"/>
    <w:rsid w:val="0059627E"/>
    <w:rsid w:val="00633A39"/>
    <w:rsid w:val="006B60A8"/>
    <w:rsid w:val="008B5AA9"/>
    <w:rsid w:val="00C55277"/>
    <w:rsid w:val="00F91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580B3"/>
  <w15:chartTrackingRefBased/>
  <w15:docId w15:val="{09BBC489-8DF6-4AAA-AE75-4F222994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BC4"/>
    <w:rPr>
      <w:rFonts w:eastAsiaTheme="majorEastAsia" w:cstheme="majorBidi"/>
      <w:color w:val="272727" w:themeColor="text1" w:themeTint="D8"/>
    </w:rPr>
  </w:style>
  <w:style w:type="paragraph" w:styleId="Title">
    <w:name w:val="Title"/>
    <w:basedOn w:val="Normal"/>
    <w:next w:val="Normal"/>
    <w:link w:val="TitleChar"/>
    <w:uiPriority w:val="10"/>
    <w:qFormat/>
    <w:rsid w:val="00F91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BC4"/>
    <w:pPr>
      <w:spacing w:before="160"/>
      <w:jc w:val="center"/>
    </w:pPr>
    <w:rPr>
      <w:i/>
      <w:iCs/>
      <w:color w:val="404040" w:themeColor="text1" w:themeTint="BF"/>
    </w:rPr>
  </w:style>
  <w:style w:type="character" w:customStyle="1" w:styleId="QuoteChar">
    <w:name w:val="Quote Char"/>
    <w:basedOn w:val="DefaultParagraphFont"/>
    <w:link w:val="Quote"/>
    <w:uiPriority w:val="29"/>
    <w:rsid w:val="00F91BC4"/>
    <w:rPr>
      <w:i/>
      <w:iCs/>
      <w:color w:val="404040" w:themeColor="text1" w:themeTint="BF"/>
    </w:rPr>
  </w:style>
  <w:style w:type="paragraph" w:styleId="ListParagraph">
    <w:name w:val="List Paragraph"/>
    <w:basedOn w:val="Normal"/>
    <w:uiPriority w:val="34"/>
    <w:qFormat/>
    <w:rsid w:val="00F91BC4"/>
    <w:pPr>
      <w:ind w:left="720"/>
      <w:contextualSpacing/>
    </w:pPr>
  </w:style>
  <w:style w:type="character" w:styleId="IntenseEmphasis">
    <w:name w:val="Intense Emphasis"/>
    <w:basedOn w:val="DefaultParagraphFont"/>
    <w:uiPriority w:val="21"/>
    <w:qFormat/>
    <w:rsid w:val="00F91BC4"/>
    <w:rPr>
      <w:i/>
      <w:iCs/>
      <w:color w:val="0F4761" w:themeColor="accent1" w:themeShade="BF"/>
    </w:rPr>
  </w:style>
  <w:style w:type="paragraph" w:styleId="IntenseQuote">
    <w:name w:val="Intense Quote"/>
    <w:basedOn w:val="Normal"/>
    <w:next w:val="Normal"/>
    <w:link w:val="IntenseQuoteChar"/>
    <w:uiPriority w:val="30"/>
    <w:qFormat/>
    <w:rsid w:val="00F91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BC4"/>
    <w:rPr>
      <w:i/>
      <w:iCs/>
      <w:color w:val="0F4761" w:themeColor="accent1" w:themeShade="BF"/>
    </w:rPr>
  </w:style>
  <w:style w:type="character" w:styleId="IntenseReference">
    <w:name w:val="Intense Reference"/>
    <w:basedOn w:val="DefaultParagraphFont"/>
    <w:uiPriority w:val="32"/>
    <w:qFormat/>
    <w:rsid w:val="00F91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1861</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Olufemi Yusuf</dc:creator>
  <cp:keywords/>
  <dc:description/>
  <cp:lastModifiedBy>Olufemi Yusuf</cp:lastModifiedBy>
  <cp:revision>2</cp:revision>
  <dcterms:created xsi:type="dcterms:W3CDTF">2025-12-27T19:08:00Z</dcterms:created>
  <dcterms:modified xsi:type="dcterms:W3CDTF">2025-12-30T16:11:00Z</dcterms:modified>
</cp:coreProperties>
</file>