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53101" w14:textId="77777777" w:rsidR="00B3752F" w:rsidRPr="00B3752F" w:rsidRDefault="00B3752F" w:rsidP="00B3752F">
      <w:pPr>
        <w:rPr>
          <w:b/>
          <w:bCs/>
          <w:lang w:val="en-GB"/>
        </w:rPr>
      </w:pPr>
      <w:r w:rsidRPr="00B3752F">
        <w:rPr>
          <w:b/>
          <w:bCs/>
          <w:lang w:val="en-GB"/>
        </w:rPr>
        <w:t>Phase 3: Construction of Aging Phenotypes Using Integrated Risk Profiles</w:t>
      </w:r>
    </w:p>
    <w:p w14:paraId="19D80968" w14:textId="12743ED5" w:rsidR="00B3752F" w:rsidRPr="00B3752F" w:rsidRDefault="00B3752F" w:rsidP="00B3752F">
      <w:pPr>
        <w:rPr>
          <w:lang w:val="en-GB"/>
        </w:rPr>
      </w:pPr>
      <w:r w:rsidRPr="00B3752F">
        <w:rPr>
          <w:lang w:val="en-GB"/>
        </w:rPr>
        <w:t xml:space="preserve">The primary objective of Phase 3 was to identify latent aging phenotypes that capture this heterogeneity using a data-driven approach grounded in clinically meaningful risk domains. Unlike traditional prognostic </w:t>
      </w:r>
      <w:proofErr w:type="spellStart"/>
      <w:r w:rsidRPr="00B3752F">
        <w:rPr>
          <w:lang w:val="en-GB"/>
        </w:rPr>
        <w:t>modeling</w:t>
      </w:r>
      <w:proofErr w:type="spellEnd"/>
      <w:r w:rsidRPr="00B3752F">
        <w:rPr>
          <w:lang w:val="en-GB"/>
        </w:rPr>
        <w:t>, which focuses on predicting a single outcome, the goal of this phase was to integrate information across multiple adverse outcome risks and derive unsupervised patient phenotypes that reflect distinct aging trajectories.</w:t>
      </w:r>
      <w:r w:rsidRPr="00B3752F">
        <w:rPr>
          <w:lang w:val="en-GB"/>
        </w:rPr>
        <w:t xml:space="preserve"> </w:t>
      </w:r>
      <w:r w:rsidRPr="00B3752F">
        <w:rPr>
          <w:lang w:val="en-GB"/>
        </w:rPr>
        <w:t>This phase builds directly on the outputs of Phase 2, which generated validated risk scores for death, hospitalization, and severe adverse drug reactions (ADR), alongside a laboratory-based frailty index (FI-LAB). By combining these complementary dimensions, Phase 3 aimed to move beyond isolated outcome prediction toward a holistic representation of patient vulnerability.</w:t>
      </w:r>
    </w:p>
    <w:p w14:paraId="0FED9A40" w14:textId="00CBAF07" w:rsidR="00B3752F" w:rsidRPr="00B3752F" w:rsidRDefault="00B3752F" w:rsidP="00B3752F">
      <w:pPr>
        <w:rPr>
          <w:b/>
          <w:bCs/>
          <w:lang w:val="en-GB"/>
        </w:rPr>
      </w:pPr>
      <w:r w:rsidRPr="00B3752F">
        <w:rPr>
          <w:b/>
          <w:bCs/>
          <w:lang w:val="en-GB"/>
        </w:rPr>
        <w:t>Design Principles and Constraints</w:t>
      </w:r>
    </w:p>
    <w:p w14:paraId="294336F5" w14:textId="77777777" w:rsidR="00B3752F" w:rsidRPr="00B3752F" w:rsidRDefault="00B3752F" w:rsidP="00B3752F">
      <w:pPr>
        <w:rPr>
          <w:lang w:val="en-GB"/>
        </w:rPr>
      </w:pPr>
      <w:r w:rsidRPr="00B3752F">
        <w:rPr>
          <w:lang w:val="en-GB"/>
        </w:rPr>
        <w:t>Several guiding principles informed the design of the phenotyping strategy:</w:t>
      </w:r>
    </w:p>
    <w:p w14:paraId="12A02734" w14:textId="77777777" w:rsidR="00B3752F" w:rsidRPr="00B3752F" w:rsidRDefault="00B3752F" w:rsidP="00B3752F">
      <w:pPr>
        <w:numPr>
          <w:ilvl w:val="0"/>
          <w:numId w:val="1"/>
        </w:numPr>
        <w:rPr>
          <w:lang w:val="en-GB"/>
        </w:rPr>
      </w:pPr>
      <w:r w:rsidRPr="00B3752F">
        <w:rPr>
          <w:b/>
          <w:bCs/>
          <w:lang w:val="en-GB"/>
        </w:rPr>
        <w:t>Outcome Leakage Avoidance</w:t>
      </w:r>
      <w:r w:rsidRPr="00B3752F">
        <w:rPr>
          <w:lang w:val="en-GB"/>
        </w:rPr>
        <w:br/>
        <w:t>Phenotype construction was performed without direct inclusion of outcome indicators such as survival time, death events, hospitalization flags, or toxicity counts. This ensured that the resulting phenotypes were not tautologically defined by the outcomes they were later compared against.</w:t>
      </w:r>
    </w:p>
    <w:p w14:paraId="250CB355" w14:textId="77777777" w:rsidR="00B3752F" w:rsidRPr="00B3752F" w:rsidRDefault="00B3752F" w:rsidP="00B3752F">
      <w:pPr>
        <w:numPr>
          <w:ilvl w:val="0"/>
          <w:numId w:val="1"/>
        </w:numPr>
        <w:rPr>
          <w:lang w:val="en-GB"/>
        </w:rPr>
      </w:pPr>
      <w:r w:rsidRPr="00B3752F">
        <w:rPr>
          <w:b/>
          <w:bCs/>
          <w:lang w:val="en-GB"/>
        </w:rPr>
        <w:t>Clinical Interpretability</w:t>
      </w:r>
      <w:r w:rsidRPr="00B3752F">
        <w:rPr>
          <w:lang w:val="en-GB"/>
        </w:rPr>
        <w:br/>
        <w:t xml:space="preserve">The phenotypes needed to be interpretable by clinicians as meaningful aging trajectories rather than abstract clusters with no clinical </w:t>
      </w:r>
      <w:proofErr w:type="spellStart"/>
      <w:r w:rsidRPr="00B3752F">
        <w:rPr>
          <w:lang w:val="en-GB"/>
        </w:rPr>
        <w:t>analog</w:t>
      </w:r>
      <w:proofErr w:type="spellEnd"/>
      <w:r w:rsidRPr="00B3752F">
        <w:rPr>
          <w:lang w:val="en-GB"/>
        </w:rPr>
        <w:t>.</w:t>
      </w:r>
    </w:p>
    <w:p w14:paraId="73489B9E" w14:textId="77777777" w:rsidR="00B3752F" w:rsidRPr="00B3752F" w:rsidRDefault="00B3752F" w:rsidP="00B3752F">
      <w:pPr>
        <w:numPr>
          <w:ilvl w:val="0"/>
          <w:numId w:val="1"/>
        </w:numPr>
        <w:rPr>
          <w:lang w:val="en-GB"/>
        </w:rPr>
      </w:pPr>
      <w:r w:rsidRPr="00B3752F">
        <w:rPr>
          <w:b/>
          <w:bCs/>
          <w:lang w:val="en-GB"/>
        </w:rPr>
        <w:t>Parsimony Over Complexity</w:t>
      </w:r>
      <w:r w:rsidRPr="00B3752F">
        <w:rPr>
          <w:lang w:val="en-GB"/>
        </w:rPr>
        <w:br/>
        <w:t>Rather than constructing high-dimensional embeddings using dozens of clinical variables, the analysis deliberately relied on a small set of carefully curated risk summaries that were already validated in Phase 2.</w:t>
      </w:r>
    </w:p>
    <w:p w14:paraId="2ADDA58E" w14:textId="61B42B0F" w:rsidR="00B3752F" w:rsidRPr="00B3752F" w:rsidRDefault="00B3752F" w:rsidP="00B3752F">
      <w:pPr>
        <w:numPr>
          <w:ilvl w:val="0"/>
          <w:numId w:val="1"/>
        </w:numPr>
        <w:rPr>
          <w:lang w:val="en-GB"/>
        </w:rPr>
      </w:pPr>
      <w:r w:rsidRPr="00B3752F">
        <w:rPr>
          <w:b/>
          <w:bCs/>
          <w:lang w:val="en-GB"/>
        </w:rPr>
        <w:t>Reproducibility and Robustness</w:t>
      </w:r>
      <w:r w:rsidRPr="00B3752F">
        <w:rPr>
          <w:lang w:val="en-GB"/>
        </w:rPr>
        <w:br/>
        <w:t>All steps were deterministic where possible, with explicit handling of missingness, duplicate records, and scaling to ensure reproducibility.</w:t>
      </w:r>
    </w:p>
    <w:p w14:paraId="14250A43" w14:textId="57E4D4FC" w:rsidR="00B3752F" w:rsidRPr="00B3752F" w:rsidRDefault="00B3752F" w:rsidP="00B3752F">
      <w:pPr>
        <w:rPr>
          <w:b/>
          <w:bCs/>
          <w:lang w:val="en-GB"/>
        </w:rPr>
      </w:pPr>
      <w:r w:rsidRPr="00B3752F">
        <w:rPr>
          <w:b/>
          <w:bCs/>
          <w:lang w:val="en-GB"/>
        </w:rPr>
        <w:t>Input Data and Cohort Definition</w:t>
      </w:r>
    </w:p>
    <w:p w14:paraId="71E2675F" w14:textId="77777777" w:rsidR="00B3752F" w:rsidRPr="00B3752F" w:rsidRDefault="00B3752F" w:rsidP="00B3752F">
      <w:pPr>
        <w:rPr>
          <w:lang w:val="en-GB"/>
        </w:rPr>
      </w:pPr>
      <w:r w:rsidRPr="00B3752F">
        <w:rPr>
          <w:lang w:val="en-GB"/>
        </w:rPr>
        <w:t>The phenotyping analysis was conducted on a patient-level dataset derived from the integration of Phase 2 outputs. Each patient record included:</w:t>
      </w:r>
    </w:p>
    <w:p w14:paraId="15A499A1" w14:textId="77777777" w:rsidR="00B3752F" w:rsidRPr="00B3752F" w:rsidRDefault="00B3752F" w:rsidP="00B3752F">
      <w:pPr>
        <w:numPr>
          <w:ilvl w:val="0"/>
          <w:numId w:val="2"/>
        </w:numPr>
        <w:rPr>
          <w:lang w:val="en-GB"/>
        </w:rPr>
      </w:pPr>
      <w:r w:rsidRPr="00B3752F">
        <w:rPr>
          <w:lang w:val="en-GB"/>
        </w:rPr>
        <w:t>A standardized risk score for death</w:t>
      </w:r>
    </w:p>
    <w:p w14:paraId="66A6818A" w14:textId="77777777" w:rsidR="00B3752F" w:rsidRPr="00B3752F" w:rsidRDefault="00B3752F" w:rsidP="00B3752F">
      <w:pPr>
        <w:numPr>
          <w:ilvl w:val="0"/>
          <w:numId w:val="2"/>
        </w:numPr>
        <w:rPr>
          <w:lang w:val="en-GB"/>
        </w:rPr>
      </w:pPr>
      <w:r w:rsidRPr="00B3752F">
        <w:rPr>
          <w:lang w:val="en-GB"/>
        </w:rPr>
        <w:t>A standardized risk score for hospitalization</w:t>
      </w:r>
    </w:p>
    <w:p w14:paraId="1CC472FC" w14:textId="77777777" w:rsidR="00B3752F" w:rsidRPr="00B3752F" w:rsidRDefault="00B3752F" w:rsidP="00B3752F">
      <w:pPr>
        <w:numPr>
          <w:ilvl w:val="0"/>
          <w:numId w:val="2"/>
        </w:numPr>
        <w:rPr>
          <w:lang w:val="en-GB"/>
        </w:rPr>
      </w:pPr>
      <w:r w:rsidRPr="00B3752F">
        <w:rPr>
          <w:lang w:val="en-GB"/>
        </w:rPr>
        <w:lastRenderedPageBreak/>
        <w:t>A standardized risk score for severe ADR</w:t>
      </w:r>
    </w:p>
    <w:p w14:paraId="377BFDF2" w14:textId="77777777" w:rsidR="00B3752F" w:rsidRPr="00B3752F" w:rsidRDefault="00B3752F" w:rsidP="00B3752F">
      <w:pPr>
        <w:numPr>
          <w:ilvl w:val="0"/>
          <w:numId w:val="2"/>
        </w:numPr>
        <w:rPr>
          <w:lang w:val="en-GB"/>
        </w:rPr>
      </w:pPr>
      <w:r w:rsidRPr="00B3752F">
        <w:rPr>
          <w:lang w:val="en-GB"/>
        </w:rPr>
        <w:t>A standardized laboratory-based frailty index (FI-LAB)</w:t>
      </w:r>
    </w:p>
    <w:p w14:paraId="2ACA02EF" w14:textId="77777777" w:rsidR="00B3752F" w:rsidRPr="00B3752F" w:rsidRDefault="00B3752F" w:rsidP="00B3752F">
      <w:pPr>
        <w:rPr>
          <w:lang w:val="en-GB"/>
        </w:rPr>
      </w:pPr>
      <w:r w:rsidRPr="00B3752F">
        <w:rPr>
          <w:lang w:val="en-GB"/>
        </w:rPr>
        <w:t>All risk scores were transformed into z-scores prior to integration to ensure comparability across domains.</w:t>
      </w:r>
    </w:p>
    <w:p w14:paraId="367682FA" w14:textId="5CB4D8DE" w:rsidR="00B3752F" w:rsidRPr="00B3752F" w:rsidRDefault="00B3752F" w:rsidP="00B3752F">
      <w:pPr>
        <w:rPr>
          <w:b/>
          <w:bCs/>
          <w:lang w:val="en-GB"/>
        </w:rPr>
      </w:pPr>
      <w:r w:rsidRPr="00B3752F">
        <w:rPr>
          <w:b/>
          <w:bCs/>
          <w:lang w:val="en-GB"/>
        </w:rPr>
        <w:t>Selection of Phenotyping Features</w:t>
      </w:r>
    </w:p>
    <w:p w14:paraId="7B8B9141" w14:textId="77777777" w:rsidR="00B3752F" w:rsidRPr="00B3752F" w:rsidRDefault="00B3752F" w:rsidP="00B3752F">
      <w:pPr>
        <w:rPr>
          <w:lang w:val="en-GB"/>
        </w:rPr>
      </w:pPr>
      <w:r w:rsidRPr="00B3752F">
        <w:rPr>
          <w:lang w:val="en-GB"/>
        </w:rPr>
        <w:t xml:space="preserve">The choice of phenotyping features was central to the validity of the resulting clusters. Rather than including raw clinical variables or outcomes, the analysis relied on integrated risk summaries derived from Phase 2 </w:t>
      </w:r>
      <w:proofErr w:type="spellStart"/>
      <w:r w:rsidRPr="00B3752F">
        <w:rPr>
          <w:lang w:val="en-GB"/>
        </w:rPr>
        <w:t>modeling</w:t>
      </w:r>
      <w:proofErr w:type="spellEnd"/>
      <w:r w:rsidRPr="00B3752F">
        <w:rPr>
          <w:lang w:val="en-GB"/>
        </w:rPr>
        <w:t>.</w:t>
      </w:r>
    </w:p>
    <w:p w14:paraId="345052B1" w14:textId="77777777" w:rsidR="00B3752F" w:rsidRPr="00B3752F" w:rsidRDefault="00B3752F" w:rsidP="00B3752F">
      <w:pPr>
        <w:rPr>
          <w:lang w:val="en-GB"/>
        </w:rPr>
      </w:pPr>
      <w:r w:rsidRPr="00B3752F">
        <w:rPr>
          <w:lang w:val="en-GB"/>
        </w:rPr>
        <w:t>The four features used were:</w:t>
      </w:r>
    </w:p>
    <w:p w14:paraId="08810F52" w14:textId="77777777" w:rsidR="00B3752F" w:rsidRPr="00B3752F" w:rsidRDefault="00B3752F" w:rsidP="00B3752F">
      <w:pPr>
        <w:numPr>
          <w:ilvl w:val="0"/>
          <w:numId w:val="3"/>
        </w:numPr>
        <w:rPr>
          <w:lang w:val="en-GB"/>
        </w:rPr>
      </w:pPr>
      <w:r w:rsidRPr="00B3752F">
        <w:rPr>
          <w:b/>
          <w:bCs/>
          <w:lang w:val="en-GB"/>
        </w:rPr>
        <w:t>Risk of Death (z-score)</w:t>
      </w:r>
      <w:r w:rsidRPr="00B3752F">
        <w:rPr>
          <w:lang w:val="en-GB"/>
        </w:rPr>
        <w:br/>
        <w:t>Captures global mortality vulnerability integrating demographic, clinical, and treatment-related factors.</w:t>
      </w:r>
    </w:p>
    <w:p w14:paraId="5A35670C" w14:textId="77777777" w:rsidR="00B3752F" w:rsidRPr="00B3752F" w:rsidRDefault="00B3752F" w:rsidP="00B3752F">
      <w:pPr>
        <w:numPr>
          <w:ilvl w:val="0"/>
          <w:numId w:val="3"/>
        </w:numPr>
        <w:rPr>
          <w:lang w:val="en-GB"/>
        </w:rPr>
      </w:pPr>
      <w:r w:rsidRPr="00B3752F">
        <w:rPr>
          <w:b/>
          <w:bCs/>
          <w:lang w:val="en-GB"/>
        </w:rPr>
        <w:t>Risk of Hospitalization (z-score)</w:t>
      </w:r>
      <w:r w:rsidRPr="00B3752F">
        <w:rPr>
          <w:lang w:val="en-GB"/>
        </w:rPr>
        <w:br/>
        <w:t>Reflects healthcare utilization burden and susceptibility to acute decompensation.</w:t>
      </w:r>
    </w:p>
    <w:p w14:paraId="4DBF2248" w14:textId="77777777" w:rsidR="00B3752F" w:rsidRPr="00B3752F" w:rsidRDefault="00B3752F" w:rsidP="00B3752F">
      <w:pPr>
        <w:numPr>
          <w:ilvl w:val="0"/>
          <w:numId w:val="3"/>
        </w:numPr>
        <w:rPr>
          <w:lang w:val="en-GB"/>
        </w:rPr>
      </w:pPr>
      <w:r w:rsidRPr="00B3752F">
        <w:rPr>
          <w:b/>
          <w:bCs/>
          <w:lang w:val="en-GB"/>
        </w:rPr>
        <w:t>Risk of Severe Adverse Drug Reactions (z-score)</w:t>
      </w:r>
      <w:r w:rsidRPr="00B3752F">
        <w:rPr>
          <w:lang w:val="en-GB"/>
        </w:rPr>
        <w:br/>
        <w:t>Represents treatment-related toxicity vulnerability.</w:t>
      </w:r>
    </w:p>
    <w:p w14:paraId="389305B7" w14:textId="77777777" w:rsidR="00B3752F" w:rsidRPr="00B3752F" w:rsidRDefault="00B3752F" w:rsidP="00B3752F">
      <w:pPr>
        <w:numPr>
          <w:ilvl w:val="0"/>
          <w:numId w:val="3"/>
        </w:numPr>
        <w:rPr>
          <w:lang w:val="en-GB"/>
        </w:rPr>
      </w:pPr>
      <w:r w:rsidRPr="00B3752F">
        <w:rPr>
          <w:b/>
          <w:bCs/>
          <w:lang w:val="en-GB"/>
        </w:rPr>
        <w:t>Laboratory-Based Frailty Index (z-score)</w:t>
      </w:r>
      <w:r w:rsidRPr="00B3752F">
        <w:rPr>
          <w:lang w:val="en-GB"/>
        </w:rPr>
        <w:br/>
        <w:t>Provides a physiological measure of biological reserve based on laboratory abnormalities.</w:t>
      </w:r>
    </w:p>
    <w:p w14:paraId="2158D7D4" w14:textId="0F3E53DA" w:rsidR="00B3752F" w:rsidRPr="00B3752F" w:rsidRDefault="00B3752F" w:rsidP="00B3752F">
      <w:pPr>
        <w:rPr>
          <w:lang w:val="en-GB"/>
        </w:rPr>
      </w:pPr>
      <w:r w:rsidRPr="00B3752F">
        <w:rPr>
          <w:lang w:val="en-GB"/>
        </w:rPr>
        <w:t>Together, these features represent distinct but overlapping dimensions of aging-related vulnerability. Importantly, none of these features directly encode outcome occurrence, preserving the unsupervised nature of the phenotyping.</w:t>
      </w:r>
    </w:p>
    <w:p w14:paraId="685CAE77" w14:textId="530D9E2E" w:rsidR="00B3752F" w:rsidRPr="00B3752F" w:rsidRDefault="00B3752F" w:rsidP="00B3752F">
      <w:pPr>
        <w:rPr>
          <w:b/>
          <w:bCs/>
          <w:lang w:val="en-GB"/>
        </w:rPr>
      </w:pPr>
      <w:r w:rsidRPr="00B3752F">
        <w:rPr>
          <w:b/>
          <w:bCs/>
          <w:lang w:val="en-GB"/>
        </w:rPr>
        <w:t>Dimensionality Reduction Strategy</w:t>
      </w:r>
    </w:p>
    <w:p w14:paraId="469DEBE3" w14:textId="415E2065" w:rsidR="00B3752F" w:rsidRPr="00B3752F" w:rsidRDefault="00B3752F" w:rsidP="00B3752F">
      <w:pPr>
        <w:rPr>
          <w:b/>
          <w:bCs/>
          <w:lang w:val="en-GB"/>
        </w:rPr>
      </w:pPr>
      <w:r w:rsidRPr="00B3752F">
        <w:rPr>
          <w:b/>
          <w:bCs/>
          <w:lang w:val="en-GB"/>
        </w:rPr>
        <w:t>Motivation for Dimensionality Reduction</w:t>
      </w:r>
    </w:p>
    <w:p w14:paraId="4F61560E" w14:textId="0399F541" w:rsidR="00B3752F" w:rsidRPr="00B3752F" w:rsidRDefault="00B3752F" w:rsidP="00B3752F">
      <w:pPr>
        <w:rPr>
          <w:lang w:val="en-GB"/>
        </w:rPr>
      </w:pPr>
      <w:r w:rsidRPr="00B3752F">
        <w:rPr>
          <w:lang w:val="en-GB"/>
        </w:rPr>
        <w:t>Initial clustering attempts using the four-dimensional feature space yielded low silhouette scores, indicating substantial overlap between patients. This was expected given the biological continuity of aging processes and the heterogeneity of oncology populations.</w:t>
      </w:r>
      <w:r>
        <w:rPr>
          <w:lang w:val="en-GB"/>
        </w:rPr>
        <w:t xml:space="preserve"> </w:t>
      </w:r>
      <w:r w:rsidRPr="00B3752F">
        <w:rPr>
          <w:lang w:val="en-GB"/>
        </w:rPr>
        <w:t>Rather than interpreting this overlap as methodological failure, the analysis proceeded to explore whether a lower-dimensional representation could capture the dominant aging signal more clearly.</w:t>
      </w:r>
    </w:p>
    <w:p w14:paraId="642F4767" w14:textId="60F56630" w:rsidR="00B3752F" w:rsidRPr="00B3752F" w:rsidRDefault="00B3752F" w:rsidP="00B3752F">
      <w:pPr>
        <w:rPr>
          <w:b/>
          <w:bCs/>
          <w:lang w:val="en-GB"/>
        </w:rPr>
      </w:pPr>
      <w:r w:rsidRPr="00B3752F">
        <w:rPr>
          <w:b/>
          <w:bCs/>
          <w:lang w:val="en-GB"/>
        </w:rPr>
        <w:t>Principal Component Analysis</w:t>
      </w:r>
    </w:p>
    <w:p w14:paraId="04D31EFA" w14:textId="77777777" w:rsidR="00B3752F" w:rsidRPr="00B3752F" w:rsidRDefault="00B3752F" w:rsidP="00B3752F">
      <w:pPr>
        <w:rPr>
          <w:lang w:val="en-GB"/>
        </w:rPr>
      </w:pPr>
      <w:r w:rsidRPr="00B3752F">
        <w:rPr>
          <w:lang w:val="en-GB"/>
        </w:rPr>
        <w:lastRenderedPageBreak/>
        <w:t>Principal Component Analysis (PCA) was applied to the standardized feature matrix. PCA was chosen for its transparency, linearity, and interpretability, allowing explicit examination of variance contributions and feature loadings.</w:t>
      </w:r>
    </w:p>
    <w:p w14:paraId="32580728" w14:textId="77777777" w:rsidR="00B3752F" w:rsidRPr="00B3752F" w:rsidRDefault="00B3752F" w:rsidP="00B3752F">
      <w:pPr>
        <w:rPr>
          <w:lang w:val="en-GB"/>
        </w:rPr>
      </w:pPr>
      <w:r w:rsidRPr="00B3752F">
        <w:rPr>
          <w:lang w:val="en-GB"/>
        </w:rPr>
        <w:t>The first principal component (PC1):</w:t>
      </w:r>
    </w:p>
    <w:p w14:paraId="7617550E" w14:textId="77777777" w:rsidR="00B3752F" w:rsidRPr="00B3752F" w:rsidRDefault="00B3752F" w:rsidP="00B3752F">
      <w:pPr>
        <w:numPr>
          <w:ilvl w:val="0"/>
          <w:numId w:val="4"/>
        </w:numPr>
        <w:rPr>
          <w:lang w:val="en-GB"/>
        </w:rPr>
      </w:pPr>
      <w:r w:rsidRPr="00B3752F">
        <w:rPr>
          <w:lang w:val="en-GB"/>
        </w:rPr>
        <w:t>Explained 32.5% of the total variance</w:t>
      </w:r>
    </w:p>
    <w:p w14:paraId="7826FDE2" w14:textId="77777777" w:rsidR="00B3752F" w:rsidRPr="00B3752F" w:rsidRDefault="00B3752F" w:rsidP="00B3752F">
      <w:pPr>
        <w:numPr>
          <w:ilvl w:val="0"/>
          <w:numId w:val="4"/>
        </w:numPr>
        <w:rPr>
          <w:lang w:val="en-GB"/>
        </w:rPr>
      </w:pPr>
      <w:r w:rsidRPr="00B3752F">
        <w:rPr>
          <w:lang w:val="en-GB"/>
        </w:rPr>
        <w:t>Loaded positively on all four risk domains</w:t>
      </w:r>
    </w:p>
    <w:p w14:paraId="0AE6B46D" w14:textId="77777777" w:rsidR="00B3752F" w:rsidRPr="00B3752F" w:rsidRDefault="00B3752F" w:rsidP="00B3752F">
      <w:pPr>
        <w:numPr>
          <w:ilvl w:val="0"/>
          <w:numId w:val="4"/>
        </w:numPr>
        <w:rPr>
          <w:lang w:val="en-GB"/>
        </w:rPr>
      </w:pPr>
      <w:r w:rsidRPr="00B3752F">
        <w:rPr>
          <w:lang w:val="en-GB"/>
        </w:rPr>
        <w:t>Represented a coherent axis of increasing systemic vulnerability</w:t>
      </w:r>
    </w:p>
    <w:p w14:paraId="4FA46DAC" w14:textId="77777777" w:rsidR="00B3752F" w:rsidRPr="00B3752F" w:rsidRDefault="00B3752F" w:rsidP="00B3752F">
      <w:pPr>
        <w:rPr>
          <w:lang w:val="en-GB"/>
        </w:rPr>
      </w:pPr>
      <w:r w:rsidRPr="00B3752F">
        <w:rPr>
          <w:lang w:val="en-GB"/>
        </w:rPr>
        <w:t>PC1 was interpreted as a latent biological aging severity axis, with higher values corresponding to greater overall risk across mortality, hospitalization, toxicity, and frailty.</w:t>
      </w:r>
    </w:p>
    <w:p w14:paraId="74D586EA" w14:textId="193785B5" w:rsidR="00B3752F" w:rsidRPr="00B3752F" w:rsidRDefault="00B3752F" w:rsidP="00B3752F">
      <w:pPr>
        <w:rPr>
          <w:lang w:val="en-GB"/>
        </w:rPr>
      </w:pPr>
      <w:r w:rsidRPr="00B3752F">
        <w:rPr>
          <w:lang w:val="en-GB"/>
        </w:rPr>
        <w:t>Subsequent components explained substantially less variance and did not exhibit clear clinical interpretability. Therefore, PC1 was retained as the primary basis for clustering.</w:t>
      </w:r>
    </w:p>
    <w:p w14:paraId="3EA5B6AB" w14:textId="4D2A73AB" w:rsidR="00B3752F" w:rsidRPr="00B3752F" w:rsidRDefault="00B3752F" w:rsidP="00B3752F">
      <w:pPr>
        <w:rPr>
          <w:b/>
          <w:bCs/>
          <w:lang w:val="en-GB"/>
        </w:rPr>
      </w:pPr>
      <w:r w:rsidRPr="00B3752F">
        <w:rPr>
          <w:b/>
          <w:bCs/>
          <w:lang w:val="en-GB"/>
        </w:rPr>
        <w:t>Clustering Methodology</w:t>
      </w:r>
    </w:p>
    <w:p w14:paraId="765D9B1B" w14:textId="70A43E7C" w:rsidR="00B3752F" w:rsidRPr="00B3752F" w:rsidRDefault="00B3752F" w:rsidP="00B3752F">
      <w:pPr>
        <w:rPr>
          <w:b/>
          <w:bCs/>
          <w:lang w:val="en-GB"/>
        </w:rPr>
      </w:pPr>
      <w:r w:rsidRPr="00B3752F">
        <w:rPr>
          <w:b/>
          <w:bCs/>
          <w:lang w:val="en-GB"/>
        </w:rPr>
        <w:t>Choice of Clustering Algorithm</w:t>
      </w:r>
    </w:p>
    <w:p w14:paraId="0014449D" w14:textId="77777777" w:rsidR="00B3752F" w:rsidRPr="00B3752F" w:rsidRDefault="00B3752F" w:rsidP="00B3752F">
      <w:pPr>
        <w:rPr>
          <w:lang w:val="en-GB"/>
        </w:rPr>
      </w:pPr>
      <w:r w:rsidRPr="00B3752F">
        <w:rPr>
          <w:lang w:val="en-GB"/>
        </w:rPr>
        <w:t>K-means clustering was selected due to its simplicity, interpretability, and suitability for low-dimensional continuous data. While more complex algorithms (e.g., Gaussian mixture models, hierarchical clustering) were considered, k-means offered clearer phenotype boundaries along the PC1 axis.</w:t>
      </w:r>
    </w:p>
    <w:p w14:paraId="2498DA6F" w14:textId="63E7C2D6" w:rsidR="00B3752F" w:rsidRPr="00B3752F" w:rsidRDefault="00B3752F" w:rsidP="00B3752F">
      <w:pPr>
        <w:rPr>
          <w:b/>
          <w:bCs/>
          <w:lang w:val="en-GB"/>
        </w:rPr>
      </w:pPr>
      <w:r w:rsidRPr="00B3752F">
        <w:rPr>
          <w:b/>
          <w:bCs/>
          <w:lang w:val="en-GB"/>
        </w:rPr>
        <w:t>Determination of Number of Clusters</w:t>
      </w:r>
    </w:p>
    <w:p w14:paraId="17008BED" w14:textId="77777777" w:rsidR="00B3752F" w:rsidRPr="00B3752F" w:rsidRDefault="00B3752F" w:rsidP="00B3752F">
      <w:pPr>
        <w:rPr>
          <w:lang w:val="en-GB"/>
        </w:rPr>
      </w:pPr>
      <w:r w:rsidRPr="00B3752F">
        <w:rPr>
          <w:lang w:val="en-GB"/>
        </w:rPr>
        <w:t xml:space="preserve">The number of clusters was fixed at </w:t>
      </w:r>
      <w:r w:rsidRPr="00B3752F">
        <w:rPr>
          <w:b/>
          <w:bCs/>
          <w:lang w:val="en-GB"/>
        </w:rPr>
        <w:t>k = 2</w:t>
      </w:r>
      <w:r w:rsidRPr="00B3752F">
        <w:rPr>
          <w:lang w:val="en-GB"/>
        </w:rPr>
        <w:t>, based on both clinical rationale and analytical objectives.</w:t>
      </w:r>
    </w:p>
    <w:p w14:paraId="0B04BBAC" w14:textId="77777777" w:rsidR="00B3752F" w:rsidRPr="00B3752F" w:rsidRDefault="00B3752F" w:rsidP="00B3752F">
      <w:pPr>
        <w:rPr>
          <w:lang w:val="en-GB"/>
        </w:rPr>
      </w:pPr>
      <w:r w:rsidRPr="00B3752F">
        <w:rPr>
          <w:lang w:val="en-GB"/>
        </w:rPr>
        <w:t>The two clusters were intended to represent:</w:t>
      </w:r>
    </w:p>
    <w:p w14:paraId="4FA06E48" w14:textId="77777777" w:rsidR="00B3752F" w:rsidRPr="00B3752F" w:rsidRDefault="00B3752F" w:rsidP="00B3752F">
      <w:pPr>
        <w:numPr>
          <w:ilvl w:val="0"/>
          <w:numId w:val="5"/>
        </w:numPr>
        <w:rPr>
          <w:lang w:val="en-GB"/>
        </w:rPr>
      </w:pPr>
      <w:r w:rsidRPr="00B3752F">
        <w:rPr>
          <w:b/>
          <w:bCs/>
          <w:lang w:val="en-GB"/>
        </w:rPr>
        <w:t>Decelerated aging phenotype</w:t>
      </w:r>
      <w:r w:rsidRPr="00B3752F">
        <w:rPr>
          <w:lang w:val="en-GB"/>
        </w:rPr>
        <w:t>: patients with lower composite vulnerability</w:t>
      </w:r>
    </w:p>
    <w:p w14:paraId="58B38DDB" w14:textId="77777777" w:rsidR="00B3752F" w:rsidRPr="00B3752F" w:rsidRDefault="00B3752F" w:rsidP="00B3752F">
      <w:pPr>
        <w:numPr>
          <w:ilvl w:val="0"/>
          <w:numId w:val="5"/>
        </w:numPr>
        <w:rPr>
          <w:lang w:val="en-GB"/>
        </w:rPr>
      </w:pPr>
      <w:r w:rsidRPr="00B3752F">
        <w:rPr>
          <w:b/>
          <w:bCs/>
          <w:lang w:val="en-GB"/>
        </w:rPr>
        <w:t>Accelerated aging phenotype</w:t>
      </w:r>
      <w:r w:rsidRPr="00B3752F">
        <w:rPr>
          <w:lang w:val="en-GB"/>
        </w:rPr>
        <w:t>: patients with higher composite vulnerability</w:t>
      </w:r>
    </w:p>
    <w:p w14:paraId="2CE0B4CF" w14:textId="69DAF83F" w:rsidR="00B3752F" w:rsidRPr="00B3752F" w:rsidRDefault="00B3752F" w:rsidP="00B3752F">
      <w:pPr>
        <w:rPr>
          <w:lang w:val="en-GB"/>
        </w:rPr>
      </w:pPr>
      <w:r w:rsidRPr="00B3752F">
        <w:rPr>
          <w:lang w:val="en-GB"/>
        </w:rPr>
        <w:t>Intermediate clusters were deliberately avoided to prevent unstable or clinically ambiguous groupings.</w:t>
      </w:r>
      <w:r>
        <w:rPr>
          <w:lang w:val="en-GB"/>
        </w:rPr>
        <w:t xml:space="preserve"> </w:t>
      </w:r>
      <w:r w:rsidRPr="00B3752F">
        <w:rPr>
          <w:lang w:val="en-GB"/>
        </w:rPr>
        <w:t>This binary structure aligns with geriatric oncology frameworks that conceptualize aging trajectories as relative acceleration or deceleration rather than discrete stages.</w:t>
      </w:r>
    </w:p>
    <w:p w14:paraId="438536FA" w14:textId="3F31D2B1" w:rsidR="00B3752F" w:rsidRPr="00B3752F" w:rsidRDefault="00B3752F" w:rsidP="00B3752F">
      <w:pPr>
        <w:rPr>
          <w:b/>
          <w:bCs/>
          <w:lang w:val="en-GB"/>
        </w:rPr>
      </w:pPr>
      <w:r w:rsidRPr="00B3752F">
        <w:rPr>
          <w:b/>
          <w:bCs/>
          <w:lang w:val="en-GB"/>
        </w:rPr>
        <w:t>Cluster Validation and Separation Metrics</w:t>
      </w:r>
    </w:p>
    <w:p w14:paraId="689ADD20" w14:textId="756CA44B" w:rsidR="00B3752F" w:rsidRPr="00B3752F" w:rsidRDefault="00B3752F" w:rsidP="00B3752F">
      <w:pPr>
        <w:rPr>
          <w:b/>
          <w:bCs/>
          <w:lang w:val="en-GB"/>
        </w:rPr>
      </w:pPr>
      <w:r w:rsidRPr="00B3752F">
        <w:rPr>
          <w:b/>
          <w:bCs/>
          <w:lang w:val="en-GB"/>
        </w:rPr>
        <w:t>Silhouette Analysis</w:t>
      </w:r>
    </w:p>
    <w:p w14:paraId="6A66EA26" w14:textId="1167698C" w:rsidR="00B3752F" w:rsidRPr="00B3752F" w:rsidRDefault="00B3752F" w:rsidP="00B3752F">
      <w:pPr>
        <w:rPr>
          <w:lang w:val="en-GB"/>
        </w:rPr>
      </w:pPr>
      <w:r w:rsidRPr="00B3752F">
        <w:rPr>
          <w:lang w:val="en-GB"/>
        </w:rPr>
        <w:lastRenderedPageBreak/>
        <w:t>Silhouette scores were computed on the PC1 space to assess cluster separation. The resulting silhouette score was 0.48.</w:t>
      </w:r>
      <w:r>
        <w:rPr>
          <w:lang w:val="en-GB"/>
        </w:rPr>
        <w:t xml:space="preserve"> </w:t>
      </w:r>
      <w:r w:rsidRPr="00B3752F">
        <w:rPr>
          <w:lang w:val="en-GB"/>
        </w:rPr>
        <w:t>Although this value falls below conventional thresholds often cited in machine learning literature, it is considered acceptable in clinical phenotyping contexts for several reasons:</w:t>
      </w:r>
    </w:p>
    <w:p w14:paraId="09319D75" w14:textId="77777777" w:rsidR="00B3752F" w:rsidRPr="00B3752F" w:rsidRDefault="00B3752F" w:rsidP="00B3752F">
      <w:pPr>
        <w:numPr>
          <w:ilvl w:val="0"/>
          <w:numId w:val="6"/>
        </w:numPr>
        <w:rPr>
          <w:lang w:val="en-GB"/>
        </w:rPr>
      </w:pPr>
      <w:r w:rsidRPr="00B3752F">
        <w:rPr>
          <w:lang w:val="en-GB"/>
        </w:rPr>
        <w:t>Biological aging is inherently continuous rather than categorical.</w:t>
      </w:r>
    </w:p>
    <w:p w14:paraId="4F724953" w14:textId="77777777" w:rsidR="00B3752F" w:rsidRPr="00B3752F" w:rsidRDefault="00B3752F" w:rsidP="00B3752F">
      <w:pPr>
        <w:numPr>
          <w:ilvl w:val="0"/>
          <w:numId w:val="6"/>
        </w:numPr>
        <w:rPr>
          <w:lang w:val="en-GB"/>
        </w:rPr>
      </w:pPr>
      <w:r w:rsidRPr="00B3752F">
        <w:rPr>
          <w:lang w:val="en-GB"/>
        </w:rPr>
        <w:t>Oncology populations exhibit substantial overlap in vulnerability profiles.</w:t>
      </w:r>
    </w:p>
    <w:p w14:paraId="6E73DB5A" w14:textId="77777777" w:rsidR="00B3752F" w:rsidRPr="00B3752F" w:rsidRDefault="00B3752F" w:rsidP="00B3752F">
      <w:pPr>
        <w:numPr>
          <w:ilvl w:val="0"/>
          <w:numId w:val="6"/>
        </w:numPr>
        <w:rPr>
          <w:lang w:val="en-GB"/>
        </w:rPr>
      </w:pPr>
      <w:r w:rsidRPr="00B3752F">
        <w:rPr>
          <w:lang w:val="en-GB"/>
        </w:rPr>
        <w:t>High silhouette scores are rarely achievable without artificially discretizing continuous processes.</w:t>
      </w:r>
    </w:p>
    <w:p w14:paraId="6DB3029B" w14:textId="77777777" w:rsidR="00B3752F" w:rsidRPr="00B3752F" w:rsidRDefault="00B3752F" w:rsidP="00B3752F">
      <w:pPr>
        <w:rPr>
          <w:lang w:val="en-GB"/>
        </w:rPr>
      </w:pPr>
      <w:r w:rsidRPr="00B3752F">
        <w:rPr>
          <w:lang w:val="en-GB"/>
        </w:rPr>
        <w:t>Therefore, silhouette analysis was interpreted as a supportive rather than definitive validation metric.</w:t>
      </w:r>
    </w:p>
    <w:p w14:paraId="0777D857" w14:textId="77777777" w:rsidR="00B3752F" w:rsidRPr="00B3752F" w:rsidRDefault="00B3752F" w:rsidP="00B3752F">
      <w:pPr>
        <w:rPr>
          <w:b/>
          <w:bCs/>
          <w:lang w:val="en-GB"/>
        </w:rPr>
      </w:pPr>
      <w:r w:rsidRPr="00B3752F">
        <w:rPr>
          <w:b/>
          <w:bCs/>
          <w:lang w:val="en-GB"/>
        </w:rPr>
        <w:t>3.7.2 Effect Size Assessment</w:t>
      </w:r>
    </w:p>
    <w:p w14:paraId="1BB347F7" w14:textId="77777777" w:rsidR="00B3752F" w:rsidRPr="00B3752F" w:rsidRDefault="00B3752F" w:rsidP="00B3752F">
      <w:pPr>
        <w:rPr>
          <w:lang w:val="en-GB"/>
        </w:rPr>
      </w:pPr>
      <w:r w:rsidRPr="00B3752F">
        <w:rPr>
          <w:lang w:val="en-GB"/>
        </w:rPr>
        <w:t>To complement silhouette analysis, the magnitude of separation between phenotypes along PC1 was quantified using Cohen’s d.</w:t>
      </w:r>
    </w:p>
    <w:p w14:paraId="47DC97B6" w14:textId="77777777" w:rsidR="00B3752F" w:rsidRPr="00B3752F" w:rsidRDefault="00B3752F" w:rsidP="00B3752F">
      <w:pPr>
        <w:numPr>
          <w:ilvl w:val="0"/>
          <w:numId w:val="7"/>
        </w:numPr>
        <w:rPr>
          <w:lang w:val="en-GB"/>
        </w:rPr>
      </w:pPr>
      <w:r w:rsidRPr="00B3752F">
        <w:rPr>
          <w:lang w:val="en-GB"/>
        </w:rPr>
        <w:t xml:space="preserve">Cohen’s d = </w:t>
      </w:r>
      <w:r w:rsidRPr="00B3752F">
        <w:rPr>
          <w:b/>
          <w:bCs/>
          <w:lang w:val="en-GB"/>
        </w:rPr>
        <w:t>1.92</w:t>
      </w:r>
    </w:p>
    <w:p w14:paraId="5D93A01B" w14:textId="51394C65" w:rsidR="00B3752F" w:rsidRPr="00B3752F" w:rsidRDefault="00B3752F" w:rsidP="00B3752F">
      <w:pPr>
        <w:rPr>
          <w:lang w:val="en-GB"/>
        </w:rPr>
      </w:pPr>
      <w:r w:rsidRPr="00B3752F">
        <w:rPr>
          <w:lang w:val="en-GB"/>
        </w:rPr>
        <w:t>This represents a very large effect size, indicating strong separation between the two phenotypes along the dominant aging axis.</w:t>
      </w:r>
      <w:r>
        <w:rPr>
          <w:lang w:val="en-GB"/>
        </w:rPr>
        <w:t xml:space="preserve"> </w:t>
      </w:r>
      <w:r w:rsidRPr="00B3752F">
        <w:rPr>
          <w:lang w:val="en-GB"/>
        </w:rPr>
        <w:t>The large effect size supports the clinical relevance of the phenotypes even in the presence of overlap.</w:t>
      </w:r>
    </w:p>
    <w:p w14:paraId="037218D5" w14:textId="5983BAB3" w:rsidR="00B3752F" w:rsidRPr="00B3752F" w:rsidRDefault="00B3752F" w:rsidP="00B3752F">
      <w:pPr>
        <w:rPr>
          <w:b/>
          <w:bCs/>
          <w:lang w:val="en-GB"/>
        </w:rPr>
      </w:pPr>
      <w:r w:rsidRPr="00B3752F">
        <w:rPr>
          <w:b/>
          <w:bCs/>
          <w:lang w:val="en-GB"/>
        </w:rPr>
        <w:t>Final Phenotype Distribution</w:t>
      </w:r>
    </w:p>
    <w:p w14:paraId="4B2F61DE" w14:textId="77777777" w:rsidR="00B3752F" w:rsidRPr="00B3752F" w:rsidRDefault="00B3752F" w:rsidP="00B3752F">
      <w:pPr>
        <w:rPr>
          <w:lang w:val="en-GB"/>
        </w:rPr>
      </w:pPr>
      <w:r w:rsidRPr="00B3752F">
        <w:rPr>
          <w:lang w:val="en-GB"/>
        </w:rPr>
        <w:t>The final clustering yielded:</w:t>
      </w:r>
    </w:p>
    <w:p w14:paraId="73CA6E37" w14:textId="77777777" w:rsidR="00B3752F" w:rsidRPr="00B3752F" w:rsidRDefault="00B3752F" w:rsidP="00B3752F">
      <w:pPr>
        <w:numPr>
          <w:ilvl w:val="0"/>
          <w:numId w:val="8"/>
        </w:numPr>
        <w:rPr>
          <w:lang w:val="en-GB"/>
        </w:rPr>
      </w:pPr>
      <w:r w:rsidRPr="00B3752F">
        <w:rPr>
          <w:b/>
          <w:bCs/>
          <w:lang w:val="en-GB"/>
        </w:rPr>
        <w:t>Decelerated aging phenotype</w:t>
      </w:r>
      <w:r w:rsidRPr="00B3752F">
        <w:rPr>
          <w:lang w:val="en-GB"/>
        </w:rPr>
        <w:t>: 272 patients (67.0%)</w:t>
      </w:r>
    </w:p>
    <w:p w14:paraId="37F33BC0" w14:textId="77777777" w:rsidR="00B3752F" w:rsidRPr="00B3752F" w:rsidRDefault="00B3752F" w:rsidP="00B3752F">
      <w:pPr>
        <w:numPr>
          <w:ilvl w:val="0"/>
          <w:numId w:val="8"/>
        </w:numPr>
        <w:rPr>
          <w:lang w:val="en-GB"/>
        </w:rPr>
      </w:pPr>
      <w:r w:rsidRPr="00B3752F">
        <w:rPr>
          <w:b/>
          <w:bCs/>
          <w:lang w:val="en-GB"/>
        </w:rPr>
        <w:t>Accelerated aging phenotype</w:t>
      </w:r>
      <w:r w:rsidRPr="00B3752F">
        <w:rPr>
          <w:lang w:val="en-GB"/>
        </w:rPr>
        <w:t>: 134 patients (33.0%)</w:t>
      </w:r>
    </w:p>
    <w:p w14:paraId="2D27FFBC" w14:textId="62D9D315" w:rsidR="00B3752F" w:rsidRPr="00B3752F" w:rsidRDefault="00B3752F" w:rsidP="00B3752F">
      <w:pPr>
        <w:rPr>
          <w:lang w:val="en-GB"/>
        </w:rPr>
      </w:pPr>
      <w:r w:rsidRPr="00B3752F">
        <w:rPr>
          <w:lang w:val="en-GB"/>
        </w:rPr>
        <w:t>This distribution is consistent with expectations in oncology cohorts, where a substantial minority of patients exhibit disproportionate vulnerability relative to age.</w:t>
      </w:r>
    </w:p>
    <w:p w14:paraId="728A9CFF" w14:textId="55DEE457" w:rsidR="00B3752F" w:rsidRPr="00B3752F" w:rsidRDefault="00B3752F" w:rsidP="00B3752F">
      <w:pPr>
        <w:rPr>
          <w:b/>
          <w:bCs/>
          <w:lang w:val="en-GB"/>
        </w:rPr>
      </w:pPr>
      <w:r w:rsidRPr="00B3752F">
        <w:rPr>
          <w:b/>
          <w:bCs/>
          <w:lang w:val="en-GB"/>
        </w:rPr>
        <w:t>Interpretation of Aging Phenotypes</w:t>
      </w:r>
    </w:p>
    <w:p w14:paraId="3B202E11" w14:textId="635C249C" w:rsidR="00B3752F" w:rsidRPr="00B3752F" w:rsidRDefault="00B3752F" w:rsidP="00B3752F">
      <w:pPr>
        <w:rPr>
          <w:lang w:val="en-GB"/>
        </w:rPr>
      </w:pPr>
      <w:r w:rsidRPr="00B3752F">
        <w:rPr>
          <w:lang w:val="en-GB"/>
        </w:rPr>
        <w:t>The accelerated aging phenotype is characterized by consistently elevated risk across all four domains, reflecting a convergence of frailty, treatment toxicity susceptibility, healthcare utilization burden, and mortality risk.</w:t>
      </w:r>
      <w:r>
        <w:rPr>
          <w:lang w:val="en-GB"/>
        </w:rPr>
        <w:t xml:space="preserve"> </w:t>
      </w:r>
      <w:r w:rsidRPr="00B3752F">
        <w:rPr>
          <w:lang w:val="en-GB"/>
        </w:rPr>
        <w:t>In contrast, the decelerated aging phenotype includes patients with comparatively preserved physiological reserve and lower integrated risk profiles.</w:t>
      </w:r>
    </w:p>
    <w:p w14:paraId="39AD2F7F" w14:textId="41FDCB69" w:rsidR="00B3752F" w:rsidRPr="00B3752F" w:rsidRDefault="00B3752F" w:rsidP="00B3752F">
      <w:pPr>
        <w:rPr>
          <w:lang w:val="en-GB"/>
        </w:rPr>
      </w:pPr>
      <w:r w:rsidRPr="00B3752F">
        <w:rPr>
          <w:lang w:val="en-GB"/>
        </w:rPr>
        <w:lastRenderedPageBreak/>
        <w:t>Importantly, these phenotypes do not correspond directly to chronological age categories. Patients of similar age may fall into different phenotypes, reinforcing the distinction between biological and chronological aging.</w:t>
      </w:r>
    </w:p>
    <w:p w14:paraId="4403E790" w14:textId="40714E8A" w:rsidR="00B3752F" w:rsidRPr="00B3752F" w:rsidRDefault="00B3752F" w:rsidP="00B3752F">
      <w:pPr>
        <w:rPr>
          <w:b/>
          <w:bCs/>
          <w:lang w:val="en-GB"/>
        </w:rPr>
      </w:pPr>
      <w:r w:rsidRPr="00B3752F">
        <w:rPr>
          <w:b/>
          <w:bCs/>
          <w:lang w:val="en-GB"/>
        </w:rPr>
        <w:t>Sensitivity Analyses and Robustness Checks</w:t>
      </w:r>
    </w:p>
    <w:p w14:paraId="64D763A4" w14:textId="77777777" w:rsidR="00B3752F" w:rsidRPr="00B3752F" w:rsidRDefault="00B3752F" w:rsidP="00B3752F">
      <w:pPr>
        <w:rPr>
          <w:lang w:val="en-GB"/>
        </w:rPr>
      </w:pPr>
      <w:r w:rsidRPr="00B3752F">
        <w:rPr>
          <w:lang w:val="en-GB"/>
        </w:rPr>
        <w:t>Several sensitivity analyses were conducted to assess robustness:</w:t>
      </w:r>
    </w:p>
    <w:p w14:paraId="36166CBC" w14:textId="77777777" w:rsidR="00B3752F" w:rsidRPr="00B3752F" w:rsidRDefault="00B3752F" w:rsidP="00B3752F">
      <w:pPr>
        <w:numPr>
          <w:ilvl w:val="0"/>
          <w:numId w:val="9"/>
        </w:numPr>
        <w:rPr>
          <w:lang w:val="en-GB"/>
        </w:rPr>
      </w:pPr>
      <w:r w:rsidRPr="00B3752F">
        <w:rPr>
          <w:lang w:val="en-GB"/>
        </w:rPr>
        <w:t>Alternative clustering on the full standardized feature space yielded similar patient assignments.</w:t>
      </w:r>
    </w:p>
    <w:p w14:paraId="15564031" w14:textId="10E3FBA0" w:rsidR="00B3752F" w:rsidRPr="00B3752F" w:rsidRDefault="00B3752F" w:rsidP="00B3752F">
      <w:pPr>
        <w:numPr>
          <w:ilvl w:val="0"/>
          <w:numId w:val="9"/>
        </w:numPr>
        <w:rPr>
          <w:lang w:val="en-GB"/>
        </w:rPr>
      </w:pPr>
      <w:r w:rsidRPr="00B3752F">
        <w:rPr>
          <w:lang w:val="en-GB"/>
        </w:rPr>
        <w:t>Removal of individual features did not materially alter cluster structure.</w:t>
      </w:r>
    </w:p>
    <w:p w14:paraId="28E94DC0" w14:textId="77777777" w:rsidR="00B3752F" w:rsidRPr="00B3752F" w:rsidRDefault="00B3752F" w:rsidP="00B3752F">
      <w:pPr>
        <w:numPr>
          <w:ilvl w:val="0"/>
          <w:numId w:val="9"/>
        </w:numPr>
        <w:rPr>
          <w:lang w:val="en-GB"/>
        </w:rPr>
      </w:pPr>
      <w:r w:rsidRPr="00B3752F">
        <w:rPr>
          <w:lang w:val="en-GB"/>
        </w:rPr>
        <w:t>Re-running clustering with different random seeds produced stable phenotype labels.</w:t>
      </w:r>
    </w:p>
    <w:p w14:paraId="75A0B902" w14:textId="0302D217" w:rsidR="00B3752F" w:rsidRPr="00B3752F" w:rsidRDefault="00B3752F" w:rsidP="00B3752F">
      <w:pPr>
        <w:rPr>
          <w:lang w:val="en-GB"/>
        </w:rPr>
      </w:pPr>
      <w:r w:rsidRPr="00B3752F">
        <w:rPr>
          <w:lang w:val="en-GB"/>
        </w:rPr>
        <w:t>These checks support the robustness of the phenotyping approach.</w:t>
      </w:r>
    </w:p>
    <w:p w14:paraId="31E682AE" w14:textId="03FDE3D4" w:rsidR="00B3752F" w:rsidRPr="00B3752F" w:rsidRDefault="00B3752F" w:rsidP="00B3752F">
      <w:pPr>
        <w:rPr>
          <w:b/>
          <w:bCs/>
          <w:lang w:val="en-GB"/>
        </w:rPr>
      </w:pPr>
      <w:r>
        <w:rPr>
          <w:b/>
          <w:bCs/>
          <w:lang w:val="en-GB"/>
        </w:rPr>
        <w:t>Considerations</w:t>
      </w:r>
      <w:r w:rsidRPr="00B3752F">
        <w:rPr>
          <w:b/>
          <w:bCs/>
          <w:lang w:val="en-GB"/>
        </w:rPr>
        <w:t xml:space="preserve"> of Phase 3</w:t>
      </w:r>
    </w:p>
    <w:p w14:paraId="733017E9" w14:textId="188DBEF8" w:rsidR="00B3752F" w:rsidRPr="00B3752F" w:rsidRDefault="00B3752F" w:rsidP="00B3752F">
      <w:pPr>
        <w:rPr>
          <w:lang w:val="en-GB"/>
        </w:rPr>
      </w:pPr>
      <w:r w:rsidRPr="00B3752F">
        <w:rPr>
          <w:lang w:val="en-GB"/>
        </w:rPr>
        <w:t xml:space="preserve">Several </w:t>
      </w:r>
      <w:r>
        <w:rPr>
          <w:lang w:val="en-GB"/>
        </w:rPr>
        <w:t>factors</w:t>
      </w:r>
      <w:r w:rsidRPr="00B3752F">
        <w:rPr>
          <w:lang w:val="en-GB"/>
        </w:rPr>
        <w:t xml:space="preserve"> should be acknowledged:</w:t>
      </w:r>
    </w:p>
    <w:p w14:paraId="17124985" w14:textId="77777777" w:rsidR="00B3752F" w:rsidRPr="00B3752F" w:rsidRDefault="00B3752F" w:rsidP="00B3752F">
      <w:pPr>
        <w:numPr>
          <w:ilvl w:val="0"/>
          <w:numId w:val="10"/>
        </w:numPr>
        <w:rPr>
          <w:lang w:val="en-GB"/>
        </w:rPr>
      </w:pPr>
      <w:r w:rsidRPr="00B3752F">
        <w:rPr>
          <w:lang w:val="en-GB"/>
        </w:rPr>
        <w:t>The moderate silhouette score reflects biological overlap rather than methodological failure.</w:t>
      </w:r>
    </w:p>
    <w:p w14:paraId="339B412B" w14:textId="77777777" w:rsidR="00B3752F" w:rsidRPr="00B3752F" w:rsidRDefault="00B3752F" w:rsidP="00B3752F">
      <w:pPr>
        <w:numPr>
          <w:ilvl w:val="0"/>
          <w:numId w:val="10"/>
        </w:numPr>
        <w:rPr>
          <w:lang w:val="en-GB"/>
        </w:rPr>
      </w:pPr>
      <w:r w:rsidRPr="00B3752F">
        <w:rPr>
          <w:lang w:val="en-GB"/>
        </w:rPr>
        <w:t>The phenotypes are derived from risk summaries rather than raw biological measures.</w:t>
      </w:r>
    </w:p>
    <w:p w14:paraId="661FDDE5" w14:textId="77777777" w:rsidR="00B3752F" w:rsidRPr="00B3752F" w:rsidRDefault="00B3752F" w:rsidP="00B3752F">
      <w:pPr>
        <w:numPr>
          <w:ilvl w:val="0"/>
          <w:numId w:val="10"/>
        </w:numPr>
        <w:rPr>
          <w:lang w:val="en-GB"/>
        </w:rPr>
      </w:pPr>
      <w:r w:rsidRPr="00B3752F">
        <w:rPr>
          <w:lang w:val="en-GB"/>
        </w:rPr>
        <w:t>External validation in independent cohorts is required to assess generalizability.</w:t>
      </w:r>
    </w:p>
    <w:p w14:paraId="14C2DCF1" w14:textId="25B6E065" w:rsidR="00B3752F" w:rsidRPr="00B3752F" w:rsidRDefault="00B3752F" w:rsidP="00B3752F">
      <w:pPr>
        <w:rPr>
          <w:lang w:val="en-GB"/>
        </w:rPr>
      </w:pPr>
      <w:r w:rsidRPr="00B3752F">
        <w:rPr>
          <w:lang w:val="en-GB"/>
        </w:rPr>
        <w:t>Despite these limitations, the approach provides a defensible and clinically grounded framework for aging phenotyping.</w:t>
      </w:r>
    </w:p>
    <w:p w14:paraId="12A2C951" w14:textId="73CB5A48" w:rsidR="00B3752F" w:rsidRPr="00B3752F" w:rsidRDefault="00B3752F" w:rsidP="00B3752F">
      <w:pPr>
        <w:rPr>
          <w:b/>
          <w:bCs/>
          <w:lang w:val="en-GB"/>
        </w:rPr>
      </w:pPr>
      <w:r w:rsidRPr="00B3752F">
        <w:rPr>
          <w:b/>
          <w:bCs/>
          <w:lang w:val="en-GB"/>
        </w:rPr>
        <w:t>Summary of Phase 3</w:t>
      </w:r>
    </w:p>
    <w:p w14:paraId="6D7DF870" w14:textId="290832F0" w:rsidR="00B3752F" w:rsidRPr="00B3752F" w:rsidRDefault="00B3752F" w:rsidP="00B3752F">
      <w:pPr>
        <w:rPr>
          <w:lang w:val="en-GB"/>
        </w:rPr>
      </w:pPr>
      <w:r w:rsidRPr="00B3752F">
        <w:rPr>
          <w:lang w:val="en-GB"/>
        </w:rPr>
        <w:t>Phase 3 successfully integrated multi-domain risk information to construct two clinically meaningful aging phenotypes. By prioritizing interpretability, leakage avoidance, and robustness, the analysis provides a solid foundation for subsequent outcome comparisons and socio-economic characterization in Phase 4.</w:t>
      </w:r>
      <w:r>
        <w:rPr>
          <w:lang w:val="en-GB"/>
        </w:rPr>
        <w:t xml:space="preserve"> </w:t>
      </w:r>
      <w:r w:rsidRPr="00B3752F">
        <w:rPr>
          <w:lang w:val="en-GB"/>
        </w:rPr>
        <w:t>The resulting phenotypes represent distinct aging trajectories rather than arbitrary clusters, supporting their use in translational oncology research and personalized care planning.</w:t>
      </w:r>
    </w:p>
    <w:p w14:paraId="53C9BA91" w14:textId="77777777" w:rsidR="008B5AA9" w:rsidRDefault="008B5AA9"/>
    <w:sectPr w:rsidR="008B5AA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F0663"/>
    <w:multiLevelType w:val="multilevel"/>
    <w:tmpl w:val="7C3A5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B16E27"/>
    <w:multiLevelType w:val="multilevel"/>
    <w:tmpl w:val="277AE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DD4A1E"/>
    <w:multiLevelType w:val="multilevel"/>
    <w:tmpl w:val="6420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9C5CA3"/>
    <w:multiLevelType w:val="multilevel"/>
    <w:tmpl w:val="40B0F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AE16A4"/>
    <w:multiLevelType w:val="multilevel"/>
    <w:tmpl w:val="859C5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CA57DD"/>
    <w:multiLevelType w:val="multilevel"/>
    <w:tmpl w:val="13FA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826E79"/>
    <w:multiLevelType w:val="multilevel"/>
    <w:tmpl w:val="CC82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B46313"/>
    <w:multiLevelType w:val="multilevel"/>
    <w:tmpl w:val="11D8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2A585D"/>
    <w:multiLevelType w:val="multilevel"/>
    <w:tmpl w:val="764EF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0E77FF"/>
    <w:multiLevelType w:val="multilevel"/>
    <w:tmpl w:val="6724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1937437">
    <w:abstractNumId w:val="1"/>
  </w:num>
  <w:num w:numId="2" w16cid:durableId="1378428131">
    <w:abstractNumId w:val="6"/>
  </w:num>
  <w:num w:numId="3" w16cid:durableId="2032756457">
    <w:abstractNumId w:val="4"/>
  </w:num>
  <w:num w:numId="4" w16cid:durableId="1326201618">
    <w:abstractNumId w:val="3"/>
  </w:num>
  <w:num w:numId="5" w16cid:durableId="1188176430">
    <w:abstractNumId w:val="7"/>
  </w:num>
  <w:num w:numId="6" w16cid:durableId="1128817620">
    <w:abstractNumId w:val="0"/>
  </w:num>
  <w:num w:numId="7" w16cid:durableId="1554006445">
    <w:abstractNumId w:val="9"/>
  </w:num>
  <w:num w:numId="8" w16cid:durableId="1881552777">
    <w:abstractNumId w:val="5"/>
  </w:num>
  <w:num w:numId="9" w16cid:durableId="2052070303">
    <w:abstractNumId w:val="2"/>
  </w:num>
  <w:num w:numId="10" w16cid:durableId="12914770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52F"/>
    <w:rsid w:val="0044026A"/>
    <w:rsid w:val="0059627E"/>
    <w:rsid w:val="00633A39"/>
    <w:rsid w:val="008B5AA9"/>
    <w:rsid w:val="00B375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56DC3"/>
  <w15:chartTrackingRefBased/>
  <w15:docId w15:val="{79D9333C-2CFC-479D-A5DB-BB7547263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75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75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75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75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75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75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75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75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75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75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75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75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75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75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75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75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75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752F"/>
    <w:rPr>
      <w:rFonts w:eastAsiaTheme="majorEastAsia" w:cstheme="majorBidi"/>
      <w:color w:val="272727" w:themeColor="text1" w:themeTint="D8"/>
    </w:rPr>
  </w:style>
  <w:style w:type="paragraph" w:styleId="Title">
    <w:name w:val="Title"/>
    <w:basedOn w:val="Normal"/>
    <w:next w:val="Normal"/>
    <w:link w:val="TitleChar"/>
    <w:uiPriority w:val="10"/>
    <w:qFormat/>
    <w:rsid w:val="00B375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75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75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75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752F"/>
    <w:pPr>
      <w:spacing w:before="160"/>
      <w:jc w:val="center"/>
    </w:pPr>
    <w:rPr>
      <w:i/>
      <w:iCs/>
      <w:color w:val="404040" w:themeColor="text1" w:themeTint="BF"/>
    </w:rPr>
  </w:style>
  <w:style w:type="character" w:customStyle="1" w:styleId="QuoteChar">
    <w:name w:val="Quote Char"/>
    <w:basedOn w:val="DefaultParagraphFont"/>
    <w:link w:val="Quote"/>
    <w:uiPriority w:val="29"/>
    <w:rsid w:val="00B3752F"/>
    <w:rPr>
      <w:i/>
      <w:iCs/>
      <w:color w:val="404040" w:themeColor="text1" w:themeTint="BF"/>
    </w:rPr>
  </w:style>
  <w:style w:type="paragraph" w:styleId="ListParagraph">
    <w:name w:val="List Paragraph"/>
    <w:basedOn w:val="Normal"/>
    <w:uiPriority w:val="34"/>
    <w:qFormat/>
    <w:rsid w:val="00B3752F"/>
    <w:pPr>
      <w:ind w:left="720"/>
      <w:contextualSpacing/>
    </w:pPr>
  </w:style>
  <w:style w:type="character" w:styleId="IntenseEmphasis">
    <w:name w:val="Intense Emphasis"/>
    <w:basedOn w:val="DefaultParagraphFont"/>
    <w:uiPriority w:val="21"/>
    <w:qFormat/>
    <w:rsid w:val="00B3752F"/>
    <w:rPr>
      <w:i/>
      <w:iCs/>
      <w:color w:val="0F4761" w:themeColor="accent1" w:themeShade="BF"/>
    </w:rPr>
  </w:style>
  <w:style w:type="paragraph" w:styleId="IntenseQuote">
    <w:name w:val="Intense Quote"/>
    <w:basedOn w:val="Normal"/>
    <w:next w:val="Normal"/>
    <w:link w:val="IntenseQuoteChar"/>
    <w:uiPriority w:val="30"/>
    <w:qFormat/>
    <w:rsid w:val="00B375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752F"/>
    <w:rPr>
      <w:i/>
      <w:iCs/>
      <w:color w:val="0F4761" w:themeColor="accent1" w:themeShade="BF"/>
    </w:rPr>
  </w:style>
  <w:style w:type="character" w:styleId="IntenseReference">
    <w:name w:val="Intense Reference"/>
    <w:basedOn w:val="DefaultParagraphFont"/>
    <w:uiPriority w:val="32"/>
    <w:qFormat/>
    <w:rsid w:val="00B375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1361</Words>
  <Characters>7762</Characters>
  <Application>Microsoft Office Word</Application>
  <DocSecurity>0</DocSecurity>
  <Lines>64</Lines>
  <Paragraphs>18</Paragraphs>
  <ScaleCrop>false</ScaleCrop>
  <Company/>
  <LinksUpToDate>false</LinksUpToDate>
  <CharactersWithSpaces>9105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Olufemi Yusuf</dc:creator>
  <cp:keywords/>
  <dc:description/>
  <cp:lastModifiedBy>Olufemi Yusuf</cp:lastModifiedBy>
  <cp:revision>1</cp:revision>
  <dcterms:created xsi:type="dcterms:W3CDTF">2025-12-27T18:50:00Z</dcterms:created>
  <dcterms:modified xsi:type="dcterms:W3CDTF">2025-12-27T18:59:00Z</dcterms:modified>
</cp:coreProperties>
</file>