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717F" w14:textId="77777777" w:rsidR="004C3830" w:rsidRDefault="004C3830" w:rsidP="004C3830">
      <w:pPr>
        <w:pStyle w:val="3"/>
        <w:spacing w:before="320" w:after="80"/>
      </w:pPr>
      <w:bookmarkStart w:id="0" w:name="_GoBack"/>
      <w:bookmarkEnd w:id="0"/>
      <w:r>
        <w:rPr>
          <w:rFonts w:ascii="Arial" w:hAnsi="Arial" w:cs="Arial"/>
          <w:b/>
          <w:bCs/>
          <w:color w:val="434343"/>
          <w:sz w:val="28"/>
          <w:szCs w:val="28"/>
        </w:rPr>
        <w:t>Реализация отчетов</w:t>
      </w:r>
    </w:p>
    <w:p w14:paraId="002A0310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Реализуйте интерфейс для построения отчетов, где можно выбрать тип отчета. </w:t>
      </w:r>
    </w:p>
    <w:p w14:paraId="66C41BD5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Основные отчеты: </w:t>
      </w:r>
    </w:p>
    <w:p w14:paraId="0C6C9BDE" w14:textId="77777777" w:rsidR="004C3830" w:rsidRDefault="004C3830" w:rsidP="004C3830">
      <w:pPr>
        <w:pStyle w:val="a7"/>
        <w:numPr>
          <w:ilvl w:val="0"/>
          <w:numId w:val="5"/>
        </w:numPr>
        <w:spacing w:before="0" w:beforeAutospacing="0" w:after="0" w:afterAutospacing="0"/>
        <w:ind w:firstLine="709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контроль качества (описан далее). </w:t>
      </w:r>
    </w:p>
    <w:p w14:paraId="3DA43B36" w14:textId="6FDEDA2E" w:rsidR="004C3830" w:rsidRDefault="004C3830" w:rsidP="004C3830">
      <w:pPr>
        <w:pStyle w:val="a7"/>
        <w:numPr>
          <w:ilvl w:val="0"/>
          <w:numId w:val="5"/>
        </w:numPr>
        <w:spacing w:before="0" w:beforeAutospacing="0" w:after="0" w:afterAutospacing="0"/>
        <w:ind w:firstLine="709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отчет по оказанным услугам (количество оказанных услуг за период времени, перечень услуг за период времени, количество пациентов,   количество пациентов в день по каждой услуге, средний результат каждого исследования в день по выбранному периоду). Пользователь должен выбирать период с точностью до дня.</w:t>
      </w:r>
    </w:p>
    <w:p w14:paraId="60805CDC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</w:t>
      </w:r>
      <w:proofErr w:type="spellStart"/>
      <w:r>
        <w:rPr>
          <w:color w:val="000000"/>
          <w:sz w:val="22"/>
          <w:szCs w:val="22"/>
        </w:rPr>
        <w:t>pdf</w:t>
      </w:r>
      <w:proofErr w:type="spellEnd"/>
      <w:r>
        <w:rPr>
          <w:color w:val="000000"/>
          <w:sz w:val="22"/>
          <w:szCs w:val="22"/>
        </w:rPr>
        <w:t xml:space="preserve"> файл, выбрав один из трех вариантов выгрузки: только график, только таблица, график и таблица.</w:t>
      </w:r>
    </w:p>
    <w:p w14:paraId="37774062" w14:textId="77777777" w:rsidR="004C3830" w:rsidRDefault="004C3830" w:rsidP="004C3830">
      <w:pPr>
        <w:pStyle w:val="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Контроль качества </w:t>
      </w:r>
    </w:p>
    <w:p w14:paraId="74EDCEFB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Контроль качества в медицинской лаборатории – это статистический процесс, используемый для наблюдения и оценки аналитического процесса производства результатов исследования проб пациентов. </w:t>
      </w:r>
    </w:p>
    <w:p w14:paraId="622A7C27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Контроль качества - это расчет некоторых статистических данных, на основании которых делается вывод о необходимости калибровки. </w:t>
      </w:r>
    </w:p>
    <w:p w14:paraId="12E9BF82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Контроль качества предназначен для проверки точности исследований  медицинского прибора, на основе которого проводится калибровка оборудования, то есть настройка точности исследований.</w:t>
      </w:r>
    </w:p>
    <w:p w14:paraId="2C64A1D0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Статистический процесс требует: </w:t>
      </w:r>
    </w:p>
    <w:p w14:paraId="2BA07C42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•   регулярного исследования контрольных материалов вместе с пробами пациентов; </w:t>
      </w:r>
    </w:p>
    <w:p w14:paraId="46CBC5B2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• сравнения результатов измерения контрольных материалов с рассчитанными статистическими пределами. </w:t>
      </w:r>
    </w:p>
    <w:p w14:paraId="126C0FB7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Формула для расчета среднеквадратичного отклонения:</w:t>
      </w:r>
    </w:p>
    <w:p w14:paraId="56A38EFC" w14:textId="081AB263" w:rsidR="004C3830" w:rsidRDefault="004C3830" w:rsidP="004C3830">
      <w:pPr>
        <w:pStyle w:val="a7"/>
        <w:spacing w:before="0" w:beforeAutospacing="0" w:after="0" w:afterAutospacing="0"/>
        <w:jc w:val="both"/>
      </w:pPr>
      <w:r>
        <w:rPr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"https://lh6.googleusercontent.com/dfQZBTj6gMGNq4mHJ1Q_bUcnzBktfSwcT5DEinnK1NYO5gT3Pzb597p3pnuNvQyqAyJgG7-r184xrx3scHlzzS3bbP-3qPww37RXv6NmMqLayPx9o3cuFwPZJ2Cg86nBapQzLf12" \* MERGEFORMATINET </w:instrText>
      </w:r>
      <w:r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2E00FA8" wp14:editId="701C489D">
            <wp:extent cx="2042160" cy="128206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BB13987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Формулы для расчета  статистических пределов:</w:t>
      </w:r>
    </w:p>
    <w:p w14:paraId="38F8E408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X - среднее значение результатов.</w:t>
      </w:r>
    </w:p>
    <w:p w14:paraId="3F50E7A4" w14:textId="77777777" w:rsidR="004C3830" w:rsidRPr="00071444" w:rsidRDefault="004C3830" w:rsidP="004C3830">
      <w:pPr>
        <w:pStyle w:val="a7"/>
        <w:spacing w:before="0" w:beforeAutospacing="0" w:after="0" w:afterAutospacing="0"/>
        <w:ind w:firstLine="709"/>
        <w:jc w:val="both"/>
      </w:pPr>
      <w:r w:rsidRPr="00071444">
        <w:rPr>
          <w:color w:val="000000"/>
          <w:sz w:val="22"/>
          <w:szCs w:val="22"/>
        </w:rPr>
        <w:t>+1</w:t>
      </w:r>
      <w:r w:rsidRPr="00037B95">
        <w:rPr>
          <w:color w:val="000000"/>
          <w:sz w:val="22"/>
          <w:szCs w:val="22"/>
          <w:lang w:val="en-US"/>
        </w:rPr>
        <w:t>S</w:t>
      </w:r>
      <w:r w:rsidRPr="00071444">
        <w:rPr>
          <w:color w:val="000000"/>
          <w:sz w:val="22"/>
          <w:szCs w:val="22"/>
        </w:rPr>
        <w:t xml:space="preserve"> = </w:t>
      </w:r>
      <w:r w:rsidRPr="00037B95">
        <w:rPr>
          <w:color w:val="000000"/>
          <w:sz w:val="22"/>
          <w:szCs w:val="22"/>
          <w:lang w:val="en-US"/>
        </w:rPr>
        <w:t>X</w:t>
      </w:r>
      <w:r w:rsidRPr="00071444">
        <w:rPr>
          <w:color w:val="000000"/>
          <w:sz w:val="22"/>
          <w:szCs w:val="22"/>
        </w:rPr>
        <w:t xml:space="preserve"> + (</w:t>
      </w:r>
      <w:proofErr w:type="spellStart"/>
      <w:r>
        <w:rPr>
          <w:color w:val="000000"/>
          <w:sz w:val="22"/>
          <w:szCs w:val="22"/>
        </w:rPr>
        <w:t>ср</w:t>
      </w:r>
      <w:r w:rsidRPr="00071444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кв</w:t>
      </w:r>
      <w:r w:rsidRPr="00071444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откл</w:t>
      </w:r>
      <w:proofErr w:type="spellEnd"/>
      <w:r w:rsidRPr="00071444">
        <w:rPr>
          <w:color w:val="000000"/>
          <w:sz w:val="22"/>
          <w:szCs w:val="22"/>
        </w:rPr>
        <w:t xml:space="preserve"> * 1)</w:t>
      </w:r>
    </w:p>
    <w:p w14:paraId="1DD3452A" w14:textId="77777777" w:rsidR="004C3830" w:rsidRPr="0075505D" w:rsidRDefault="004C3830" w:rsidP="004C3830">
      <w:pPr>
        <w:pStyle w:val="a7"/>
        <w:spacing w:before="0" w:beforeAutospacing="0" w:after="0" w:afterAutospacing="0"/>
        <w:ind w:firstLine="709"/>
        <w:jc w:val="both"/>
      </w:pPr>
      <w:r w:rsidRPr="0075505D">
        <w:rPr>
          <w:color w:val="000000"/>
          <w:sz w:val="22"/>
          <w:szCs w:val="22"/>
        </w:rPr>
        <w:t>+2</w:t>
      </w:r>
      <w:r w:rsidRPr="004C3830">
        <w:rPr>
          <w:color w:val="000000"/>
          <w:sz w:val="22"/>
          <w:szCs w:val="22"/>
          <w:lang w:val="en-US"/>
        </w:rPr>
        <w:t>S</w:t>
      </w:r>
      <w:r w:rsidRPr="0075505D">
        <w:rPr>
          <w:color w:val="000000"/>
          <w:sz w:val="22"/>
          <w:szCs w:val="22"/>
        </w:rPr>
        <w:t xml:space="preserve"> = </w:t>
      </w:r>
      <w:r w:rsidRPr="004C3830">
        <w:rPr>
          <w:color w:val="000000"/>
          <w:sz w:val="22"/>
          <w:szCs w:val="22"/>
          <w:lang w:val="en-US"/>
        </w:rPr>
        <w:t>X</w:t>
      </w:r>
      <w:r w:rsidRPr="0075505D">
        <w:rPr>
          <w:color w:val="000000"/>
          <w:sz w:val="22"/>
          <w:szCs w:val="22"/>
        </w:rPr>
        <w:t xml:space="preserve"> + (</w:t>
      </w:r>
      <w:proofErr w:type="spellStart"/>
      <w:r>
        <w:rPr>
          <w:color w:val="000000"/>
          <w:sz w:val="22"/>
          <w:szCs w:val="22"/>
        </w:rPr>
        <w:t>ср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кв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откл</w:t>
      </w:r>
      <w:proofErr w:type="spellEnd"/>
      <w:r w:rsidRPr="0075505D">
        <w:rPr>
          <w:color w:val="000000"/>
          <w:sz w:val="22"/>
          <w:szCs w:val="22"/>
        </w:rPr>
        <w:t xml:space="preserve"> * 2)</w:t>
      </w:r>
    </w:p>
    <w:p w14:paraId="4D1113C7" w14:textId="77777777" w:rsidR="004C3830" w:rsidRPr="0075505D" w:rsidRDefault="004C3830" w:rsidP="004C3830">
      <w:pPr>
        <w:pStyle w:val="a7"/>
        <w:spacing w:before="0" w:beforeAutospacing="0" w:after="0" w:afterAutospacing="0"/>
        <w:ind w:firstLine="709"/>
        <w:jc w:val="both"/>
      </w:pPr>
      <w:r w:rsidRPr="0075505D">
        <w:rPr>
          <w:color w:val="000000"/>
          <w:sz w:val="22"/>
          <w:szCs w:val="22"/>
        </w:rPr>
        <w:t>+3</w:t>
      </w:r>
      <w:r w:rsidRPr="004C3830">
        <w:rPr>
          <w:color w:val="000000"/>
          <w:sz w:val="22"/>
          <w:szCs w:val="22"/>
          <w:lang w:val="en-US"/>
        </w:rPr>
        <w:t>S</w:t>
      </w:r>
      <w:r w:rsidRPr="0075505D">
        <w:rPr>
          <w:color w:val="000000"/>
          <w:sz w:val="22"/>
          <w:szCs w:val="22"/>
        </w:rPr>
        <w:t xml:space="preserve"> = </w:t>
      </w:r>
      <w:r w:rsidRPr="004C3830">
        <w:rPr>
          <w:color w:val="000000"/>
          <w:sz w:val="22"/>
          <w:szCs w:val="22"/>
          <w:lang w:val="en-US"/>
        </w:rPr>
        <w:t>X</w:t>
      </w:r>
      <w:r w:rsidRPr="0075505D">
        <w:rPr>
          <w:color w:val="000000"/>
          <w:sz w:val="22"/>
          <w:szCs w:val="22"/>
        </w:rPr>
        <w:t xml:space="preserve"> + (</w:t>
      </w:r>
      <w:proofErr w:type="spellStart"/>
      <w:r>
        <w:rPr>
          <w:color w:val="000000"/>
          <w:sz w:val="22"/>
          <w:szCs w:val="22"/>
        </w:rPr>
        <w:t>ср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кв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откл</w:t>
      </w:r>
      <w:proofErr w:type="spellEnd"/>
      <w:r w:rsidRPr="0075505D">
        <w:rPr>
          <w:color w:val="000000"/>
          <w:sz w:val="22"/>
          <w:szCs w:val="22"/>
        </w:rPr>
        <w:t xml:space="preserve"> * 3)</w:t>
      </w:r>
    </w:p>
    <w:p w14:paraId="2330A9FD" w14:textId="77777777" w:rsidR="004C3830" w:rsidRPr="0075505D" w:rsidRDefault="004C3830" w:rsidP="004C3830">
      <w:pPr>
        <w:ind w:firstLine="709"/>
      </w:pPr>
    </w:p>
    <w:p w14:paraId="1CF60995" w14:textId="77777777" w:rsidR="004C3830" w:rsidRPr="0075505D" w:rsidRDefault="004C3830" w:rsidP="004C3830">
      <w:pPr>
        <w:pStyle w:val="a7"/>
        <w:spacing w:before="0" w:beforeAutospacing="0" w:after="0" w:afterAutospacing="0"/>
        <w:ind w:firstLine="709"/>
        <w:jc w:val="both"/>
      </w:pPr>
      <w:r w:rsidRPr="0075505D">
        <w:rPr>
          <w:color w:val="000000"/>
          <w:sz w:val="22"/>
          <w:szCs w:val="22"/>
        </w:rPr>
        <w:t>-1</w:t>
      </w:r>
      <w:r w:rsidRPr="004C3830">
        <w:rPr>
          <w:color w:val="000000"/>
          <w:sz w:val="22"/>
          <w:szCs w:val="22"/>
          <w:lang w:val="en-US"/>
        </w:rPr>
        <w:t>S</w:t>
      </w:r>
      <w:r w:rsidRPr="0075505D">
        <w:rPr>
          <w:color w:val="000000"/>
          <w:sz w:val="22"/>
          <w:szCs w:val="22"/>
        </w:rPr>
        <w:t xml:space="preserve"> = </w:t>
      </w:r>
      <w:r w:rsidRPr="004C3830">
        <w:rPr>
          <w:color w:val="000000"/>
          <w:sz w:val="22"/>
          <w:szCs w:val="22"/>
          <w:lang w:val="en-US"/>
        </w:rPr>
        <w:t>X</w:t>
      </w:r>
      <w:r w:rsidRPr="0075505D">
        <w:rPr>
          <w:color w:val="000000"/>
          <w:sz w:val="22"/>
          <w:szCs w:val="22"/>
        </w:rPr>
        <w:t xml:space="preserve"> - (</w:t>
      </w:r>
      <w:proofErr w:type="spellStart"/>
      <w:r>
        <w:rPr>
          <w:color w:val="000000"/>
          <w:sz w:val="22"/>
          <w:szCs w:val="22"/>
        </w:rPr>
        <w:t>ср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кв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откл</w:t>
      </w:r>
      <w:proofErr w:type="spellEnd"/>
      <w:r w:rsidRPr="0075505D">
        <w:rPr>
          <w:color w:val="000000"/>
          <w:sz w:val="22"/>
          <w:szCs w:val="22"/>
        </w:rPr>
        <w:t xml:space="preserve"> * 1)</w:t>
      </w:r>
    </w:p>
    <w:p w14:paraId="25DA5539" w14:textId="77777777" w:rsidR="004C3830" w:rsidRPr="0075505D" w:rsidRDefault="004C3830" w:rsidP="004C3830">
      <w:pPr>
        <w:pStyle w:val="a7"/>
        <w:spacing w:before="0" w:beforeAutospacing="0" w:after="0" w:afterAutospacing="0"/>
        <w:ind w:firstLine="709"/>
        <w:jc w:val="both"/>
      </w:pPr>
      <w:r w:rsidRPr="0075505D">
        <w:rPr>
          <w:color w:val="000000"/>
          <w:sz w:val="22"/>
          <w:szCs w:val="22"/>
        </w:rPr>
        <w:t>-2</w:t>
      </w:r>
      <w:r w:rsidRPr="004C3830">
        <w:rPr>
          <w:color w:val="000000"/>
          <w:sz w:val="22"/>
          <w:szCs w:val="22"/>
          <w:lang w:val="en-US"/>
        </w:rPr>
        <w:t>S</w:t>
      </w:r>
      <w:r w:rsidRPr="0075505D">
        <w:rPr>
          <w:color w:val="000000"/>
          <w:sz w:val="22"/>
          <w:szCs w:val="22"/>
        </w:rPr>
        <w:t xml:space="preserve"> = </w:t>
      </w:r>
      <w:r w:rsidRPr="004C3830">
        <w:rPr>
          <w:color w:val="000000"/>
          <w:sz w:val="22"/>
          <w:szCs w:val="22"/>
          <w:lang w:val="en-US"/>
        </w:rPr>
        <w:t>X</w:t>
      </w:r>
      <w:r w:rsidRPr="0075505D">
        <w:rPr>
          <w:color w:val="000000"/>
          <w:sz w:val="22"/>
          <w:szCs w:val="22"/>
        </w:rPr>
        <w:t xml:space="preserve"> - (</w:t>
      </w:r>
      <w:proofErr w:type="spellStart"/>
      <w:r>
        <w:rPr>
          <w:color w:val="000000"/>
          <w:sz w:val="22"/>
          <w:szCs w:val="22"/>
        </w:rPr>
        <w:t>ср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кв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откл</w:t>
      </w:r>
      <w:proofErr w:type="spellEnd"/>
      <w:r w:rsidRPr="0075505D">
        <w:rPr>
          <w:color w:val="000000"/>
          <w:sz w:val="22"/>
          <w:szCs w:val="22"/>
        </w:rPr>
        <w:t xml:space="preserve"> * 2)</w:t>
      </w:r>
    </w:p>
    <w:p w14:paraId="4404391C" w14:textId="77777777" w:rsidR="004C3830" w:rsidRPr="0075505D" w:rsidRDefault="004C3830" w:rsidP="004C3830">
      <w:pPr>
        <w:pStyle w:val="a7"/>
        <w:spacing w:before="0" w:beforeAutospacing="0" w:after="0" w:afterAutospacing="0"/>
        <w:ind w:firstLine="709"/>
        <w:jc w:val="both"/>
      </w:pPr>
      <w:r w:rsidRPr="0075505D">
        <w:rPr>
          <w:color w:val="000000"/>
          <w:sz w:val="22"/>
          <w:szCs w:val="22"/>
        </w:rPr>
        <w:t>-3</w:t>
      </w:r>
      <w:r w:rsidRPr="004C3830">
        <w:rPr>
          <w:color w:val="000000"/>
          <w:sz w:val="22"/>
          <w:szCs w:val="22"/>
          <w:lang w:val="en-US"/>
        </w:rPr>
        <w:t>S</w:t>
      </w:r>
      <w:r w:rsidRPr="0075505D">
        <w:rPr>
          <w:color w:val="000000"/>
          <w:sz w:val="22"/>
          <w:szCs w:val="22"/>
        </w:rPr>
        <w:t xml:space="preserve"> = </w:t>
      </w:r>
      <w:r w:rsidRPr="004C3830">
        <w:rPr>
          <w:color w:val="000000"/>
          <w:sz w:val="22"/>
          <w:szCs w:val="22"/>
          <w:lang w:val="en-US"/>
        </w:rPr>
        <w:t>X</w:t>
      </w:r>
      <w:r w:rsidRPr="0075505D">
        <w:rPr>
          <w:color w:val="000000"/>
          <w:sz w:val="22"/>
          <w:szCs w:val="22"/>
        </w:rPr>
        <w:t xml:space="preserve"> - (</w:t>
      </w:r>
      <w:proofErr w:type="spellStart"/>
      <w:r>
        <w:rPr>
          <w:color w:val="000000"/>
          <w:sz w:val="22"/>
          <w:szCs w:val="22"/>
        </w:rPr>
        <w:t>ср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кв</w:t>
      </w:r>
      <w:r w:rsidRPr="0075505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откл</w:t>
      </w:r>
      <w:proofErr w:type="spellEnd"/>
      <w:r w:rsidRPr="0075505D">
        <w:rPr>
          <w:color w:val="000000"/>
          <w:sz w:val="22"/>
          <w:szCs w:val="22"/>
        </w:rPr>
        <w:t xml:space="preserve"> * 3)</w:t>
      </w:r>
    </w:p>
    <w:p w14:paraId="710FB2FF" w14:textId="77777777" w:rsidR="004C3830" w:rsidRPr="0075505D" w:rsidRDefault="004C3830" w:rsidP="004C3830">
      <w:pPr>
        <w:ind w:firstLine="709"/>
      </w:pPr>
    </w:p>
    <w:p w14:paraId="0252D9F3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Коэффициент вариации = (</w:t>
      </w:r>
      <w:proofErr w:type="spellStart"/>
      <w:r>
        <w:rPr>
          <w:color w:val="000000"/>
          <w:sz w:val="22"/>
          <w:szCs w:val="22"/>
        </w:rPr>
        <w:t>ср.кв.откл</w:t>
      </w:r>
      <w:proofErr w:type="spellEnd"/>
      <w:r>
        <w:rPr>
          <w:color w:val="000000"/>
          <w:sz w:val="22"/>
          <w:szCs w:val="22"/>
        </w:rPr>
        <w:t xml:space="preserve"> / X) * 100</w:t>
      </w:r>
    </w:p>
    <w:p w14:paraId="3F7FF5C0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Реализуйте интерфейс получения статистической информации для контроля  качества на результаты услуги. Для этого рассчитайте среднеквадратичное отклонение результатов услуги, среднее значение результатов и коэффициента вариации, рассчитайте статистические пределы. </w:t>
      </w:r>
    </w:p>
    <w:p w14:paraId="2B03A29E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Постройте график, указав по горизонтальной оси дату и время исследования, по вертикальной оси пределы значений (слева значение лимита, справа - его название)</w:t>
      </w:r>
    </w:p>
    <w:p w14:paraId="4582460A" w14:textId="77777777" w:rsidR="004C3830" w:rsidRDefault="004C3830" w:rsidP="004C3830"/>
    <w:p w14:paraId="31C5C1C7" w14:textId="01DE06ED" w:rsidR="004C3830" w:rsidRDefault="004C3830" w:rsidP="004C3830">
      <w:pPr>
        <w:pStyle w:val="a7"/>
        <w:spacing w:before="0" w:beforeAutospacing="0" w:after="0" w:afterAutospacing="0"/>
        <w:jc w:val="both"/>
      </w:pPr>
      <w:r>
        <w:rPr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"https://lh5.googleusercontent.com/Pu_W2r2wtTAQdUmK-771CVj6yGDHsgYuaYTFwCzcnRijYO1sHDXxOioaL4DWk2qwo71Iul442EPDml3WtzxocVoW2xaL1f_NNoc6VsdJiKrYkJt5X2A10M0ODcpiKOlz1yXuBnnd" \* MERGEFORMATINET </w:instrText>
      </w:r>
      <w:r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C56186" wp14:editId="25787215">
            <wp:extent cx="5936244" cy="323778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81"/>
                    <a:stretch/>
                  </pic:blipFill>
                  <pic:spPr bwMode="auto">
                    <a:xfrm>
                      <a:off x="0" y="0"/>
                      <a:ext cx="5936615" cy="3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AA7C876" w14:textId="77777777" w:rsidR="004C3830" w:rsidRDefault="004C3830" w:rsidP="004C3830"/>
    <w:p w14:paraId="61C21030" w14:textId="77777777" w:rsidR="004C3830" w:rsidRDefault="004C3830" w:rsidP="004C3830">
      <w:pPr>
        <w:pStyle w:val="3"/>
        <w:spacing w:before="320" w:after="80"/>
        <w:ind w:firstLine="709"/>
        <w:jc w:val="both"/>
      </w:pPr>
      <w:r>
        <w:rPr>
          <w:rFonts w:ascii="Arial" w:hAnsi="Arial" w:cs="Arial"/>
          <w:b/>
          <w:bCs/>
          <w:color w:val="434343"/>
          <w:sz w:val="28"/>
          <w:szCs w:val="28"/>
        </w:rPr>
        <w:t>Редактирование пациента</w:t>
      </w:r>
    </w:p>
    <w:p w14:paraId="6CF3D98D" w14:textId="77777777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Реализуйте окно, доступное  только лаборанту по приему биоматериала. </w:t>
      </w:r>
    </w:p>
    <w:p w14:paraId="61EDE770" w14:textId="38A1523A" w:rsidR="004C3830" w:rsidRDefault="004C3830" w:rsidP="004C3830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2"/>
          <w:szCs w:val="22"/>
        </w:rPr>
        <w:t>При создании заказа на услугу лаборант может отредактировать данные</w:t>
      </w:r>
      <w:r w:rsidR="00071444">
        <w:rPr>
          <w:color w:val="000000"/>
          <w:sz w:val="22"/>
          <w:szCs w:val="22"/>
        </w:rPr>
        <w:t>, кроме адреса электронной почты и телефона.</w:t>
      </w:r>
    </w:p>
    <w:p w14:paraId="7ED49F35" w14:textId="033A437B" w:rsidR="004C3830" w:rsidRDefault="004C3830" w:rsidP="004C3830"/>
    <w:p w14:paraId="49DDA77F" w14:textId="77777777" w:rsidR="004C3830" w:rsidRDefault="004C3830" w:rsidP="004C3830">
      <w:pPr>
        <w:pStyle w:val="3"/>
        <w:spacing w:before="320" w:after="80"/>
        <w:ind w:firstLine="709"/>
        <w:jc w:val="both"/>
      </w:pPr>
      <w:r>
        <w:rPr>
          <w:rFonts w:ascii="Arial" w:hAnsi="Arial" w:cs="Arial"/>
          <w:b/>
          <w:bCs/>
          <w:color w:val="434343"/>
          <w:sz w:val="28"/>
          <w:szCs w:val="28"/>
        </w:rPr>
        <w:t>Проектирование программного обеспечения </w:t>
      </w:r>
    </w:p>
    <w:p w14:paraId="576F8F26" w14:textId="77777777" w:rsidR="004C3830" w:rsidRDefault="004C3830" w:rsidP="004C3830"/>
    <w:p w14:paraId="6DD380BD" w14:textId="313E6F25" w:rsidR="004C3830" w:rsidRPr="002116E4" w:rsidRDefault="004C3830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Разработайте ER-диаграмму для информационной системы </w:t>
      </w:r>
      <w:r w:rsidR="001D5310">
        <w:rPr>
          <w:color w:val="000000"/>
          <w:sz w:val="22"/>
          <w:szCs w:val="22"/>
        </w:rPr>
        <w:t>аптеки</w:t>
      </w:r>
      <w:r>
        <w:rPr>
          <w:color w:val="000000"/>
          <w:sz w:val="22"/>
          <w:szCs w:val="22"/>
        </w:rPr>
        <w:t xml:space="preserve">. Диаграмма должна быть разработана </w:t>
      </w:r>
      <w:r w:rsidR="001D5310">
        <w:rPr>
          <w:color w:val="000000"/>
          <w:sz w:val="22"/>
          <w:szCs w:val="22"/>
        </w:rPr>
        <w:t>по описанию предметной области аптеки</w:t>
      </w:r>
      <w:r>
        <w:rPr>
          <w:color w:val="000000"/>
          <w:sz w:val="22"/>
          <w:szCs w:val="22"/>
        </w:rPr>
        <w:t>.</w:t>
      </w:r>
    </w:p>
    <w:p w14:paraId="65FECDFD" w14:textId="77777777" w:rsidR="004C3830" w:rsidRPr="002116E4" w:rsidRDefault="004C3830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этого вам необходимо определить основные сущности, представить их атрибуты, свойства и связи. Представленная диаграмма должна быть выполнена в 3 нормальной форме. Кроме того, у экспертной группы должна быть возможность отследить связи, модальность, ключи и направления связей по визуальному представлению, не открывая решение в СУБД. </w:t>
      </w:r>
    </w:p>
    <w:p w14:paraId="20FE3DFB" w14:textId="4D9CEAFD" w:rsidR="001D5310" w:rsidRDefault="001D5310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База данных должна обеспечить хранение и управление данными о поставщиках медикаментов (юридическое название, юридический адрес, ИНН, номер договора о сотрудничестве, код ОКПО, телефон, контакты ответственного лица). Один и тот же медицинский препарат может поставляться разными поставщиками, у одного поставщика цены на товар могут отличатся в зависимости от партии товара). </w:t>
      </w:r>
    </w:p>
    <w:p w14:paraId="17EFDBA2" w14:textId="7B5990BB" w:rsidR="001D5310" w:rsidRDefault="00D11320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Необходимо обеспечить хранение и управление данными о препаратах – название, количество на складе, номер партии, цена, процент социальной скидки (не для всех препаратов), поставщик. </w:t>
      </w:r>
    </w:p>
    <w:p w14:paraId="36125ED4" w14:textId="10DCCB88" w:rsidR="00D11320" w:rsidRDefault="00D11320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Работа аптеки предполагает работу сотрудников, поэтому необходимо хранить данные о сотрудниках – ФИО, адрес, телефон, почта, должность. </w:t>
      </w:r>
    </w:p>
    <w:p w14:paraId="0178D7A2" w14:textId="51DA9F40" w:rsidR="00D11320" w:rsidRDefault="00D11320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базе данных необходимо фиксировать заказы на поставку препаратов (дату заказа, дату отгрузки, наименование препаратов и их количество). Заказ может быть сформирован только на одного поставщика. </w:t>
      </w:r>
    </w:p>
    <w:p w14:paraId="4B1C38CF" w14:textId="4B79E1B9" w:rsidR="00D11320" w:rsidRDefault="00D11320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Аптека </w:t>
      </w:r>
      <w:r w:rsidR="001100BF">
        <w:rPr>
          <w:color w:val="000000"/>
          <w:sz w:val="22"/>
          <w:szCs w:val="22"/>
        </w:rPr>
        <w:t xml:space="preserve">предполагает также выдачу карт постоянным клиентам, поэтому в базе необходимо хранить данные по клиентам (ФИО, почта, телефон, размер скидки) и историю их  покупок. Размер скидки может меняться с учетом накоплений. </w:t>
      </w:r>
    </w:p>
    <w:p w14:paraId="7D97FB40" w14:textId="589FF3FF" w:rsidR="001100BF" w:rsidRDefault="001100BF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1100BF">
        <w:rPr>
          <w:color w:val="000000"/>
          <w:sz w:val="22"/>
          <w:szCs w:val="22"/>
        </w:rPr>
        <w:t xml:space="preserve">В аптеке так же работают специалисты – окулист и ортопед, у каждого врача есть график работы и специалист аптеки может записать на прием к специалисту клиента аптеки. Для работы специалистов оборудовано 2 кабинета, в которых содержится большое количество оборудования, </w:t>
      </w:r>
      <w:r w:rsidRPr="001100BF">
        <w:rPr>
          <w:color w:val="000000"/>
          <w:sz w:val="22"/>
          <w:szCs w:val="22"/>
        </w:rPr>
        <w:lastRenderedPageBreak/>
        <w:t>материалов, к которому прикреплены конкретные специалисты. Оборудование и расходные материалы могут просто храниться на складе и не использоваться в текущий момент. Складов, кстати,  несколько. Поэтому всегда нужно понимать на каком складе и на каком стеллаже лежит то или иное оборудование/материал. Более того, оборудование и материалы дел</w:t>
      </w:r>
      <w:r w:rsidR="002116E4">
        <w:rPr>
          <w:color w:val="000000"/>
          <w:sz w:val="22"/>
          <w:szCs w:val="22"/>
        </w:rPr>
        <w:t>я</w:t>
      </w:r>
      <w:r w:rsidRPr="001100BF">
        <w:rPr>
          <w:color w:val="000000"/>
          <w:sz w:val="22"/>
          <w:szCs w:val="22"/>
        </w:rPr>
        <w:t xml:space="preserve">тся на различные категории. У расходных материалов важно знать их максимальный срок хранения, чтобы система могла напоминать о предстоящем списании этих материалов. У большинства категорий расходных материалов есть минимальный возможный  остаток на складе, при достижении которого нужно подготовить список на последующую закупку. </w:t>
      </w:r>
    </w:p>
    <w:p w14:paraId="354633CB" w14:textId="5395A311" w:rsidR="001100BF" w:rsidRPr="001100BF" w:rsidRDefault="001100BF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  <w:r w:rsidRPr="001100BF">
        <w:rPr>
          <w:color w:val="000000"/>
          <w:sz w:val="22"/>
          <w:szCs w:val="22"/>
        </w:rPr>
        <w:t xml:space="preserve">С каждым </w:t>
      </w:r>
      <w:r w:rsidRPr="002116E4">
        <w:rPr>
          <w:color w:val="000000"/>
          <w:sz w:val="22"/>
          <w:szCs w:val="22"/>
        </w:rPr>
        <w:t>клиентом</w:t>
      </w:r>
      <w:r w:rsidRPr="001100BF">
        <w:rPr>
          <w:color w:val="000000"/>
          <w:sz w:val="22"/>
          <w:szCs w:val="22"/>
        </w:rPr>
        <w:t xml:space="preserve"> </w:t>
      </w:r>
      <w:r w:rsidRPr="002116E4">
        <w:rPr>
          <w:color w:val="000000"/>
          <w:sz w:val="22"/>
          <w:szCs w:val="22"/>
        </w:rPr>
        <w:t xml:space="preserve">заключается </w:t>
      </w:r>
      <w:r w:rsidRPr="001100BF">
        <w:rPr>
          <w:color w:val="000000"/>
          <w:sz w:val="22"/>
          <w:szCs w:val="22"/>
        </w:rPr>
        <w:t xml:space="preserve"> отдельный договор на оказание услуг</w:t>
      </w:r>
      <w:r w:rsidRPr="002116E4">
        <w:rPr>
          <w:color w:val="000000"/>
          <w:sz w:val="22"/>
          <w:szCs w:val="22"/>
        </w:rPr>
        <w:t xml:space="preserve"> окулиста ил</w:t>
      </w:r>
      <w:r w:rsidR="002116E4">
        <w:rPr>
          <w:color w:val="000000"/>
          <w:sz w:val="22"/>
          <w:szCs w:val="22"/>
        </w:rPr>
        <w:t>и</w:t>
      </w:r>
      <w:r w:rsidRPr="002116E4">
        <w:rPr>
          <w:color w:val="000000"/>
          <w:sz w:val="22"/>
          <w:szCs w:val="22"/>
        </w:rPr>
        <w:t xml:space="preserve"> о</w:t>
      </w:r>
      <w:r w:rsidR="002116E4">
        <w:rPr>
          <w:color w:val="000000"/>
          <w:sz w:val="22"/>
          <w:szCs w:val="22"/>
        </w:rPr>
        <w:t>р</w:t>
      </w:r>
      <w:r w:rsidRPr="002116E4">
        <w:rPr>
          <w:color w:val="000000"/>
          <w:sz w:val="22"/>
          <w:szCs w:val="22"/>
        </w:rPr>
        <w:t>топеда</w:t>
      </w:r>
      <w:r w:rsidRPr="001100BF">
        <w:rPr>
          <w:color w:val="000000"/>
          <w:sz w:val="22"/>
          <w:szCs w:val="22"/>
        </w:rPr>
        <w:t xml:space="preserve">. Договора могут включать частичную оплату, а значит система должна иметь возможность выставлять несколько счетов по одному договору. </w:t>
      </w:r>
      <w:r w:rsidRPr="002116E4">
        <w:rPr>
          <w:color w:val="000000"/>
          <w:sz w:val="22"/>
          <w:szCs w:val="22"/>
        </w:rPr>
        <w:t>Б</w:t>
      </w:r>
      <w:r w:rsidRPr="001100BF">
        <w:rPr>
          <w:color w:val="000000"/>
          <w:sz w:val="22"/>
          <w:szCs w:val="22"/>
        </w:rPr>
        <w:t xml:space="preserve">ухгалтер обязательно должен следить за оплатой счетов, так как после успешной оплаты, администраторам передаётся информация для того, чтобы они записали клиента на необходимую услугу к конкретному специалисту и определили удобное для клиента время. </w:t>
      </w:r>
    </w:p>
    <w:p w14:paraId="0E891026" w14:textId="77777777" w:rsidR="001100BF" w:rsidRPr="001100BF" w:rsidRDefault="001100BF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1DD55E49" w14:textId="4A8EB25F" w:rsidR="001100BF" w:rsidRDefault="001100BF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15E8D9C8" w14:textId="77777777" w:rsidR="001100BF" w:rsidRPr="001D5310" w:rsidRDefault="001100BF" w:rsidP="002116E4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59E7CD7C" w14:textId="7A051CCE" w:rsidR="004C3830" w:rsidRPr="00037B95" w:rsidRDefault="004C3830" w:rsidP="00037B95">
      <w:pPr>
        <w:pStyle w:val="a7"/>
        <w:spacing w:before="0" w:beforeAutospacing="0" w:after="0" w:afterAutospacing="0"/>
        <w:jc w:val="both"/>
        <w:rPr>
          <w:rFonts w:ascii="Roboto-Regular" w:hAnsi="Roboto-Regular"/>
          <w:b/>
          <w:bCs/>
          <w:color w:val="183741"/>
          <w:shd w:val="clear" w:color="auto" w:fill="FFFFFF"/>
        </w:rPr>
      </w:pPr>
    </w:p>
    <w:sectPr w:rsidR="004C3830" w:rsidRPr="00037B95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E5759" w14:textId="77777777" w:rsidR="00F230F4" w:rsidRDefault="00F230F4" w:rsidP="0091307E">
      <w:r>
        <w:separator/>
      </w:r>
    </w:p>
  </w:endnote>
  <w:endnote w:type="continuationSeparator" w:id="0">
    <w:p w14:paraId="077630E1" w14:textId="77777777" w:rsidR="00F230F4" w:rsidRDefault="00F230F4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A5CCB" w14:textId="77777777" w:rsidR="00F230F4" w:rsidRDefault="00F230F4" w:rsidP="0091307E">
      <w:r>
        <w:separator/>
      </w:r>
    </w:p>
  </w:footnote>
  <w:footnote w:type="continuationSeparator" w:id="0">
    <w:p w14:paraId="3C580B24" w14:textId="77777777" w:rsidR="00F230F4" w:rsidRDefault="00F230F4" w:rsidP="0091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66E"/>
    <w:multiLevelType w:val="multilevel"/>
    <w:tmpl w:val="782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E2487"/>
    <w:multiLevelType w:val="multilevel"/>
    <w:tmpl w:val="0D44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37B95"/>
    <w:rsid w:val="00071444"/>
    <w:rsid w:val="0010065A"/>
    <w:rsid w:val="001100BF"/>
    <w:rsid w:val="00186F93"/>
    <w:rsid w:val="001D5310"/>
    <w:rsid w:val="001F4795"/>
    <w:rsid w:val="002116E4"/>
    <w:rsid w:val="002E6A88"/>
    <w:rsid w:val="004C3830"/>
    <w:rsid w:val="00532D7B"/>
    <w:rsid w:val="006715FA"/>
    <w:rsid w:val="0075505D"/>
    <w:rsid w:val="008E144F"/>
    <w:rsid w:val="0091307E"/>
    <w:rsid w:val="00B66E0D"/>
    <w:rsid w:val="00B67AAA"/>
    <w:rsid w:val="00B975E8"/>
    <w:rsid w:val="00C72DEC"/>
    <w:rsid w:val="00D11320"/>
    <w:rsid w:val="00D676E2"/>
    <w:rsid w:val="00E105D9"/>
    <w:rsid w:val="00E451DE"/>
    <w:rsid w:val="00E479DC"/>
    <w:rsid w:val="00E52CAC"/>
    <w:rsid w:val="00E8770D"/>
    <w:rsid w:val="00F230F4"/>
    <w:rsid w:val="00FB3980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semiHidden/>
    <w:unhideWhenUsed/>
    <w:rsid w:val="00E8770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75E8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75E8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2D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4C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Станислав Макиевский</cp:lastModifiedBy>
  <cp:revision>6</cp:revision>
  <cp:lastPrinted>2020-10-04T07:07:00Z</cp:lastPrinted>
  <dcterms:created xsi:type="dcterms:W3CDTF">2020-10-04T07:25:00Z</dcterms:created>
  <dcterms:modified xsi:type="dcterms:W3CDTF">2023-09-08T06:39:00Z</dcterms:modified>
</cp:coreProperties>
</file>