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B28" w:rsidRDefault="00D73B28" w:rsidP="00947DE4">
      <w:pPr>
        <w:pStyle w:val="Titre"/>
      </w:pPr>
      <w:r>
        <w:rPr>
          <w:noProof/>
        </w:rPr>
        <w:drawing>
          <wp:anchor distT="0" distB="0" distL="114300" distR="114300" simplePos="0" relativeHeight="251658240" behindDoc="0" locked="0" layoutInCell="1" allowOverlap="1">
            <wp:simplePos x="0" y="0"/>
            <wp:positionH relativeFrom="column">
              <wp:posOffset>-692422</wp:posOffset>
            </wp:positionH>
            <wp:positionV relativeFrom="paragraph">
              <wp:posOffset>-678906</wp:posOffset>
            </wp:positionV>
            <wp:extent cx="3204000" cy="1220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eParis_logo_horizontal_couleur_RVB.png"/>
                    <pic:cNvPicPr/>
                  </pic:nvPicPr>
                  <pic:blipFill>
                    <a:blip r:embed="rId7">
                      <a:extLst>
                        <a:ext uri="{28A0092B-C50C-407E-A947-70E740481C1C}">
                          <a14:useLocalDpi xmlns:a14="http://schemas.microsoft.com/office/drawing/2010/main" val="0"/>
                        </a:ext>
                      </a:extLst>
                    </a:blip>
                    <a:stretch>
                      <a:fillRect/>
                    </a:stretch>
                  </pic:blipFill>
                  <pic:spPr>
                    <a:xfrm>
                      <a:off x="0" y="0"/>
                      <a:ext cx="3204000" cy="1220400"/>
                    </a:xfrm>
                    <a:prstGeom prst="rect">
                      <a:avLst/>
                    </a:prstGeom>
                  </pic:spPr>
                </pic:pic>
              </a:graphicData>
            </a:graphic>
            <wp14:sizeRelH relativeFrom="margin">
              <wp14:pctWidth>0</wp14:pctWidth>
            </wp14:sizeRelH>
            <wp14:sizeRelV relativeFrom="margin">
              <wp14:pctHeight>0</wp14:pctHeight>
            </wp14:sizeRelV>
          </wp:anchor>
        </w:drawing>
      </w:r>
    </w:p>
    <w:p w:rsidR="00D73B28" w:rsidRDefault="00D73B28" w:rsidP="00947DE4"/>
    <w:p w:rsidR="00D73B28" w:rsidRDefault="00D73B28" w:rsidP="00947DE4"/>
    <w:p w:rsidR="00D73B28" w:rsidRDefault="00D73B28" w:rsidP="00947DE4"/>
    <w:p w:rsidR="00D73B28" w:rsidRDefault="00D73B28" w:rsidP="00947DE4"/>
    <w:p w:rsidR="0001275A" w:rsidRDefault="0001275A" w:rsidP="00947DE4">
      <w:pPr>
        <w:pStyle w:val="Titre"/>
      </w:pPr>
    </w:p>
    <w:p w:rsidR="002B346E" w:rsidRPr="00386842" w:rsidRDefault="00927A13" w:rsidP="00386842">
      <w:pPr>
        <w:pStyle w:val="Titre"/>
        <w:jc w:val="center"/>
        <w:rPr>
          <w:rFonts w:asciiTheme="minorHAnsi" w:hAnsiTheme="minorHAnsi" w:cstheme="minorHAnsi"/>
          <w:b/>
          <w:sz w:val="72"/>
          <w:szCs w:val="72"/>
        </w:rPr>
      </w:pPr>
      <w:r w:rsidRPr="00386842">
        <w:rPr>
          <w:rFonts w:asciiTheme="minorHAnsi" w:hAnsiTheme="minorHAnsi" w:cstheme="minorHAnsi"/>
          <w:b/>
          <w:sz w:val="72"/>
          <w:szCs w:val="72"/>
        </w:rPr>
        <w:t>Projet ANR</w:t>
      </w:r>
      <w:r w:rsidR="00D73B28" w:rsidRPr="00386842">
        <w:rPr>
          <w:rFonts w:asciiTheme="minorHAnsi" w:hAnsiTheme="minorHAnsi" w:cstheme="minorHAnsi"/>
          <w:b/>
          <w:sz w:val="72"/>
          <w:szCs w:val="72"/>
        </w:rPr>
        <w:t> :</w:t>
      </w:r>
    </w:p>
    <w:p w:rsidR="00D73B28" w:rsidRPr="00386842" w:rsidRDefault="00D73B28" w:rsidP="00386842">
      <w:pPr>
        <w:jc w:val="center"/>
        <w:rPr>
          <w:rFonts w:asciiTheme="minorHAnsi" w:hAnsiTheme="minorHAnsi" w:cstheme="minorHAnsi"/>
          <w:sz w:val="52"/>
          <w:szCs w:val="52"/>
        </w:rPr>
      </w:pPr>
    </w:p>
    <w:p w:rsidR="00693877" w:rsidRPr="00386842" w:rsidRDefault="00693877" w:rsidP="00386842">
      <w:pPr>
        <w:jc w:val="center"/>
        <w:rPr>
          <w:rFonts w:asciiTheme="minorHAnsi" w:hAnsiTheme="minorHAnsi" w:cstheme="minorHAnsi"/>
          <w:sz w:val="52"/>
          <w:szCs w:val="52"/>
        </w:rPr>
      </w:pPr>
      <w:r w:rsidRPr="00386842">
        <w:rPr>
          <w:rFonts w:asciiTheme="minorHAnsi" w:hAnsiTheme="minorHAnsi" w:cstheme="minorHAnsi"/>
          <w:sz w:val="52"/>
          <w:szCs w:val="52"/>
        </w:rPr>
        <w:t xml:space="preserve">Analyse multi-omiques </w:t>
      </w:r>
      <w:r w:rsidR="00943479" w:rsidRPr="00386842">
        <w:rPr>
          <w:rFonts w:asciiTheme="minorHAnsi" w:hAnsiTheme="minorHAnsi" w:cstheme="minorHAnsi"/>
          <w:sz w:val="52"/>
          <w:szCs w:val="52"/>
        </w:rPr>
        <w:t>de la maladie chronique rénale</w:t>
      </w:r>
      <w:r w:rsidR="00D73B28" w:rsidRPr="00386842">
        <w:rPr>
          <w:rFonts w:asciiTheme="minorHAnsi" w:hAnsiTheme="minorHAnsi" w:cstheme="minorHAnsi"/>
          <w:sz w:val="52"/>
          <w:szCs w:val="52"/>
        </w:rPr>
        <w:t xml:space="preserve"> chez des souris</w:t>
      </w:r>
    </w:p>
    <w:p w:rsidR="00D73B28" w:rsidRDefault="00D73B28" w:rsidP="00947DE4"/>
    <w:p w:rsidR="00D73B28" w:rsidRDefault="00D73B28" w:rsidP="00947DE4"/>
    <w:p w:rsidR="00D73B28" w:rsidRDefault="00D73B28" w:rsidP="00947DE4"/>
    <w:p w:rsidR="00D73B28" w:rsidRDefault="00D73B28" w:rsidP="00947DE4"/>
    <w:p w:rsidR="00D73B28" w:rsidRDefault="00D73B28" w:rsidP="00947DE4"/>
    <w:p w:rsidR="00D73B28" w:rsidRDefault="00D73B28" w:rsidP="00947DE4"/>
    <w:p w:rsidR="00D73B28" w:rsidRDefault="00D73B28" w:rsidP="00947DE4"/>
    <w:p w:rsidR="00D73B28" w:rsidRDefault="00D73B28" w:rsidP="00947DE4"/>
    <w:p w:rsidR="00D73B28" w:rsidRDefault="00D73B28" w:rsidP="00947DE4"/>
    <w:p w:rsidR="00D73B28" w:rsidRDefault="00D73B28" w:rsidP="00947DE4"/>
    <w:p w:rsidR="00D73B28" w:rsidRDefault="00D73B28" w:rsidP="00947DE4"/>
    <w:p w:rsidR="00D73B28" w:rsidRDefault="00D73B28" w:rsidP="00947DE4"/>
    <w:p w:rsidR="00386842" w:rsidRDefault="00386842" w:rsidP="00947DE4"/>
    <w:p w:rsidR="00386842" w:rsidRDefault="00386842" w:rsidP="00947DE4"/>
    <w:p w:rsidR="00386842" w:rsidRDefault="00386842" w:rsidP="00947DE4"/>
    <w:p w:rsidR="00386842" w:rsidRDefault="00386842" w:rsidP="00947DE4"/>
    <w:p w:rsidR="00386842" w:rsidRDefault="00386842" w:rsidP="00386842">
      <w:pPr>
        <w:ind w:firstLine="0"/>
      </w:pPr>
    </w:p>
    <w:p w:rsidR="00D73B28" w:rsidRDefault="00D73B28" w:rsidP="00947DE4"/>
    <w:p w:rsidR="00D73B28" w:rsidRDefault="00D73B28" w:rsidP="00947DE4"/>
    <w:p w:rsidR="00D73B28" w:rsidRPr="00386842" w:rsidRDefault="00D73B28" w:rsidP="00386842">
      <w:pPr>
        <w:jc w:val="right"/>
        <w:rPr>
          <w:sz w:val="32"/>
          <w:szCs w:val="32"/>
        </w:rPr>
      </w:pPr>
      <w:r w:rsidRPr="00386842">
        <w:rPr>
          <w:sz w:val="32"/>
          <w:szCs w:val="32"/>
        </w:rPr>
        <w:t>PRETET Maël</w:t>
      </w:r>
    </w:p>
    <w:p w:rsidR="00D73B28" w:rsidRPr="00386842" w:rsidRDefault="00D73B28" w:rsidP="00386842">
      <w:pPr>
        <w:jc w:val="right"/>
        <w:rPr>
          <w:sz w:val="32"/>
          <w:szCs w:val="32"/>
        </w:rPr>
      </w:pPr>
    </w:p>
    <w:p w:rsidR="0001275A" w:rsidRPr="00386842" w:rsidRDefault="00D73B28" w:rsidP="00386842">
      <w:pPr>
        <w:jc w:val="right"/>
        <w:rPr>
          <w:sz w:val="32"/>
          <w:szCs w:val="32"/>
        </w:rPr>
      </w:pPr>
      <w:r w:rsidRPr="00386842">
        <w:rPr>
          <w:sz w:val="32"/>
          <w:szCs w:val="32"/>
        </w:rPr>
        <w:t>11 janvier 2021</w:t>
      </w:r>
      <w:r w:rsidR="00386842">
        <w:br w:type="page"/>
      </w:r>
    </w:p>
    <w:p w:rsidR="003733DC" w:rsidRDefault="002B346E">
      <w:pPr>
        <w:pStyle w:val="TM1"/>
        <w:tabs>
          <w:tab w:val="left" w:pos="960"/>
          <w:tab w:val="right" w:leader="dot" w:pos="9056"/>
        </w:tabs>
        <w:rPr>
          <w:rFonts w:asciiTheme="minorHAnsi" w:eastAsiaTheme="minorEastAsia" w:hAnsiTheme="minorHAnsi" w:cstheme="minorBidi"/>
          <w:b w:val="0"/>
          <w:bCs w:val="0"/>
          <w:caps w:val="0"/>
          <w:noProof/>
          <w:sz w:val="24"/>
          <w:szCs w:val="24"/>
          <w:lang w:eastAsia="fr-FR"/>
        </w:rPr>
      </w:pPr>
      <w:r>
        <w:rPr>
          <w:rFonts w:asciiTheme="minorHAnsi" w:hAnsiTheme="minorHAnsi"/>
        </w:rPr>
        <w:lastRenderedPageBreak/>
        <w:fldChar w:fldCharType="begin"/>
      </w:r>
      <w:r>
        <w:instrText xml:space="preserve"> TOC \o "1-2" \h \z \u </w:instrText>
      </w:r>
      <w:r>
        <w:rPr>
          <w:rFonts w:asciiTheme="minorHAnsi" w:hAnsiTheme="minorHAnsi"/>
        </w:rPr>
        <w:fldChar w:fldCharType="separate"/>
      </w:r>
      <w:hyperlink w:anchor="_Toc61287682" w:history="1">
        <w:r w:rsidR="003733DC" w:rsidRPr="002E03BC">
          <w:rPr>
            <w:rStyle w:val="Lienhypertexte"/>
            <w:noProof/>
          </w:rPr>
          <w:t>1.</w:t>
        </w:r>
        <w:r w:rsidR="003733DC">
          <w:rPr>
            <w:rFonts w:asciiTheme="minorHAnsi" w:eastAsiaTheme="minorEastAsia" w:hAnsiTheme="minorHAnsi" w:cstheme="minorBidi"/>
            <w:b w:val="0"/>
            <w:bCs w:val="0"/>
            <w:caps w:val="0"/>
            <w:noProof/>
            <w:sz w:val="24"/>
            <w:szCs w:val="24"/>
            <w:lang w:eastAsia="fr-FR"/>
          </w:rPr>
          <w:tab/>
        </w:r>
        <w:r w:rsidR="003733DC" w:rsidRPr="002E03BC">
          <w:rPr>
            <w:rStyle w:val="Lienhypertexte"/>
            <w:noProof/>
          </w:rPr>
          <w:t>Introduction</w:t>
        </w:r>
        <w:r w:rsidR="003733DC">
          <w:rPr>
            <w:noProof/>
            <w:webHidden/>
          </w:rPr>
          <w:tab/>
        </w:r>
        <w:r w:rsidR="003733DC">
          <w:rPr>
            <w:noProof/>
            <w:webHidden/>
          </w:rPr>
          <w:fldChar w:fldCharType="begin"/>
        </w:r>
        <w:r w:rsidR="003733DC">
          <w:rPr>
            <w:noProof/>
            <w:webHidden/>
          </w:rPr>
          <w:instrText xml:space="preserve"> PAGEREF _Toc61287682 \h </w:instrText>
        </w:r>
        <w:r w:rsidR="003733DC">
          <w:rPr>
            <w:noProof/>
            <w:webHidden/>
          </w:rPr>
        </w:r>
        <w:r w:rsidR="003733DC">
          <w:rPr>
            <w:noProof/>
            <w:webHidden/>
          </w:rPr>
          <w:fldChar w:fldCharType="separate"/>
        </w:r>
        <w:r w:rsidR="00CC06CF">
          <w:rPr>
            <w:noProof/>
            <w:webHidden/>
          </w:rPr>
          <w:t>3</w:t>
        </w:r>
        <w:r w:rsidR="003733DC">
          <w:rPr>
            <w:noProof/>
            <w:webHidden/>
          </w:rPr>
          <w:fldChar w:fldCharType="end"/>
        </w:r>
      </w:hyperlink>
    </w:p>
    <w:p w:rsidR="003733DC" w:rsidRDefault="003733DC">
      <w:pPr>
        <w:pStyle w:val="TM1"/>
        <w:tabs>
          <w:tab w:val="left" w:pos="960"/>
          <w:tab w:val="right" w:leader="dot" w:pos="9056"/>
        </w:tabs>
        <w:rPr>
          <w:rFonts w:asciiTheme="minorHAnsi" w:eastAsiaTheme="minorEastAsia" w:hAnsiTheme="minorHAnsi" w:cstheme="minorBidi"/>
          <w:b w:val="0"/>
          <w:bCs w:val="0"/>
          <w:caps w:val="0"/>
          <w:noProof/>
          <w:sz w:val="24"/>
          <w:szCs w:val="24"/>
          <w:lang w:eastAsia="fr-FR"/>
        </w:rPr>
      </w:pPr>
      <w:hyperlink w:anchor="_Toc61287683" w:history="1">
        <w:r w:rsidRPr="002E03BC">
          <w:rPr>
            <w:rStyle w:val="Lienhypertexte"/>
            <w:noProof/>
          </w:rPr>
          <w:t>2.</w:t>
        </w:r>
        <w:r>
          <w:rPr>
            <w:rFonts w:asciiTheme="minorHAnsi" w:eastAsiaTheme="minorEastAsia" w:hAnsiTheme="minorHAnsi" w:cstheme="minorBidi"/>
            <w:b w:val="0"/>
            <w:bCs w:val="0"/>
            <w:caps w:val="0"/>
            <w:noProof/>
            <w:sz w:val="24"/>
            <w:szCs w:val="24"/>
            <w:lang w:eastAsia="fr-FR"/>
          </w:rPr>
          <w:tab/>
        </w:r>
        <w:r w:rsidRPr="002E03BC">
          <w:rPr>
            <w:rStyle w:val="Lienhypertexte"/>
            <w:noProof/>
          </w:rPr>
          <w:t>Contexte, positionnement et objectif du projet</w:t>
        </w:r>
        <w:r>
          <w:rPr>
            <w:noProof/>
            <w:webHidden/>
          </w:rPr>
          <w:tab/>
        </w:r>
        <w:r>
          <w:rPr>
            <w:noProof/>
            <w:webHidden/>
          </w:rPr>
          <w:fldChar w:fldCharType="begin"/>
        </w:r>
        <w:r>
          <w:rPr>
            <w:noProof/>
            <w:webHidden/>
          </w:rPr>
          <w:instrText xml:space="preserve"> PAGEREF _Toc61287683 \h </w:instrText>
        </w:r>
        <w:r>
          <w:rPr>
            <w:noProof/>
            <w:webHidden/>
          </w:rPr>
        </w:r>
        <w:r>
          <w:rPr>
            <w:noProof/>
            <w:webHidden/>
          </w:rPr>
          <w:fldChar w:fldCharType="separate"/>
        </w:r>
        <w:r w:rsidR="00CC06CF">
          <w:rPr>
            <w:noProof/>
            <w:webHidden/>
          </w:rPr>
          <w:t>4</w:t>
        </w:r>
        <w:r>
          <w:rPr>
            <w:noProof/>
            <w:webHidden/>
          </w:rPr>
          <w:fldChar w:fldCharType="end"/>
        </w:r>
      </w:hyperlink>
    </w:p>
    <w:p w:rsidR="003733DC" w:rsidRDefault="003733DC">
      <w:pPr>
        <w:pStyle w:val="TM2"/>
        <w:tabs>
          <w:tab w:val="left" w:pos="1200"/>
          <w:tab w:val="right" w:leader="dot" w:pos="9056"/>
        </w:tabs>
        <w:rPr>
          <w:rFonts w:asciiTheme="minorHAnsi" w:eastAsiaTheme="minorEastAsia" w:hAnsiTheme="minorHAnsi" w:cstheme="minorBidi"/>
          <w:smallCaps w:val="0"/>
          <w:noProof/>
          <w:sz w:val="24"/>
          <w:szCs w:val="24"/>
          <w:lang w:eastAsia="fr-FR"/>
        </w:rPr>
      </w:pPr>
      <w:hyperlink w:anchor="_Toc61287684" w:history="1">
        <w:r w:rsidRPr="002E03BC">
          <w:rPr>
            <w:rStyle w:val="Lienhypertexte"/>
            <w:noProof/>
          </w:rPr>
          <w:t>2.1</w:t>
        </w:r>
        <w:r>
          <w:rPr>
            <w:rFonts w:asciiTheme="minorHAnsi" w:eastAsiaTheme="minorEastAsia" w:hAnsiTheme="minorHAnsi" w:cstheme="minorBidi"/>
            <w:smallCaps w:val="0"/>
            <w:noProof/>
            <w:sz w:val="24"/>
            <w:szCs w:val="24"/>
            <w:lang w:eastAsia="fr-FR"/>
          </w:rPr>
          <w:tab/>
        </w:r>
        <w:r w:rsidRPr="002E03BC">
          <w:rPr>
            <w:rStyle w:val="Lienhypertexte"/>
            <w:noProof/>
          </w:rPr>
          <w:t>Objectifs du projet</w:t>
        </w:r>
        <w:r>
          <w:rPr>
            <w:noProof/>
            <w:webHidden/>
          </w:rPr>
          <w:tab/>
        </w:r>
        <w:r>
          <w:rPr>
            <w:noProof/>
            <w:webHidden/>
          </w:rPr>
          <w:fldChar w:fldCharType="begin"/>
        </w:r>
        <w:r>
          <w:rPr>
            <w:noProof/>
            <w:webHidden/>
          </w:rPr>
          <w:instrText xml:space="preserve"> PAGEREF _Toc61287684 \h </w:instrText>
        </w:r>
        <w:r>
          <w:rPr>
            <w:noProof/>
            <w:webHidden/>
          </w:rPr>
        </w:r>
        <w:r>
          <w:rPr>
            <w:noProof/>
            <w:webHidden/>
          </w:rPr>
          <w:fldChar w:fldCharType="separate"/>
        </w:r>
        <w:r w:rsidR="00CC06CF">
          <w:rPr>
            <w:noProof/>
            <w:webHidden/>
          </w:rPr>
          <w:t>4</w:t>
        </w:r>
        <w:r>
          <w:rPr>
            <w:noProof/>
            <w:webHidden/>
          </w:rPr>
          <w:fldChar w:fldCharType="end"/>
        </w:r>
      </w:hyperlink>
    </w:p>
    <w:p w:rsidR="003733DC" w:rsidRDefault="003733DC">
      <w:pPr>
        <w:pStyle w:val="TM2"/>
        <w:tabs>
          <w:tab w:val="left" w:pos="1200"/>
          <w:tab w:val="right" w:leader="dot" w:pos="9056"/>
        </w:tabs>
        <w:rPr>
          <w:rFonts w:asciiTheme="minorHAnsi" w:eastAsiaTheme="minorEastAsia" w:hAnsiTheme="minorHAnsi" w:cstheme="minorBidi"/>
          <w:smallCaps w:val="0"/>
          <w:noProof/>
          <w:sz w:val="24"/>
          <w:szCs w:val="24"/>
          <w:lang w:eastAsia="fr-FR"/>
        </w:rPr>
      </w:pPr>
      <w:hyperlink w:anchor="_Toc61287685" w:history="1">
        <w:r w:rsidRPr="002E03BC">
          <w:rPr>
            <w:rStyle w:val="Lienhypertexte"/>
            <w:noProof/>
          </w:rPr>
          <w:t>2.2</w:t>
        </w:r>
        <w:r>
          <w:rPr>
            <w:rFonts w:asciiTheme="minorHAnsi" w:eastAsiaTheme="minorEastAsia" w:hAnsiTheme="minorHAnsi" w:cstheme="minorBidi"/>
            <w:smallCaps w:val="0"/>
            <w:noProof/>
            <w:sz w:val="24"/>
            <w:szCs w:val="24"/>
            <w:lang w:eastAsia="fr-FR"/>
          </w:rPr>
          <w:tab/>
        </w:r>
        <w:r w:rsidRPr="002E03BC">
          <w:rPr>
            <w:rStyle w:val="Lienhypertexte"/>
            <w:noProof/>
          </w:rPr>
          <w:t>État de l’art</w:t>
        </w:r>
        <w:r>
          <w:rPr>
            <w:noProof/>
            <w:webHidden/>
          </w:rPr>
          <w:tab/>
        </w:r>
        <w:r>
          <w:rPr>
            <w:noProof/>
            <w:webHidden/>
          </w:rPr>
          <w:fldChar w:fldCharType="begin"/>
        </w:r>
        <w:r>
          <w:rPr>
            <w:noProof/>
            <w:webHidden/>
          </w:rPr>
          <w:instrText xml:space="preserve"> PAGEREF _Toc61287685 \h </w:instrText>
        </w:r>
        <w:r>
          <w:rPr>
            <w:noProof/>
            <w:webHidden/>
          </w:rPr>
        </w:r>
        <w:r>
          <w:rPr>
            <w:noProof/>
            <w:webHidden/>
          </w:rPr>
          <w:fldChar w:fldCharType="separate"/>
        </w:r>
        <w:r w:rsidR="00CC06CF">
          <w:rPr>
            <w:noProof/>
            <w:webHidden/>
          </w:rPr>
          <w:t>4</w:t>
        </w:r>
        <w:r>
          <w:rPr>
            <w:noProof/>
            <w:webHidden/>
          </w:rPr>
          <w:fldChar w:fldCharType="end"/>
        </w:r>
      </w:hyperlink>
    </w:p>
    <w:p w:rsidR="003733DC" w:rsidRDefault="003733DC">
      <w:pPr>
        <w:pStyle w:val="TM2"/>
        <w:tabs>
          <w:tab w:val="left" w:pos="1200"/>
          <w:tab w:val="right" w:leader="dot" w:pos="9056"/>
        </w:tabs>
        <w:rPr>
          <w:rFonts w:asciiTheme="minorHAnsi" w:eastAsiaTheme="minorEastAsia" w:hAnsiTheme="minorHAnsi" w:cstheme="minorBidi"/>
          <w:smallCaps w:val="0"/>
          <w:noProof/>
          <w:sz w:val="24"/>
          <w:szCs w:val="24"/>
          <w:lang w:eastAsia="fr-FR"/>
        </w:rPr>
      </w:pPr>
      <w:hyperlink w:anchor="_Toc61287686" w:history="1">
        <w:r w:rsidRPr="002E03BC">
          <w:rPr>
            <w:rStyle w:val="Lienhypertexte"/>
            <w:noProof/>
          </w:rPr>
          <w:t>2.3</w:t>
        </w:r>
        <w:r>
          <w:rPr>
            <w:rFonts w:asciiTheme="minorHAnsi" w:eastAsiaTheme="minorEastAsia" w:hAnsiTheme="minorHAnsi" w:cstheme="minorBidi"/>
            <w:smallCaps w:val="0"/>
            <w:noProof/>
            <w:sz w:val="24"/>
            <w:szCs w:val="24"/>
            <w:lang w:eastAsia="fr-FR"/>
          </w:rPr>
          <w:tab/>
        </w:r>
        <w:r w:rsidRPr="002E03BC">
          <w:rPr>
            <w:rStyle w:val="Lienhypertexte"/>
            <w:noProof/>
          </w:rPr>
          <w:t>Originalité du projet</w:t>
        </w:r>
        <w:r>
          <w:rPr>
            <w:noProof/>
            <w:webHidden/>
          </w:rPr>
          <w:tab/>
        </w:r>
        <w:r>
          <w:rPr>
            <w:noProof/>
            <w:webHidden/>
          </w:rPr>
          <w:fldChar w:fldCharType="begin"/>
        </w:r>
        <w:r>
          <w:rPr>
            <w:noProof/>
            <w:webHidden/>
          </w:rPr>
          <w:instrText xml:space="preserve"> PAGEREF _Toc61287686 \h </w:instrText>
        </w:r>
        <w:r>
          <w:rPr>
            <w:noProof/>
            <w:webHidden/>
          </w:rPr>
        </w:r>
        <w:r>
          <w:rPr>
            <w:noProof/>
            <w:webHidden/>
          </w:rPr>
          <w:fldChar w:fldCharType="separate"/>
        </w:r>
        <w:r w:rsidR="00CC06CF">
          <w:rPr>
            <w:noProof/>
            <w:webHidden/>
          </w:rPr>
          <w:t>5</w:t>
        </w:r>
        <w:r>
          <w:rPr>
            <w:noProof/>
            <w:webHidden/>
          </w:rPr>
          <w:fldChar w:fldCharType="end"/>
        </w:r>
      </w:hyperlink>
    </w:p>
    <w:p w:rsidR="003733DC" w:rsidRDefault="003733DC">
      <w:pPr>
        <w:pStyle w:val="TM1"/>
        <w:tabs>
          <w:tab w:val="left" w:pos="960"/>
          <w:tab w:val="right" w:leader="dot" w:pos="9056"/>
        </w:tabs>
        <w:rPr>
          <w:rFonts w:asciiTheme="minorHAnsi" w:eastAsiaTheme="minorEastAsia" w:hAnsiTheme="minorHAnsi" w:cstheme="minorBidi"/>
          <w:b w:val="0"/>
          <w:bCs w:val="0"/>
          <w:caps w:val="0"/>
          <w:noProof/>
          <w:sz w:val="24"/>
          <w:szCs w:val="24"/>
          <w:lang w:eastAsia="fr-FR"/>
        </w:rPr>
      </w:pPr>
      <w:hyperlink w:anchor="_Toc61287687" w:history="1">
        <w:r w:rsidRPr="002E03BC">
          <w:rPr>
            <w:rStyle w:val="Lienhypertexte"/>
            <w:noProof/>
          </w:rPr>
          <w:t>3.</w:t>
        </w:r>
        <w:r>
          <w:rPr>
            <w:rFonts w:asciiTheme="minorHAnsi" w:eastAsiaTheme="minorEastAsia" w:hAnsiTheme="minorHAnsi" w:cstheme="minorBidi"/>
            <w:b w:val="0"/>
            <w:bCs w:val="0"/>
            <w:caps w:val="0"/>
            <w:noProof/>
            <w:sz w:val="24"/>
            <w:szCs w:val="24"/>
            <w:lang w:eastAsia="fr-FR"/>
          </w:rPr>
          <w:tab/>
        </w:r>
        <w:r w:rsidRPr="002E03BC">
          <w:rPr>
            <w:rStyle w:val="Lienhypertexte"/>
            <w:noProof/>
          </w:rPr>
          <w:t>Organisation et mise en œuvre du projet</w:t>
        </w:r>
        <w:r>
          <w:rPr>
            <w:noProof/>
            <w:webHidden/>
          </w:rPr>
          <w:tab/>
        </w:r>
        <w:r>
          <w:rPr>
            <w:noProof/>
            <w:webHidden/>
          </w:rPr>
          <w:fldChar w:fldCharType="begin"/>
        </w:r>
        <w:r>
          <w:rPr>
            <w:noProof/>
            <w:webHidden/>
          </w:rPr>
          <w:instrText xml:space="preserve"> PAGEREF _Toc61287687 \h </w:instrText>
        </w:r>
        <w:r>
          <w:rPr>
            <w:noProof/>
            <w:webHidden/>
          </w:rPr>
        </w:r>
        <w:r>
          <w:rPr>
            <w:noProof/>
            <w:webHidden/>
          </w:rPr>
          <w:fldChar w:fldCharType="separate"/>
        </w:r>
        <w:r w:rsidR="00CC06CF">
          <w:rPr>
            <w:noProof/>
            <w:webHidden/>
          </w:rPr>
          <w:t>5</w:t>
        </w:r>
        <w:r>
          <w:rPr>
            <w:noProof/>
            <w:webHidden/>
          </w:rPr>
          <w:fldChar w:fldCharType="end"/>
        </w:r>
      </w:hyperlink>
    </w:p>
    <w:p w:rsidR="003733DC" w:rsidRDefault="003733DC">
      <w:pPr>
        <w:pStyle w:val="TM2"/>
        <w:tabs>
          <w:tab w:val="left" w:pos="1200"/>
          <w:tab w:val="right" w:leader="dot" w:pos="9056"/>
        </w:tabs>
        <w:rPr>
          <w:rFonts w:asciiTheme="minorHAnsi" w:eastAsiaTheme="minorEastAsia" w:hAnsiTheme="minorHAnsi" w:cstheme="minorBidi"/>
          <w:smallCaps w:val="0"/>
          <w:noProof/>
          <w:sz w:val="24"/>
          <w:szCs w:val="24"/>
          <w:lang w:eastAsia="fr-FR"/>
        </w:rPr>
      </w:pPr>
      <w:hyperlink w:anchor="_Toc61287688" w:history="1">
        <w:r w:rsidRPr="002E03BC">
          <w:rPr>
            <w:rStyle w:val="Lienhypertexte"/>
            <w:noProof/>
          </w:rPr>
          <w:t>3.1</w:t>
        </w:r>
        <w:r>
          <w:rPr>
            <w:rFonts w:asciiTheme="minorHAnsi" w:eastAsiaTheme="minorEastAsia" w:hAnsiTheme="minorHAnsi" w:cstheme="minorBidi"/>
            <w:smallCaps w:val="0"/>
            <w:noProof/>
            <w:sz w:val="24"/>
            <w:szCs w:val="24"/>
            <w:lang w:eastAsia="fr-FR"/>
          </w:rPr>
          <w:tab/>
        </w:r>
        <w:r w:rsidRPr="002E03BC">
          <w:rPr>
            <w:rStyle w:val="Lienhypertexte"/>
            <w:noProof/>
          </w:rPr>
          <w:t>Méthodologie</w:t>
        </w:r>
        <w:r>
          <w:rPr>
            <w:noProof/>
            <w:webHidden/>
          </w:rPr>
          <w:tab/>
        </w:r>
        <w:r>
          <w:rPr>
            <w:noProof/>
            <w:webHidden/>
          </w:rPr>
          <w:fldChar w:fldCharType="begin"/>
        </w:r>
        <w:r>
          <w:rPr>
            <w:noProof/>
            <w:webHidden/>
          </w:rPr>
          <w:instrText xml:space="preserve"> PAGEREF _Toc61287688 \h </w:instrText>
        </w:r>
        <w:r>
          <w:rPr>
            <w:noProof/>
            <w:webHidden/>
          </w:rPr>
        </w:r>
        <w:r>
          <w:rPr>
            <w:noProof/>
            <w:webHidden/>
          </w:rPr>
          <w:fldChar w:fldCharType="separate"/>
        </w:r>
        <w:r w:rsidR="00CC06CF">
          <w:rPr>
            <w:noProof/>
            <w:webHidden/>
          </w:rPr>
          <w:t>5</w:t>
        </w:r>
        <w:r>
          <w:rPr>
            <w:noProof/>
            <w:webHidden/>
          </w:rPr>
          <w:fldChar w:fldCharType="end"/>
        </w:r>
      </w:hyperlink>
    </w:p>
    <w:p w:rsidR="003733DC" w:rsidRDefault="003733DC">
      <w:pPr>
        <w:pStyle w:val="TM2"/>
        <w:tabs>
          <w:tab w:val="left" w:pos="1200"/>
          <w:tab w:val="right" w:leader="dot" w:pos="9056"/>
        </w:tabs>
        <w:rPr>
          <w:rFonts w:asciiTheme="minorHAnsi" w:eastAsiaTheme="minorEastAsia" w:hAnsiTheme="minorHAnsi" w:cstheme="minorBidi"/>
          <w:smallCaps w:val="0"/>
          <w:noProof/>
          <w:sz w:val="24"/>
          <w:szCs w:val="24"/>
          <w:lang w:eastAsia="fr-FR"/>
        </w:rPr>
      </w:pPr>
      <w:hyperlink w:anchor="_Toc61287689" w:history="1">
        <w:r w:rsidRPr="002E03BC">
          <w:rPr>
            <w:rStyle w:val="Lienhypertexte"/>
            <w:noProof/>
          </w:rPr>
          <w:t>3.2</w:t>
        </w:r>
        <w:r>
          <w:rPr>
            <w:rFonts w:asciiTheme="minorHAnsi" w:eastAsiaTheme="minorEastAsia" w:hAnsiTheme="minorHAnsi" w:cstheme="minorBidi"/>
            <w:smallCaps w:val="0"/>
            <w:noProof/>
            <w:sz w:val="24"/>
            <w:szCs w:val="24"/>
            <w:lang w:eastAsia="fr-FR"/>
          </w:rPr>
          <w:tab/>
        </w:r>
        <w:r w:rsidRPr="002E03BC">
          <w:rPr>
            <w:rStyle w:val="Lienhypertexte"/>
            <w:noProof/>
          </w:rPr>
          <w:t>Résultats attendus</w:t>
        </w:r>
        <w:r>
          <w:rPr>
            <w:noProof/>
            <w:webHidden/>
          </w:rPr>
          <w:tab/>
        </w:r>
        <w:r>
          <w:rPr>
            <w:noProof/>
            <w:webHidden/>
          </w:rPr>
          <w:fldChar w:fldCharType="begin"/>
        </w:r>
        <w:r>
          <w:rPr>
            <w:noProof/>
            <w:webHidden/>
          </w:rPr>
          <w:instrText xml:space="preserve"> PAGEREF _Toc61287689 \h </w:instrText>
        </w:r>
        <w:r>
          <w:rPr>
            <w:noProof/>
            <w:webHidden/>
          </w:rPr>
        </w:r>
        <w:r>
          <w:rPr>
            <w:noProof/>
            <w:webHidden/>
          </w:rPr>
          <w:fldChar w:fldCharType="separate"/>
        </w:r>
        <w:r w:rsidR="00CC06CF">
          <w:rPr>
            <w:noProof/>
            <w:webHidden/>
          </w:rPr>
          <w:t>7</w:t>
        </w:r>
        <w:r>
          <w:rPr>
            <w:noProof/>
            <w:webHidden/>
          </w:rPr>
          <w:fldChar w:fldCharType="end"/>
        </w:r>
      </w:hyperlink>
    </w:p>
    <w:p w:rsidR="003733DC" w:rsidRDefault="003733DC">
      <w:pPr>
        <w:pStyle w:val="TM2"/>
        <w:tabs>
          <w:tab w:val="left" w:pos="1200"/>
          <w:tab w:val="right" w:leader="dot" w:pos="9056"/>
        </w:tabs>
        <w:rPr>
          <w:rFonts w:asciiTheme="minorHAnsi" w:eastAsiaTheme="minorEastAsia" w:hAnsiTheme="minorHAnsi" w:cstheme="minorBidi"/>
          <w:smallCaps w:val="0"/>
          <w:noProof/>
          <w:sz w:val="24"/>
          <w:szCs w:val="24"/>
          <w:lang w:eastAsia="fr-FR"/>
        </w:rPr>
      </w:pPr>
      <w:hyperlink w:anchor="_Toc61287690" w:history="1">
        <w:r w:rsidRPr="002E03BC">
          <w:rPr>
            <w:rStyle w:val="Lienhypertexte"/>
            <w:noProof/>
          </w:rPr>
          <w:t>3.3</w:t>
        </w:r>
        <w:r>
          <w:rPr>
            <w:rFonts w:asciiTheme="minorHAnsi" w:eastAsiaTheme="minorEastAsia" w:hAnsiTheme="minorHAnsi" w:cstheme="minorBidi"/>
            <w:smallCaps w:val="0"/>
            <w:noProof/>
            <w:sz w:val="24"/>
            <w:szCs w:val="24"/>
            <w:lang w:eastAsia="fr-FR"/>
          </w:rPr>
          <w:tab/>
        </w:r>
        <w:r w:rsidRPr="002E03BC">
          <w:rPr>
            <w:rStyle w:val="Lienhypertexte"/>
            <w:noProof/>
          </w:rPr>
          <w:t>Impact du projet</w:t>
        </w:r>
        <w:r>
          <w:rPr>
            <w:noProof/>
            <w:webHidden/>
          </w:rPr>
          <w:tab/>
        </w:r>
        <w:r>
          <w:rPr>
            <w:noProof/>
            <w:webHidden/>
          </w:rPr>
          <w:fldChar w:fldCharType="begin"/>
        </w:r>
        <w:r>
          <w:rPr>
            <w:noProof/>
            <w:webHidden/>
          </w:rPr>
          <w:instrText xml:space="preserve"> PAGEREF _Toc61287690 \h </w:instrText>
        </w:r>
        <w:r>
          <w:rPr>
            <w:noProof/>
            <w:webHidden/>
          </w:rPr>
        </w:r>
        <w:r>
          <w:rPr>
            <w:noProof/>
            <w:webHidden/>
          </w:rPr>
          <w:fldChar w:fldCharType="separate"/>
        </w:r>
        <w:r w:rsidR="00CC06CF">
          <w:rPr>
            <w:noProof/>
            <w:webHidden/>
          </w:rPr>
          <w:t>8</w:t>
        </w:r>
        <w:r>
          <w:rPr>
            <w:noProof/>
            <w:webHidden/>
          </w:rPr>
          <w:fldChar w:fldCharType="end"/>
        </w:r>
      </w:hyperlink>
    </w:p>
    <w:p w:rsidR="003733DC" w:rsidRDefault="003733DC">
      <w:pPr>
        <w:pStyle w:val="TM1"/>
        <w:tabs>
          <w:tab w:val="left" w:pos="960"/>
          <w:tab w:val="right" w:leader="dot" w:pos="9056"/>
        </w:tabs>
        <w:rPr>
          <w:rFonts w:asciiTheme="minorHAnsi" w:eastAsiaTheme="minorEastAsia" w:hAnsiTheme="minorHAnsi" w:cstheme="minorBidi"/>
          <w:b w:val="0"/>
          <w:bCs w:val="0"/>
          <w:caps w:val="0"/>
          <w:noProof/>
          <w:sz w:val="24"/>
          <w:szCs w:val="24"/>
          <w:lang w:eastAsia="fr-FR"/>
        </w:rPr>
      </w:pPr>
      <w:hyperlink w:anchor="_Toc61287691" w:history="1">
        <w:r w:rsidRPr="002E03BC">
          <w:rPr>
            <w:rStyle w:val="Lienhypertexte"/>
            <w:noProof/>
          </w:rPr>
          <w:t>4.</w:t>
        </w:r>
        <w:r>
          <w:rPr>
            <w:rFonts w:asciiTheme="minorHAnsi" w:eastAsiaTheme="minorEastAsia" w:hAnsiTheme="minorHAnsi" w:cstheme="minorBidi"/>
            <w:b w:val="0"/>
            <w:bCs w:val="0"/>
            <w:caps w:val="0"/>
            <w:noProof/>
            <w:sz w:val="24"/>
            <w:szCs w:val="24"/>
            <w:lang w:eastAsia="fr-FR"/>
          </w:rPr>
          <w:tab/>
        </w:r>
        <w:r w:rsidRPr="002E03BC">
          <w:rPr>
            <w:rStyle w:val="Lienhypertexte"/>
            <w:noProof/>
          </w:rPr>
          <w:t>Calendrier et budget</w:t>
        </w:r>
        <w:r>
          <w:rPr>
            <w:noProof/>
            <w:webHidden/>
          </w:rPr>
          <w:tab/>
        </w:r>
        <w:r>
          <w:rPr>
            <w:noProof/>
            <w:webHidden/>
          </w:rPr>
          <w:fldChar w:fldCharType="begin"/>
        </w:r>
        <w:r>
          <w:rPr>
            <w:noProof/>
            <w:webHidden/>
          </w:rPr>
          <w:instrText xml:space="preserve"> PAGEREF _Toc61287691 \h </w:instrText>
        </w:r>
        <w:r>
          <w:rPr>
            <w:noProof/>
            <w:webHidden/>
          </w:rPr>
        </w:r>
        <w:r>
          <w:rPr>
            <w:noProof/>
            <w:webHidden/>
          </w:rPr>
          <w:fldChar w:fldCharType="separate"/>
        </w:r>
        <w:r w:rsidR="00CC06CF">
          <w:rPr>
            <w:noProof/>
            <w:webHidden/>
          </w:rPr>
          <w:t>9</w:t>
        </w:r>
        <w:r>
          <w:rPr>
            <w:noProof/>
            <w:webHidden/>
          </w:rPr>
          <w:fldChar w:fldCharType="end"/>
        </w:r>
      </w:hyperlink>
    </w:p>
    <w:p w:rsidR="003733DC" w:rsidRDefault="003733DC">
      <w:pPr>
        <w:pStyle w:val="TM2"/>
        <w:tabs>
          <w:tab w:val="left" w:pos="1200"/>
          <w:tab w:val="right" w:leader="dot" w:pos="9056"/>
        </w:tabs>
        <w:rPr>
          <w:rFonts w:asciiTheme="minorHAnsi" w:eastAsiaTheme="minorEastAsia" w:hAnsiTheme="minorHAnsi" w:cstheme="minorBidi"/>
          <w:smallCaps w:val="0"/>
          <w:noProof/>
          <w:sz w:val="24"/>
          <w:szCs w:val="24"/>
          <w:lang w:eastAsia="fr-FR"/>
        </w:rPr>
      </w:pPr>
      <w:hyperlink w:anchor="_Toc61287692" w:history="1">
        <w:r w:rsidRPr="002E03BC">
          <w:rPr>
            <w:rStyle w:val="Lienhypertexte"/>
            <w:noProof/>
          </w:rPr>
          <w:t>4.1</w:t>
        </w:r>
        <w:r>
          <w:rPr>
            <w:rFonts w:asciiTheme="minorHAnsi" w:eastAsiaTheme="minorEastAsia" w:hAnsiTheme="minorHAnsi" w:cstheme="minorBidi"/>
            <w:smallCaps w:val="0"/>
            <w:noProof/>
            <w:sz w:val="24"/>
            <w:szCs w:val="24"/>
            <w:lang w:eastAsia="fr-FR"/>
          </w:rPr>
          <w:tab/>
        </w:r>
        <w:r w:rsidRPr="002E03BC">
          <w:rPr>
            <w:rStyle w:val="Lienhypertexte"/>
            <w:noProof/>
          </w:rPr>
          <w:t>Calendrier</w:t>
        </w:r>
        <w:r>
          <w:rPr>
            <w:noProof/>
            <w:webHidden/>
          </w:rPr>
          <w:tab/>
        </w:r>
        <w:r>
          <w:rPr>
            <w:noProof/>
            <w:webHidden/>
          </w:rPr>
          <w:fldChar w:fldCharType="begin"/>
        </w:r>
        <w:r>
          <w:rPr>
            <w:noProof/>
            <w:webHidden/>
          </w:rPr>
          <w:instrText xml:space="preserve"> PAGEREF _Toc61287692 \h </w:instrText>
        </w:r>
        <w:r>
          <w:rPr>
            <w:noProof/>
            <w:webHidden/>
          </w:rPr>
        </w:r>
        <w:r>
          <w:rPr>
            <w:noProof/>
            <w:webHidden/>
          </w:rPr>
          <w:fldChar w:fldCharType="separate"/>
        </w:r>
        <w:r w:rsidR="00CC06CF">
          <w:rPr>
            <w:noProof/>
            <w:webHidden/>
          </w:rPr>
          <w:t>9</w:t>
        </w:r>
        <w:r>
          <w:rPr>
            <w:noProof/>
            <w:webHidden/>
          </w:rPr>
          <w:fldChar w:fldCharType="end"/>
        </w:r>
      </w:hyperlink>
    </w:p>
    <w:p w:rsidR="003733DC" w:rsidRDefault="003733DC">
      <w:pPr>
        <w:pStyle w:val="TM2"/>
        <w:tabs>
          <w:tab w:val="left" w:pos="1200"/>
          <w:tab w:val="right" w:leader="dot" w:pos="9056"/>
        </w:tabs>
        <w:rPr>
          <w:rFonts w:asciiTheme="minorHAnsi" w:eastAsiaTheme="minorEastAsia" w:hAnsiTheme="minorHAnsi" w:cstheme="minorBidi"/>
          <w:smallCaps w:val="0"/>
          <w:noProof/>
          <w:sz w:val="24"/>
          <w:szCs w:val="24"/>
          <w:lang w:eastAsia="fr-FR"/>
        </w:rPr>
      </w:pPr>
      <w:hyperlink w:anchor="_Toc61287693" w:history="1">
        <w:r w:rsidRPr="002E03BC">
          <w:rPr>
            <w:rStyle w:val="Lienhypertexte"/>
            <w:noProof/>
          </w:rPr>
          <w:t>4.2</w:t>
        </w:r>
        <w:r>
          <w:rPr>
            <w:rFonts w:asciiTheme="minorHAnsi" w:eastAsiaTheme="minorEastAsia" w:hAnsiTheme="minorHAnsi" w:cstheme="minorBidi"/>
            <w:smallCaps w:val="0"/>
            <w:noProof/>
            <w:sz w:val="24"/>
            <w:szCs w:val="24"/>
            <w:lang w:eastAsia="fr-FR"/>
          </w:rPr>
          <w:tab/>
        </w:r>
        <w:r w:rsidRPr="002E03BC">
          <w:rPr>
            <w:rStyle w:val="Lienhypertexte"/>
            <w:noProof/>
          </w:rPr>
          <w:t>Budget</w:t>
        </w:r>
        <w:r>
          <w:rPr>
            <w:noProof/>
            <w:webHidden/>
          </w:rPr>
          <w:tab/>
        </w:r>
        <w:r>
          <w:rPr>
            <w:noProof/>
            <w:webHidden/>
          </w:rPr>
          <w:fldChar w:fldCharType="begin"/>
        </w:r>
        <w:r>
          <w:rPr>
            <w:noProof/>
            <w:webHidden/>
          </w:rPr>
          <w:instrText xml:space="preserve"> PAGEREF _Toc61287693 \h </w:instrText>
        </w:r>
        <w:r>
          <w:rPr>
            <w:noProof/>
            <w:webHidden/>
          </w:rPr>
        </w:r>
        <w:r>
          <w:rPr>
            <w:noProof/>
            <w:webHidden/>
          </w:rPr>
          <w:fldChar w:fldCharType="separate"/>
        </w:r>
        <w:r w:rsidR="00CC06CF">
          <w:rPr>
            <w:noProof/>
            <w:webHidden/>
          </w:rPr>
          <w:t>9</w:t>
        </w:r>
        <w:r>
          <w:rPr>
            <w:noProof/>
            <w:webHidden/>
          </w:rPr>
          <w:fldChar w:fldCharType="end"/>
        </w:r>
      </w:hyperlink>
    </w:p>
    <w:p w:rsidR="003733DC" w:rsidRDefault="003733DC">
      <w:pPr>
        <w:pStyle w:val="TM1"/>
        <w:tabs>
          <w:tab w:val="left" w:pos="960"/>
          <w:tab w:val="right" w:leader="dot" w:pos="9056"/>
        </w:tabs>
        <w:rPr>
          <w:rFonts w:asciiTheme="minorHAnsi" w:eastAsiaTheme="minorEastAsia" w:hAnsiTheme="minorHAnsi" w:cstheme="minorBidi"/>
          <w:b w:val="0"/>
          <w:bCs w:val="0"/>
          <w:caps w:val="0"/>
          <w:noProof/>
          <w:sz w:val="24"/>
          <w:szCs w:val="24"/>
          <w:lang w:eastAsia="fr-FR"/>
        </w:rPr>
      </w:pPr>
      <w:hyperlink w:anchor="_Toc61287694" w:history="1">
        <w:r w:rsidRPr="002E03BC">
          <w:rPr>
            <w:rStyle w:val="Lienhypertexte"/>
            <w:noProof/>
          </w:rPr>
          <w:t>5.</w:t>
        </w:r>
        <w:r>
          <w:rPr>
            <w:rFonts w:asciiTheme="minorHAnsi" w:eastAsiaTheme="minorEastAsia" w:hAnsiTheme="minorHAnsi" w:cstheme="minorBidi"/>
            <w:b w:val="0"/>
            <w:bCs w:val="0"/>
            <w:caps w:val="0"/>
            <w:noProof/>
            <w:sz w:val="24"/>
            <w:szCs w:val="24"/>
            <w:lang w:eastAsia="fr-FR"/>
          </w:rPr>
          <w:tab/>
        </w:r>
        <w:r w:rsidRPr="002E03BC">
          <w:rPr>
            <w:rStyle w:val="Lienhypertexte"/>
            <w:noProof/>
          </w:rPr>
          <w:t>Références</w:t>
        </w:r>
        <w:r>
          <w:rPr>
            <w:noProof/>
            <w:webHidden/>
          </w:rPr>
          <w:tab/>
        </w:r>
        <w:r>
          <w:rPr>
            <w:noProof/>
            <w:webHidden/>
          </w:rPr>
          <w:fldChar w:fldCharType="begin"/>
        </w:r>
        <w:r>
          <w:rPr>
            <w:noProof/>
            <w:webHidden/>
          </w:rPr>
          <w:instrText xml:space="preserve"> PAGEREF _Toc61287694 \h </w:instrText>
        </w:r>
        <w:r>
          <w:rPr>
            <w:noProof/>
            <w:webHidden/>
          </w:rPr>
        </w:r>
        <w:r>
          <w:rPr>
            <w:noProof/>
            <w:webHidden/>
          </w:rPr>
          <w:fldChar w:fldCharType="separate"/>
        </w:r>
        <w:r w:rsidR="00CC06CF">
          <w:rPr>
            <w:noProof/>
            <w:webHidden/>
          </w:rPr>
          <w:t>10</w:t>
        </w:r>
        <w:r>
          <w:rPr>
            <w:noProof/>
            <w:webHidden/>
          </w:rPr>
          <w:fldChar w:fldCharType="end"/>
        </w:r>
      </w:hyperlink>
    </w:p>
    <w:p w:rsidR="002D5FE2" w:rsidRDefault="002B346E" w:rsidP="00947DE4">
      <w:pPr>
        <w:pStyle w:val="Titre"/>
      </w:pPr>
      <w:r>
        <w:fldChar w:fldCharType="end"/>
      </w:r>
      <w:r w:rsidR="002D5FE2">
        <w:br w:type="page"/>
      </w:r>
    </w:p>
    <w:p w:rsidR="000F1C41" w:rsidRDefault="002B346E" w:rsidP="00947DE4">
      <w:pPr>
        <w:pStyle w:val="Titre1"/>
      </w:pPr>
      <w:bookmarkStart w:id="0" w:name="_Toc61287682"/>
      <w:r w:rsidRPr="00D73B28">
        <w:lastRenderedPageBreak/>
        <w:t>Introduction</w:t>
      </w:r>
      <w:bookmarkEnd w:id="0"/>
    </w:p>
    <w:p w:rsidR="000E285C" w:rsidRPr="000E285C" w:rsidRDefault="000E285C" w:rsidP="000E285C"/>
    <w:p w:rsidR="003D22C6" w:rsidRDefault="000F1C41" w:rsidP="00947DE4">
      <w:r w:rsidRPr="00170DFF">
        <w:t>La maladie chronique</w:t>
      </w:r>
      <w:r w:rsidR="00170DFF">
        <w:t xml:space="preserve"> rénale (</w:t>
      </w:r>
      <w:proofErr w:type="spellStart"/>
      <w:r w:rsidR="00170DFF">
        <w:t>Chronic</w:t>
      </w:r>
      <w:proofErr w:type="spellEnd"/>
      <w:r w:rsidR="00170DFF">
        <w:t xml:space="preserve"> </w:t>
      </w:r>
      <w:proofErr w:type="spellStart"/>
      <w:r w:rsidR="00170DFF">
        <w:t>Kidney</w:t>
      </w:r>
      <w:proofErr w:type="spellEnd"/>
      <w:r w:rsidR="00170DFF">
        <w:t xml:space="preserve"> </w:t>
      </w:r>
      <w:proofErr w:type="spellStart"/>
      <w:r w:rsidR="00170DFF">
        <w:t>Disease</w:t>
      </w:r>
      <w:proofErr w:type="spellEnd"/>
      <w:r w:rsidR="00170DFF">
        <w:t xml:space="preserve"> en anglais, </w:t>
      </w:r>
      <w:r w:rsidR="00066136">
        <w:t>qui sera abrégée</w:t>
      </w:r>
      <w:r w:rsidR="00170DFF">
        <w:t xml:space="preserve"> en CK</w:t>
      </w:r>
      <w:r w:rsidR="0001275A">
        <w:t>D</w:t>
      </w:r>
      <w:r w:rsidR="00170DFF">
        <w:t xml:space="preserve"> par la suite) est une pathologie</w:t>
      </w:r>
      <w:r w:rsidR="00AE5431">
        <w:t xml:space="preserve"> portée par 697,5 millions de personnes en 2017, et ayant causé la mort de 1,2 millions de personnes la même année. Cette </w:t>
      </w:r>
      <w:r w:rsidR="00AE5431" w:rsidRPr="00D73B28">
        <w:t>maladie possède cependant</w:t>
      </w:r>
      <w:r w:rsidR="00AE5431">
        <w:t xml:space="preserve"> une répartition mondiale très disparate : en effet, si l’on reprend les chiffres de 2017, </w:t>
      </w:r>
      <w:r w:rsidR="00066136">
        <w:t>il est observable</w:t>
      </w:r>
      <w:r w:rsidR="00AE5431">
        <w:t xml:space="preserve"> que la Chine et l’Inde présentent </w:t>
      </w:r>
      <w:r w:rsidR="00AE5431" w:rsidRPr="00B7563D">
        <w:t>respectivement 132,3 et 115,1 millions</w:t>
      </w:r>
      <w:r w:rsidR="00B7563D" w:rsidRPr="00B7563D">
        <w:t xml:space="preserve"> d’individus touchés par la CKD, et que dix pays (Bangladesh, Brésil, Indonésie, Japon, Mexique, Nigeria, Pakistan, Russie, États-Unis et Vietnam)</w:t>
      </w:r>
      <w:r w:rsidR="00B7563D">
        <w:t xml:space="preserve"> en comportent plus de 10 millions.</w:t>
      </w:r>
    </w:p>
    <w:p w:rsidR="003D22C6" w:rsidRDefault="003D22C6" w:rsidP="00947DE4"/>
    <w:p w:rsidR="003D22C6" w:rsidRDefault="003D22C6" w:rsidP="00947DE4">
      <w:r>
        <w:rPr>
          <w:noProof/>
        </w:rPr>
        <w:drawing>
          <wp:inline distT="0" distB="0" distL="0" distR="0">
            <wp:extent cx="5050972" cy="3018072"/>
            <wp:effectExtent l="0" t="0" r="381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1.jpg"/>
                    <pic:cNvPicPr/>
                  </pic:nvPicPr>
                  <pic:blipFill rotWithShape="1">
                    <a:blip r:embed="rId8">
                      <a:extLst>
                        <a:ext uri="{28A0092B-C50C-407E-A947-70E740481C1C}">
                          <a14:useLocalDpi xmlns:a14="http://schemas.microsoft.com/office/drawing/2010/main" val="0"/>
                        </a:ext>
                      </a:extLst>
                    </a:blip>
                    <a:srcRect b="50420"/>
                    <a:stretch/>
                  </pic:blipFill>
                  <pic:spPr bwMode="auto">
                    <a:xfrm>
                      <a:off x="0" y="0"/>
                      <a:ext cx="5053998" cy="3019880"/>
                    </a:xfrm>
                    <a:prstGeom prst="rect">
                      <a:avLst/>
                    </a:prstGeom>
                    <a:ln>
                      <a:noFill/>
                    </a:ln>
                    <a:extLst>
                      <a:ext uri="{53640926-AAD7-44D8-BBD7-CCE9431645EC}">
                        <a14:shadowObscured xmlns:a14="http://schemas.microsoft.com/office/drawing/2010/main"/>
                      </a:ext>
                    </a:extLst>
                  </pic:spPr>
                </pic:pic>
              </a:graphicData>
            </a:graphic>
          </wp:inline>
        </w:drawing>
      </w:r>
    </w:p>
    <w:p w:rsidR="003D22C6" w:rsidRPr="00170DFF" w:rsidRDefault="003D22C6" w:rsidP="00947DE4">
      <w:pPr>
        <w:pStyle w:val="Lgende"/>
      </w:pPr>
      <w:r>
        <w:t xml:space="preserve">Figure </w:t>
      </w:r>
      <w:r w:rsidR="000F5A86">
        <w:fldChar w:fldCharType="begin"/>
      </w:r>
      <w:r w:rsidR="000F5A86">
        <w:instrText xml:space="preserve"> SEQ Figure \* ARABIC </w:instrText>
      </w:r>
      <w:r w:rsidR="000F5A86">
        <w:fldChar w:fldCharType="separate"/>
      </w:r>
      <w:r>
        <w:rPr>
          <w:noProof/>
        </w:rPr>
        <w:t>1</w:t>
      </w:r>
      <w:r w:rsidR="000F5A86">
        <w:rPr>
          <w:noProof/>
        </w:rPr>
        <w:fldChar w:fldCharType="end"/>
      </w:r>
      <w:r>
        <w:t xml:space="preserve"> : Prévalence mondiale de la CKD en 2016</w:t>
      </w:r>
      <w:r w:rsidR="00AE5431">
        <w:t>, source : [2]</w:t>
      </w:r>
    </w:p>
    <w:p w:rsidR="002B346E" w:rsidRDefault="002B346E" w:rsidP="00947DE4"/>
    <w:p w:rsidR="00E508E3" w:rsidRDefault="0001275A" w:rsidP="00166F8F">
      <w:r w:rsidRPr="0001275A">
        <w:t>Les CKD peuvent être sou</w:t>
      </w:r>
      <w:r>
        <w:t>vent liées à d’autres maladies ou problèmes de santé</w:t>
      </w:r>
      <w:r w:rsidR="007348EF">
        <w:rPr>
          <w:rStyle w:val="Appelnotedebasdep"/>
        </w:rPr>
        <w:footnoteReference w:id="1"/>
      </w:r>
      <w:r>
        <w:t xml:space="preserve">, créant une pression sur les reins. </w:t>
      </w:r>
      <w:r w:rsidRPr="00DC7631">
        <w:t xml:space="preserve">On peut citer notamment </w:t>
      </w:r>
      <w:r w:rsidR="007348EF" w:rsidRPr="00DC7631">
        <w:t>le diabète</w:t>
      </w:r>
      <w:r w:rsidR="00DC7631" w:rsidRPr="00DC7631">
        <w:t xml:space="preserve">, </w:t>
      </w:r>
      <w:r w:rsidR="00DC7631">
        <w:t>l’hypertension artérielle ou un taux élevé de cholestérol.</w:t>
      </w:r>
      <w:r w:rsidR="00790365">
        <w:t xml:space="preserve"> </w:t>
      </w:r>
      <w:r w:rsidR="00790365" w:rsidRPr="00790365">
        <w:t xml:space="preserve">On parle ici de </w:t>
      </w:r>
      <w:r w:rsidR="00E508E3">
        <w:t xml:space="preserve">CKD </w:t>
      </w:r>
      <w:r w:rsidR="00790365" w:rsidRPr="00790365">
        <w:t>à étiologie connue</w:t>
      </w:r>
      <w:r w:rsidR="00790365">
        <w:t xml:space="preserve">, </w:t>
      </w:r>
      <w:r w:rsidR="00E508E3">
        <w:t>mise en opposition aux CKD à étiologie inconnue (</w:t>
      </w:r>
      <w:proofErr w:type="spellStart"/>
      <w:r w:rsidR="00E508E3">
        <w:t>CKDu</w:t>
      </w:r>
      <w:proofErr w:type="spellEnd"/>
      <w:r w:rsidR="00E508E3">
        <w:t>).</w:t>
      </w:r>
    </w:p>
    <w:p w:rsidR="007D1214" w:rsidRPr="007D1214" w:rsidRDefault="007D1214" w:rsidP="00166F8F">
      <w:pPr>
        <w:rPr>
          <w:rFonts w:ascii="Times New Roman" w:eastAsia="Times New Roman" w:hAnsi="Times New Roman" w:cs="Times New Roman"/>
          <w:sz w:val="24"/>
          <w:szCs w:val="24"/>
          <w:lang w:eastAsia="fr-FR"/>
        </w:rPr>
      </w:pPr>
      <w:r>
        <w:t>5 stades de la CKD sont actuellement définis chez l’humain, en fonction d</w:t>
      </w:r>
      <w:r w:rsidRPr="007D1214">
        <w:t xml:space="preserve">u </w:t>
      </w:r>
      <w:r w:rsidRPr="007D1214">
        <w:rPr>
          <w:lang w:eastAsia="fr-FR"/>
        </w:rPr>
        <w:t>débit de filtration glomérulaire</w:t>
      </w:r>
      <w:r>
        <w:rPr>
          <w:lang w:eastAsia="fr-FR"/>
        </w:rPr>
        <w:t xml:space="preserve">. </w:t>
      </w:r>
      <w:r w:rsidR="00166F8F">
        <w:rPr>
          <w:lang w:eastAsia="fr-FR"/>
        </w:rPr>
        <w:t>Lorsque les patients possèdent un débit trop faible, il est nécessaire de les placer sous dialyse, ou d’envisager une transplantation rénale.</w:t>
      </w:r>
    </w:p>
    <w:p w:rsidR="007D1214" w:rsidRPr="00790365" w:rsidRDefault="007D1214" w:rsidP="00947DE4"/>
    <w:p w:rsidR="002D5FE2" w:rsidRPr="00180C6C" w:rsidRDefault="00FE0186" w:rsidP="00947DE4">
      <w:pPr>
        <w:pStyle w:val="Titre1"/>
      </w:pPr>
      <w:bookmarkStart w:id="1" w:name="_Toc61287683"/>
      <w:r w:rsidRPr="00180C6C">
        <w:lastRenderedPageBreak/>
        <w:t xml:space="preserve">Contexte, </w:t>
      </w:r>
      <w:r w:rsidR="0060556F" w:rsidRPr="00180C6C">
        <w:t>positionnement et objectif du projet</w:t>
      </w:r>
      <w:bookmarkEnd w:id="1"/>
    </w:p>
    <w:p w:rsidR="00547B51" w:rsidRDefault="00180C6C" w:rsidP="00947DE4">
      <w:pPr>
        <w:pStyle w:val="Titre2"/>
      </w:pPr>
      <w:bookmarkStart w:id="2" w:name="_Toc61287684"/>
      <w:r w:rsidRPr="00547B51">
        <w:t>Objectifs du projet</w:t>
      </w:r>
      <w:bookmarkEnd w:id="2"/>
    </w:p>
    <w:p w:rsidR="00363D90" w:rsidRPr="00363D90" w:rsidRDefault="00363D90" w:rsidP="00947DE4"/>
    <w:p w:rsidR="006263B9" w:rsidRDefault="006263B9" w:rsidP="00947DE4">
      <w:r>
        <w:t xml:space="preserve">L’objectif de ce projet est d’étudier l’impact de la CKD sur différentes composantes omiques de la souris à travers les prismes suivantes : métagénomique, </w:t>
      </w:r>
      <w:r w:rsidR="00E95184">
        <w:t>transcriptomique du rein et phénomique.</w:t>
      </w:r>
    </w:p>
    <w:p w:rsidR="00E95184" w:rsidRDefault="00E95184" w:rsidP="00947DE4">
      <w:r>
        <w:t>Cette  étude s’inscrit dans la continuité d’une étude précédente, publiée en 2020 [</w:t>
      </w:r>
      <w:r w:rsidR="00BF7DC8">
        <w:t>5</w:t>
      </w:r>
      <w:r>
        <w:t>], établissant une corrélation entre la composition de l’eau de puits situés dans différentes régions du Sri Lanka et la prévalence de CKD centralisée autour de ces puits. Celle-ci établissait notamment la composition du microbiome de ces puits, puisque des études précédentes montraient des différences significatives de la composition du microbiote intestinal</w:t>
      </w:r>
      <w:r w:rsidR="00E81131">
        <w:t xml:space="preserve"> </w:t>
      </w:r>
      <w:r w:rsidR="00066136">
        <w:t>entre des témoins sains et des patients atteints de CKD. L’objectif était donc de retrouver des compositions similaires entre l’eau de ces puits et le microbiote des patients.</w:t>
      </w:r>
    </w:p>
    <w:p w:rsidR="00066136" w:rsidRDefault="00066136" w:rsidP="00947DE4">
      <w:r>
        <w:t xml:space="preserve">Les analyses citées s’appuient sur des données prélevées chez les humains. Cependant, le projet présenté ici choisit de se reposer sur l’étude de trois groupes de souris. En effet, les données transcriptomiques semblent ici plus aisées </w:t>
      </w:r>
      <w:r w:rsidR="00363D90">
        <w:t>à recueillir chez un panel de souris que chez des humains. De plus, trois groupes de souris sont mentionnées précédemment. Le premier sera composé de souris témoins, le second de souris ayant subi un traitement provoquant la CKD, et le dernier de souris alimentées avec une eau ayant la même composition que celle indiquée dans l’étude au Sri Lanka citée précédemment.</w:t>
      </w:r>
    </w:p>
    <w:p w:rsidR="00E95184" w:rsidRPr="006263B9" w:rsidRDefault="00E95184" w:rsidP="00947DE4"/>
    <w:p w:rsidR="003733DC" w:rsidRDefault="00547B51" w:rsidP="003733DC">
      <w:pPr>
        <w:pStyle w:val="Titre2"/>
      </w:pPr>
      <w:bookmarkStart w:id="3" w:name="_Toc61287685"/>
      <w:r w:rsidRPr="00547B51">
        <w:t>État de l’art</w:t>
      </w:r>
      <w:bookmarkEnd w:id="3"/>
    </w:p>
    <w:p w:rsidR="003733DC" w:rsidRDefault="003733DC" w:rsidP="003733DC"/>
    <w:p w:rsidR="003733DC" w:rsidRDefault="003733DC" w:rsidP="003733DC">
      <w:r>
        <w:t xml:space="preserve">La caractérisation des OTU d’un microbiote est aujourd’hui un processus connu et courant dans la recherche, avec l’augmentation de la qualité des séquenceurs (on peut citer ceux fabriqués par Illumina) tant en termes de vitesse de séquençage qu’en fiabilité des données. </w:t>
      </w:r>
      <w:r w:rsidR="001700AD">
        <w:t>Ainsi, de nombreuses études ont pu mettre en évidence les différences significatives de la composition du microbiote chez des patients atteints de CKD et des patients sains. Les mêmes informations citées précédemment peuvent être reportées quant aux études transcriptomiques, mettant en lumière des différences significatives d’expression entre des patients CKD et témoins.</w:t>
      </w:r>
    </w:p>
    <w:p w:rsidR="001700AD" w:rsidRDefault="001700AD" w:rsidP="001700AD">
      <w:r>
        <w:t xml:space="preserve">Un article d’octobre 2020 s’est lui basé sur la relation entre la composition de l’eau consommée par des personnes et la présence de CKD parmi cette population. </w:t>
      </w:r>
      <w:r w:rsidRPr="001700AD">
        <w:t xml:space="preserve">Effectuée à </w:t>
      </w:r>
      <w:proofErr w:type="spellStart"/>
      <w:r w:rsidRPr="001700AD">
        <w:t>Medawachchiya</w:t>
      </w:r>
      <w:proofErr w:type="spellEnd"/>
      <w:r w:rsidRPr="001700AD">
        <w:t xml:space="preserve"> au Sri Lan</w:t>
      </w:r>
      <w:r>
        <w:t xml:space="preserve">ka, cette étude a ainsi mis en évidence la corrélation entre l’enrichissement en micro-organismes et en composés chimiques de l’eau avec la prévalence de CKD à l’intérieur de la population la consommant. Ainsi est posée l’interrogation de la causalité entre ces deux facteurs, et de la modification </w:t>
      </w:r>
      <w:r>
        <w:lastRenderedPageBreak/>
        <w:t>possible du microbiote des individus exposés à la consommation sur une longue durée d’une eau ne répondant pas aux normes sanitaires de l’OMS</w:t>
      </w:r>
      <w:r w:rsidR="00C93A99">
        <w:t>.</w:t>
      </w:r>
    </w:p>
    <w:p w:rsidR="00C93A99" w:rsidRDefault="00C93A99" w:rsidP="001700AD">
      <w:pPr>
        <w:rPr>
          <w:sz w:val="24"/>
          <w:szCs w:val="24"/>
        </w:rPr>
      </w:pPr>
      <w:r>
        <w:rPr>
          <w:sz w:val="24"/>
          <w:szCs w:val="24"/>
        </w:rPr>
        <w:t>Le projet présenté se base sur une étude multi-omiques appliquée à des souris ayant subi un traitement provoquant la CKD chez ses organismes. De nombreuses études sur la CKD utilisent des modèles murins et proposent différentes solutions pour induire la maladie chez ces souris. Ici, on choisira de reprendre un protocole déjà proposé par un article induisant la CKD avec une alimentation dont la composition en nutriments a été modifiée.</w:t>
      </w:r>
    </w:p>
    <w:p w:rsidR="00C93A99" w:rsidRPr="001700AD" w:rsidRDefault="00C93A99" w:rsidP="001700AD">
      <w:pPr>
        <w:rPr>
          <w:sz w:val="24"/>
          <w:szCs w:val="24"/>
        </w:rPr>
      </w:pPr>
      <w:r>
        <w:rPr>
          <w:sz w:val="24"/>
          <w:szCs w:val="24"/>
        </w:rPr>
        <w:t xml:space="preserve">Enfin, l’analyse multi-omiques sera réalisée avec un package R nommé </w:t>
      </w:r>
      <w:proofErr w:type="spellStart"/>
      <w:r>
        <w:rPr>
          <w:sz w:val="24"/>
          <w:szCs w:val="24"/>
        </w:rPr>
        <w:t>mixOmics</w:t>
      </w:r>
      <w:proofErr w:type="spellEnd"/>
      <w:r w:rsidR="00CC06CF">
        <w:rPr>
          <w:sz w:val="24"/>
          <w:szCs w:val="24"/>
        </w:rPr>
        <w:t>, un projet collaboratif implémentant des fonctions liées à des méthodes multivariées, permettant</w:t>
      </w:r>
      <w:r w:rsidR="00CD35DD">
        <w:rPr>
          <w:sz w:val="24"/>
          <w:szCs w:val="24"/>
        </w:rPr>
        <w:t xml:space="preserve"> d’analyser plusieurs données omiques simultanément, et d’établir des indices de covariance permettant de mettre en évidence les relations entre différentes unités</w:t>
      </w:r>
      <w:r w:rsidR="00C751BE">
        <w:rPr>
          <w:sz w:val="24"/>
          <w:szCs w:val="24"/>
        </w:rPr>
        <w:t xml:space="preserve"> de plans dissimilaires.</w:t>
      </w:r>
    </w:p>
    <w:p w:rsidR="001700AD" w:rsidRPr="003733DC" w:rsidRDefault="001700AD" w:rsidP="003733DC"/>
    <w:p w:rsidR="00DF67AF" w:rsidRDefault="00547B51" w:rsidP="00947DE4">
      <w:pPr>
        <w:pStyle w:val="Titre2"/>
      </w:pPr>
      <w:bookmarkStart w:id="4" w:name="_Toc61287686"/>
      <w:r w:rsidRPr="00547B51">
        <w:t>Originalité du projet</w:t>
      </w:r>
      <w:bookmarkEnd w:id="4"/>
    </w:p>
    <w:p w:rsidR="00DF67AF" w:rsidRDefault="00DF67AF" w:rsidP="00947DE4"/>
    <w:p w:rsidR="00763942" w:rsidRDefault="00DF67AF" w:rsidP="00947DE4">
      <w:r>
        <w:t xml:space="preserve">L’originalité de ce projet est double. </w:t>
      </w:r>
      <w:r w:rsidR="00763942">
        <w:t>D’une part, l’objectif est d’approfondir l’impact de la consommation d’eau ne correspondant pas à certaines normes sanitaires sur le développement de la CKD. En effet, dans l’étude au Sri Lanka citée précédemment [</w:t>
      </w:r>
      <w:r w:rsidR="00BF7DC8">
        <w:t>5</w:t>
      </w:r>
      <w:r w:rsidR="00763942">
        <w:t>], la corrélation entre la présence des puits et le développement de CKD avait été établi</w:t>
      </w:r>
      <w:r w:rsidR="003733DC">
        <w:t>e</w:t>
      </w:r>
      <w:r w:rsidR="00763942">
        <w:t>. Ce projet cherchera donc à cibler l’impact de cette consommation sur des souris, ce qui efface certains facteurs sociaux ou environnementaux supplémentaires.</w:t>
      </w:r>
    </w:p>
    <w:p w:rsidR="00BF7DC8" w:rsidRDefault="00763942" w:rsidP="00947DE4">
      <w:r>
        <w:t xml:space="preserve">De plus, le second objectif est d’apporter sur la CKD un point de vue multi-omiques, </w:t>
      </w:r>
      <w:r w:rsidR="00BF7DC8">
        <w:t>pour aller au-delà des précédentes études se concentrant principalement sur une composante simple omique. Il est alors permis d’avoir une vision plus globale sur la problématique, avec potentiellement une analyse de la covariance entre les différentes composantes, et la compréhension plus avancée de la maladie.</w:t>
      </w:r>
    </w:p>
    <w:p w:rsidR="002B346E" w:rsidRDefault="002B346E" w:rsidP="00947DE4">
      <w:pPr>
        <w:pStyle w:val="Titre1"/>
      </w:pPr>
      <w:bookmarkStart w:id="5" w:name="_Toc61287687"/>
      <w:r w:rsidRPr="002B346E">
        <w:t>Organisation et mise en œuvre du projet</w:t>
      </w:r>
      <w:bookmarkEnd w:id="5"/>
    </w:p>
    <w:p w:rsidR="00547B51" w:rsidRDefault="00547B51" w:rsidP="00947DE4">
      <w:pPr>
        <w:pStyle w:val="Titre2"/>
      </w:pPr>
      <w:bookmarkStart w:id="6" w:name="_Toc61287688"/>
      <w:r>
        <w:t>Méthodologie</w:t>
      </w:r>
      <w:bookmarkEnd w:id="6"/>
    </w:p>
    <w:p w:rsidR="00CB4966" w:rsidRPr="00CB4966" w:rsidRDefault="00CB4966" w:rsidP="00947DE4"/>
    <w:p w:rsidR="00BF7DC8" w:rsidRDefault="00BF7DC8" w:rsidP="00947DE4">
      <w:r>
        <w:t>On choisit d’étudier 32 souris</w:t>
      </w:r>
      <w:r w:rsidR="0053793C">
        <w:t xml:space="preserve"> C57BL/6</w:t>
      </w:r>
      <w:r>
        <w:t xml:space="preserve"> pour chaque groupe, pour un total de 96 souris</w:t>
      </w:r>
      <w:r w:rsidR="00192919">
        <w:t>.</w:t>
      </w:r>
      <w:r w:rsidR="000A1A38">
        <w:t xml:space="preserve"> Celles-ci seront isolées et leur régime alimentaire sera modifié à partir de la 8</w:t>
      </w:r>
      <w:r w:rsidR="000A1A38" w:rsidRPr="000A1A38">
        <w:rPr>
          <w:vertAlign w:val="superscript"/>
        </w:rPr>
        <w:t>ème</w:t>
      </w:r>
      <w:r w:rsidR="000A1A38">
        <w:t xml:space="preserve"> semaine de leur développement.</w:t>
      </w:r>
      <w:r w:rsidR="00192919">
        <w:t xml:space="preserve"> Toutes les souris sont isolées dans des cages individuelles pour éviter l’homogénéisation du microbiote lorsque plusieurs souris sont élevées dans une même cage. On prévoit donc des cages de 12 cm de hauteur et de 80 cm</w:t>
      </w:r>
      <w:r w:rsidR="00192919">
        <w:rPr>
          <w:vertAlign w:val="superscript"/>
        </w:rPr>
        <w:t>2</w:t>
      </w:r>
      <w:r w:rsidR="00192919">
        <w:t xml:space="preserve"> au sol au minimum, pour pouvoir </w:t>
      </w:r>
      <w:r w:rsidR="00391E80">
        <w:t>élever des souris de 30g maximum</w:t>
      </w:r>
      <w:r w:rsidR="005425B7">
        <w:t xml:space="preserve"> [19]</w:t>
      </w:r>
      <w:r w:rsidR="000A1A38">
        <w:t>.</w:t>
      </w:r>
    </w:p>
    <w:p w:rsidR="005425B7" w:rsidRDefault="00CA442F" w:rsidP="00947DE4">
      <w:r>
        <w:t xml:space="preserve">Les souris du groupe </w:t>
      </w:r>
      <w:r w:rsidR="000A1A38">
        <w:t>1 seront nourries avec un régime et une eau standard</w:t>
      </w:r>
      <w:r w:rsidR="007D0BE2">
        <w:t xml:space="preserve"> (témoin)</w:t>
      </w:r>
      <w:r w:rsidR="000A1A38">
        <w:t>. Celle</w:t>
      </w:r>
      <w:r w:rsidR="00E96F45">
        <w:t>s</w:t>
      </w:r>
      <w:r w:rsidR="000A1A38">
        <w:t xml:space="preserve"> du groupe 2 seront nourries avec un régime connu pour induire la CKD chez les souris [</w:t>
      </w:r>
      <w:r w:rsidR="00E96F45">
        <w:t>14</w:t>
      </w:r>
      <w:r w:rsidR="000A1A38">
        <w:t xml:space="preserve">] </w:t>
      </w:r>
      <w:r w:rsidR="007D0BE2">
        <w:t xml:space="preserve">comportant notamment </w:t>
      </w:r>
      <w:r w:rsidR="00E96F45">
        <w:t xml:space="preserve">0.2% </w:t>
      </w:r>
      <w:r w:rsidR="007D0BE2">
        <w:t>d’</w:t>
      </w:r>
      <w:r w:rsidR="00E96F45">
        <w:t>adénin</w:t>
      </w:r>
      <w:r w:rsidR="007D0BE2">
        <w:t>e et</w:t>
      </w:r>
      <w:r w:rsidR="00E96F45">
        <w:t xml:space="preserve"> 0.8% </w:t>
      </w:r>
      <w:r w:rsidR="007D0BE2">
        <w:t xml:space="preserve">de </w:t>
      </w:r>
      <w:r w:rsidR="00E96F45">
        <w:lastRenderedPageBreak/>
        <w:t>phosphore</w:t>
      </w:r>
      <w:r w:rsidR="007D0BE2">
        <w:t xml:space="preserve"> (</w:t>
      </w:r>
      <w:proofErr w:type="spellStart"/>
      <w:r w:rsidR="007D0BE2">
        <w:t>CKDi</w:t>
      </w:r>
      <w:proofErr w:type="spellEnd"/>
      <w:r w:rsidR="007D0BE2">
        <w:t xml:space="preserve"> pour CKD induit)</w:t>
      </w:r>
      <w:r w:rsidR="00E96F45">
        <w:t>. Enfin, le groupe 3 nécessitera le même régime alimentaire que les souris du groupe 1, mais l’eau qui lui sera attribuée aura une composition modifiée et similaire à celle</w:t>
      </w:r>
      <w:r w:rsidR="005425B7">
        <w:t xml:space="preserve"> prélevée lors de l’étude au Sri Lanka [5]</w:t>
      </w:r>
      <w:r w:rsidR="007D0BE2">
        <w:t xml:space="preserve"> (</w:t>
      </w:r>
      <w:proofErr w:type="spellStart"/>
      <w:r w:rsidR="007D0BE2">
        <w:t>CKDh</w:t>
      </w:r>
      <w:proofErr w:type="spellEnd"/>
      <w:r w:rsidR="007D0BE2">
        <w:t xml:space="preserve"> pour CKD hypothétique)</w:t>
      </w:r>
      <w:r w:rsidR="005425B7">
        <w:t>. On notera un taux de fluor élevé, ainsi que la présence des gen</w:t>
      </w:r>
      <w:r w:rsidR="005425B7" w:rsidRPr="005425B7">
        <w:t xml:space="preserve">res </w:t>
      </w:r>
      <w:proofErr w:type="spellStart"/>
      <w:r w:rsidR="005425B7" w:rsidRPr="005425B7">
        <w:rPr>
          <w:i/>
        </w:rPr>
        <w:t>Leptospira</w:t>
      </w:r>
      <w:proofErr w:type="spellEnd"/>
      <w:r w:rsidR="005425B7">
        <w:t xml:space="preserve">, </w:t>
      </w:r>
      <w:proofErr w:type="spellStart"/>
      <w:r w:rsidR="005425B7" w:rsidRPr="005425B7">
        <w:rPr>
          <w:i/>
        </w:rPr>
        <w:t>Microcystis</w:t>
      </w:r>
      <w:proofErr w:type="spellEnd"/>
      <w:r w:rsidR="005425B7">
        <w:rPr>
          <w:i/>
        </w:rPr>
        <w:t xml:space="preserve"> et </w:t>
      </w:r>
      <w:proofErr w:type="spellStart"/>
      <w:r w:rsidR="005425B7" w:rsidRPr="005425B7">
        <w:rPr>
          <w:i/>
        </w:rPr>
        <w:t>Turicibacte</w:t>
      </w:r>
      <w:r w:rsidR="005425B7">
        <w:rPr>
          <w:i/>
        </w:rPr>
        <w:t>r</w:t>
      </w:r>
      <w:proofErr w:type="spellEnd"/>
      <w:r w:rsidR="005425B7">
        <w:t>.</w:t>
      </w:r>
    </w:p>
    <w:p w:rsidR="005425B7" w:rsidRDefault="005425B7" w:rsidP="00947DE4">
      <w:r>
        <w:t>Dans un premier temps, les laboratoires présents sur place seront contactés pour envisager la congélation et l’envoi d’échantillons de ces puits. Étant donné le manque d’informations quant à cette possibilité, est envisagée en priorité la solution de reproduire en laboratoire l’enrichissement de l’eau selon les niveaux déterminés dans le tableau 1.</w:t>
      </w:r>
    </w:p>
    <w:p w:rsidR="005425B7" w:rsidRDefault="005425B7" w:rsidP="00947DE4">
      <w:r w:rsidRPr="00947DE4">
        <w:t>Les souris seront élevées pendant</w:t>
      </w:r>
      <w:r>
        <w:t xml:space="preserve"> </w:t>
      </w:r>
      <w:r w:rsidR="0053793C">
        <w:t>20 semaines. Au dernier jour, leur poids,  taille et une mesure du débit de filtration glomérulaire sont relevés. Les sels sont également relevés pour analyse du microbiote intestinal</w:t>
      </w:r>
      <w:r w:rsidR="00A038ED">
        <w:t>. Les souris sont ensuite sacrifiées pour les études transcriptomiques du rein (extraction des ARNm à partir du rein).</w:t>
      </w:r>
    </w:p>
    <w:p w:rsidR="00E96F45" w:rsidRDefault="00A038ED" w:rsidP="00947DE4">
      <w:r>
        <w:t>Il est ensuite nécessaire d’effectuer un séquençage 16S pour déterminer une table d’OTU</w:t>
      </w:r>
      <w:r w:rsidR="00F572F2">
        <w:t xml:space="preserve"> pour chaque souris, ainsi qu’un séquençage des ARNm du rein pour établir le niveau d’expression des transcrits. On prévoit environ 110 échantillons pour le séquençage 16S et le séquençage des ARNm (on prévoit une marge d’erreur possible sur les échantillons). La longueur de </w:t>
      </w:r>
      <w:proofErr w:type="spellStart"/>
      <w:r w:rsidR="00F572F2">
        <w:t>read</w:t>
      </w:r>
      <w:proofErr w:type="spellEnd"/>
      <w:r w:rsidR="00F572F2">
        <w:t xml:space="preserve"> est estimée à 150 paires de bases, en format </w:t>
      </w:r>
      <w:proofErr w:type="spellStart"/>
      <w:r w:rsidR="00F572F2">
        <w:t>paired</w:t>
      </w:r>
      <w:proofErr w:type="spellEnd"/>
      <w:r w:rsidR="00F572F2">
        <w:t>-end, et avec une profondeur de 30-50 millions pour la métagénomique et environ 5 millions pour la transcriptomique.</w:t>
      </w:r>
    </w:p>
    <w:p w:rsidR="00F572F2" w:rsidRDefault="00F572F2" w:rsidP="00947DE4"/>
    <w:p w:rsidR="00E96F45" w:rsidRPr="005425B7" w:rsidRDefault="00E96F45" w:rsidP="00947DE4">
      <w:pPr>
        <w:pStyle w:val="Lgende"/>
      </w:pPr>
      <w:r w:rsidRPr="005425B7">
        <w:t xml:space="preserve">Tableau </w:t>
      </w:r>
      <w:r w:rsidRPr="005425B7">
        <w:fldChar w:fldCharType="begin"/>
      </w:r>
      <w:r w:rsidRPr="005425B7">
        <w:instrText xml:space="preserve"> SEQ Tableau \* ARABIC </w:instrText>
      </w:r>
      <w:r w:rsidRPr="005425B7">
        <w:fldChar w:fldCharType="separate"/>
      </w:r>
      <w:r w:rsidR="00C73B61">
        <w:rPr>
          <w:noProof/>
        </w:rPr>
        <w:t>1</w:t>
      </w:r>
      <w:r w:rsidRPr="005425B7">
        <w:fldChar w:fldCharType="end"/>
      </w:r>
      <w:r w:rsidRPr="005425B7">
        <w:t xml:space="preserve"> : Tableaux résumant la composition</w:t>
      </w:r>
      <w:r w:rsidR="005425B7" w:rsidRPr="005425B7">
        <w:t xml:space="preserve"> chimique et du microbiome</w:t>
      </w:r>
      <w:r w:rsidRPr="005425B7">
        <w:t xml:space="preserve"> de l'eau </w:t>
      </w:r>
      <w:r w:rsidR="005425B7" w:rsidRPr="005425B7">
        <w:t>prélevée</w:t>
      </w:r>
      <w:r w:rsidRPr="005425B7">
        <w:t xml:space="preserve"> lors de l'étude au Sri Lanka en 2020 [5]</w:t>
      </w:r>
      <w:r w:rsidR="005425B7">
        <w:t>, tirés de ce même article</w:t>
      </w:r>
    </w:p>
    <w:tbl>
      <w:tblPr>
        <w:tblStyle w:val="Grilledutableau"/>
        <w:tblW w:w="0" w:type="auto"/>
        <w:tblLook w:val="04A0" w:firstRow="1" w:lastRow="0" w:firstColumn="1" w:lastColumn="0" w:noHBand="0" w:noVBand="1"/>
      </w:tblPr>
      <w:tblGrid>
        <w:gridCol w:w="9056"/>
      </w:tblGrid>
      <w:tr w:rsidR="00E96F45" w:rsidTr="00E96F45">
        <w:tc>
          <w:tcPr>
            <w:tcW w:w="9056" w:type="dxa"/>
          </w:tcPr>
          <w:p w:rsidR="00E96F45" w:rsidRDefault="00E96F45" w:rsidP="00947DE4">
            <w:r>
              <w:rPr>
                <w:noProof/>
              </w:rPr>
              <w:drawing>
                <wp:inline distT="0" distB="0" distL="0" distR="0" wp14:anchorId="19CD88BE" wp14:editId="7D038EBA">
                  <wp:extent cx="4545874" cy="327828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1-01-11 à 12.05.40.png"/>
                          <pic:cNvPicPr/>
                        </pic:nvPicPr>
                        <pic:blipFill>
                          <a:blip r:embed="rId9">
                            <a:extLst>
                              <a:ext uri="{28A0092B-C50C-407E-A947-70E740481C1C}">
                                <a14:useLocalDpi xmlns:a14="http://schemas.microsoft.com/office/drawing/2010/main" val="0"/>
                              </a:ext>
                            </a:extLst>
                          </a:blip>
                          <a:stretch>
                            <a:fillRect/>
                          </a:stretch>
                        </pic:blipFill>
                        <pic:spPr>
                          <a:xfrm>
                            <a:off x="0" y="0"/>
                            <a:ext cx="4627273" cy="3336986"/>
                          </a:xfrm>
                          <a:prstGeom prst="rect">
                            <a:avLst/>
                          </a:prstGeom>
                        </pic:spPr>
                      </pic:pic>
                    </a:graphicData>
                  </a:graphic>
                </wp:inline>
              </w:drawing>
            </w:r>
          </w:p>
        </w:tc>
      </w:tr>
      <w:tr w:rsidR="00E96F45" w:rsidTr="00E96F45">
        <w:tc>
          <w:tcPr>
            <w:tcW w:w="9056" w:type="dxa"/>
          </w:tcPr>
          <w:p w:rsidR="00E96F45" w:rsidRDefault="00E96F45" w:rsidP="00947DE4">
            <w:r>
              <w:rPr>
                <w:noProof/>
              </w:rPr>
              <w:lastRenderedPageBreak/>
              <w:drawing>
                <wp:inline distT="0" distB="0" distL="0" distR="0" wp14:anchorId="7AD1E25B" wp14:editId="60E5ADAD">
                  <wp:extent cx="4803861" cy="24819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1-01-11 à 12.07.45.png"/>
                          <pic:cNvPicPr/>
                        </pic:nvPicPr>
                        <pic:blipFill>
                          <a:blip r:embed="rId10">
                            <a:extLst>
                              <a:ext uri="{28A0092B-C50C-407E-A947-70E740481C1C}">
                                <a14:useLocalDpi xmlns:a14="http://schemas.microsoft.com/office/drawing/2010/main" val="0"/>
                              </a:ext>
                            </a:extLst>
                          </a:blip>
                          <a:stretch>
                            <a:fillRect/>
                          </a:stretch>
                        </pic:blipFill>
                        <pic:spPr>
                          <a:xfrm>
                            <a:off x="0" y="0"/>
                            <a:ext cx="4852456" cy="2507050"/>
                          </a:xfrm>
                          <a:prstGeom prst="rect">
                            <a:avLst/>
                          </a:prstGeom>
                        </pic:spPr>
                      </pic:pic>
                    </a:graphicData>
                  </a:graphic>
                </wp:inline>
              </w:drawing>
            </w:r>
          </w:p>
        </w:tc>
      </w:tr>
    </w:tbl>
    <w:p w:rsidR="00E96F45" w:rsidRDefault="00E96F45" w:rsidP="00947DE4"/>
    <w:p w:rsidR="00F572F2" w:rsidRDefault="00F572F2" w:rsidP="00947DE4">
      <w:r>
        <w:t xml:space="preserve">Une fois les données prélevées, l’extraction des données de métagénomique sera effectuée via le pipeline </w:t>
      </w:r>
      <w:proofErr w:type="spellStart"/>
      <w:r>
        <w:t>qiime</w:t>
      </w:r>
      <w:proofErr w:type="spellEnd"/>
      <w:r>
        <w:t xml:space="preserve"> [21], pour déterminer notamment la table d’OTU, ainsi que les diversités alpha et béta. L’analyse en simple omique de ces données se basera donc sur ces résultats dans un premier temps</w:t>
      </w:r>
      <w:r w:rsidR="00727D66">
        <w:t>, ainsi que sur une analyse via test PERMANOVA.</w:t>
      </w:r>
    </w:p>
    <w:p w:rsidR="00727D66" w:rsidRDefault="00727D66" w:rsidP="00947DE4">
      <w:r>
        <w:t>Les analyses transcriptomiques seront également effectuées via ce test, mais également par détermination d’enrichissement selon les groupes et tests statistiques de comparaison selon le type de traitement des données.</w:t>
      </w:r>
    </w:p>
    <w:p w:rsidR="00CC06CF" w:rsidRDefault="00CC06CF" w:rsidP="00947DE4">
      <w:r>
        <w:t>Il est en dernier lieu proposé, sur les composantes simple-omiques, d’effectuer une analyse en composante principale sur les jeux de données pour permettre de comprendre la variance existant dans les modèles présentés.</w:t>
      </w:r>
    </w:p>
    <w:p w:rsidR="00727D66" w:rsidRDefault="00727D66" w:rsidP="00947DE4">
      <w:r>
        <w:t xml:space="preserve">Les analyses multi-omiques seront réalisées avec l’aide du package </w:t>
      </w:r>
      <w:proofErr w:type="spellStart"/>
      <w:r>
        <w:t>mixOmics</w:t>
      </w:r>
      <w:proofErr w:type="spellEnd"/>
      <w:r>
        <w:t xml:space="preserve">. Dans un premier temps, le test choisi est </w:t>
      </w:r>
      <w:r w:rsidR="00CB4966">
        <w:t>un test de "Projection on Latent Structures"</w:t>
      </w:r>
      <w:r>
        <w:t xml:space="preserve"> (PLS), qui permet de maximiser la covariance entre deux jeux de données</w:t>
      </w:r>
      <w:r w:rsidR="00CB4966">
        <w:t>, et ainsi étudier la covariance entre les niveaux d’expression des ARNm et les différents OTU établis.</w:t>
      </w:r>
    </w:p>
    <w:p w:rsidR="00CB4966" w:rsidRDefault="00CB4966" w:rsidP="00947DE4">
      <w:r>
        <w:t xml:space="preserve">Enfin, il peut aussi être intéressant de réaliser un test "PLS </w:t>
      </w:r>
      <w:proofErr w:type="spellStart"/>
      <w:r>
        <w:t>with</w:t>
      </w:r>
      <w:proofErr w:type="spellEnd"/>
      <w:r>
        <w:t xml:space="preserve"> Discriminant </w:t>
      </w:r>
      <w:proofErr w:type="spellStart"/>
      <w:r>
        <w:t>Analysis</w:t>
      </w:r>
      <w:proofErr w:type="spellEnd"/>
      <w:r>
        <w:t>" (PLS-DA), supervisés selon le débit de filtration calculé. Celui-ci est disponible en données quantitatives, mais pourrait être étudié en termes de données qualitatives, en séparant les données en différents groupes selon l’intervalle du débit (ce qui se rapprocherait d’une donnée qualitative "état du rein").</w:t>
      </w:r>
    </w:p>
    <w:p w:rsidR="00CB4966" w:rsidRPr="00192919" w:rsidRDefault="00CB4966" w:rsidP="00947DE4"/>
    <w:p w:rsidR="00547B51" w:rsidRDefault="00547B51" w:rsidP="00947DE4">
      <w:pPr>
        <w:pStyle w:val="Titre2"/>
      </w:pPr>
      <w:bookmarkStart w:id="7" w:name="_Toc61287689"/>
      <w:r>
        <w:t>Résultats attendus</w:t>
      </w:r>
      <w:bookmarkEnd w:id="7"/>
    </w:p>
    <w:p w:rsidR="00CB4966" w:rsidRDefault="00CB4966" w:rsidP="00947DE4"/>
    <w:p w:rsidR="006E48B2" w:rsidRDefault="00CB4966" w:rsidP="00947DE4">
      <w:r w:rsidRPr="00947DE4">
        <w:t xml:space="preserve">Concernant la composante </w:t>
      </w:r>
      <w:r w:rsidR="00947DE4" w:rsidRPr="00947DE4">
        <w:t>métagénomique</w:t>
      </w:r>
      <w:r>
        <w:t xml:space="preserve">, </w:t>
      </w:r>
      <w:r w:rsidR="007D0BE2">
        <w:t xml:space="preserve">il est attendu de retrouver des résultats similaires à ceux présentés lors de précédentes études, à savoir une différence significative de la composition du microbiote entre le groupe sain et le </w:t>
      </w:r>
      <w:r w:rsidR="007D0BE2">
        <w:lastRenderedPageBreak/>
        <w:t xml:space="preserve">groupe </w:t>
      </w:r>
      <w:proofErr w:type="spellStart"/>
      <w:r w:rsidR="007D0BE2">
        <w:t>CKDi</w:t>
      </w:r>
      <w:proofErr w:type="spellEnd"/>
      <w:r w:rsidR="007D0BE2">
        <w:t xml:space="preserve">. Cependant, à cela s’ajoute le groupe </w:t>
      </w:r>
      <w:proofErr w:type="spellStart"/>
      <w:r w:rsidR="007D0BE2">
        <w:t>CKDh</w:t>
      </w:r>
      <w:proofErr w:type="spellEnd"/>
      <w:r w:rsidR="007D0BE2">
        <w:t xml:space="preserve">. Il sera intéressant sur ce groupe d’étudier la similarité ou les différences notables du microbiote, puisque celui-ci n’a pas été détaillé lors de précédentes analyses.  </w:t>
      </w:r>
      <w:r w:rsidR="00947DE4">
        <w:t xml:space="preserve">L’hypothèse de départ est de retrouver un microbiote plus proche du groupe </w:t>
      </w:r>
      <w:proofErr w:type="spellStart"/>
      <w:r w:rsidR="00947DE4">
        <w:t>CKDi</w:t>
      </w:r>
      <w:proofErr w:type="spellEnd"/>
      <w:r w:rsidR="00947DE4">
        <w:t xml:space="preserve"> que le groupe témoin. </w:t>
      </w:r>
    </w:p>
    <w:p w:rsidR="00CB4966" w:rsidRDefault="00947DE4" w:rsidP="00947DE4">
      <w:r>
        <w:t xml:space="preserve">Les mêmes attentes sont présentes pour la composante transcriptomique. En effet, la dégradation du rein est attendue comme ayant un impact sur les données </w:t>
      </w:r>
      <w:r w:rsidR="006E48B2">
        <w:t xml:space="preserve">recueillies, une nouvelle fois comme vu dans des études antérieures, avec un rapprochement du groupe </w:t>
      </w:r>
      <w:proofErr w:type="spellStart"/>
      <w:r w:rsidR="006E48B2">
        <w:t>CKDh</w:t>
      </w:r>
      <w:proofErr w:type="spellEnd"/>
      <w:r w:rsidR="006E48B2">
        <w:t xml:space="preserve"> avec le groupe </w:t>
      </w:r>
      <w:proofErr w:type="spellStart"/>
      <w:r w:rsidR="006E48B2">
        <w:t>CKDi</w:t>
      </w:r>
      <w:proofErr w:type="spellEnd"/>
      <w:r w:rsidR="006E48B2">
        <w:t>.</w:t>
      </w:r>
    </w:p>
    <w:p w:rsidR="00947DE4" w:rsidRDefault="006E48B2" w:rsidP="006E48B2">
      <w:r>
        <w:t xml:space="preserve">Si ces résultats ne sont pas avérés, il sera alors nécessaire de se pencher en détail sur les données pour évaluer la distance existante entre celles-ci (on pourra notamment penser à des algorithmes de </w:t>
      </w:r>
      <w:proofErr w:type="spellStart"/>
      <w:r>
        <w:t>clustering</w:t>
      </w:r>
      <w:proofErr w:type="spellEnd"/>
      <w:r>
        <w:t xml:space="preserve">). En effet, la CKD étant une maladie complexe, il est tout à fait possible de retrouver une composition du microbiote et une expression des ARNm très différente entre les groupes </w:t>
      </w:r>
      <w:proofErr w:type="spellStart"/>
      <w:r>
        <w:t>CKDi</w:t>
      </w:r>
      <w:proofErr w:type="spellEnd"/>
      <w:r>
        <w:t xml:space="preserve"> et </w:t>
      </w:r>
      <w:proofErr w:type="spellStart"/>
      <w:r>
        <w:t>CKDh</w:t>
      </w:r>
      <w:proofErr w:type="spellEnd"/>
      <w:r>
        <w:t>. Il faudra donc orienter les analyses comme une comparaison de deux groupes par rapport au témoin dans un premier temps, pour rapprocher les deux groupes ayant subi un traitement particulier ensuite.</w:t>
      </w:r>
    </w:p>
    <w:p w:rsidR="006E48B2" w:rsidRDefault="00FE2D09" w:rsidP="006E48B2">
      <w:r>
        <w:t xml:space="preserve">Pour la partie multi-omique de ce projet, les analyses devront se concentrer sur les matrices de covariance calculées, pour évaluer notamment la présence de certains OTU par rapport au niveau d’expression des ARNm. Il est espéré d’observer </w:t>
      </w:r>
      <w:r w:rsidR="00957CDF">
        <w:t xml:space="preserve">la présence de certaines espèces bactériennes </w:t>
      </w:r>
      <w:r w:rsidR="00943955">
        <w:t>ayant des relations de covariance</w:t>
      </w:r>
      <w:r w:rsidR="00957CDF">
        <w:t xml:space="preserve"> avec la sur- ou sous-expression de certains ARNm. Si ces premières études peuvent s’avérer positives, il est proposé de cibler ces ARNm pour approfondir une étude fonctionnelle par exemple.</w:t>
      </w:r>
    </w:p>
    <w:p w:rsidR="00FE2D09" w:rsidRPr="00CB4966" w:rsidRDefault="00FE2D09" w:rsidP="006E48B2"/>
    <w:p w:rsidR="00957CDF" w:rsidRDefault="00547B51" w:rsidP="00957CDF">
      <w:pPr>
        <w:pStyle w:val="Titre2"/>
      </w:pPr>
      <w:bookmarkStart w:id="8" w:name="_Toc61287690"/>
      <w:r>
        <w:t>Impact du projet</w:t>
      </w:r>
      <w:bookmarkEnd w:id="8"/>
    </w:p>
    <w:p w:rsidR="00957CDF" w:rsidRDefault="00957CDF" w:rsidP="00957CDF"/>
    <w:p w:rsidR="00386842" w:rsidRDefault="00957CDF" w:rsidP="00957CDF">
      <w:r>
        <w:t xml:space="preserve">Le projet présenté ici a pour objectif d’obtenir une meilleure compréhension de la CKD, pour hypothétiquement approfondir des objectifs médicaux d’une part, et pour permettre d’accroître la connaissance vis-à-vis du microbiote et des relations que son évolution peut avoir avec d’autres composantes multi-omiques. En effet, une grande partie des approches effectuées sur la métagénomique ces dernières années se concentrent principalement sur cette composante uniquement. Le développement des outils d’analyse multi-omiques a permis à cette vision plus globale de prendre de l’importance dans le domaine de la recherche. Il est ainsi possible d’approfondir </w:t>
      </w:r>
      <w:r w:rsidR="00386842">
        <w:t>le champ des connaissances en étudiant de façon plus détaillée l’interaction que les différentes omiques peuvent établir entre elles.</w:t>
      </w:r>
    </w:p>
    <w:p w:rsidR="00957CDF" w:rsidRPr="00957CDF" w:rsidRDefault="00386842" w:rsidP="00957CDF">
      <w:r>
        <w:t xml:space="preserve">De plus, cette étude fait également suite à une précédente citée de nombreuses fois au cours de ce rapport. En effet, la connaissance de l’impact de la consommation d’eau polluée sur l’organisme pourra de surcroît être analysée. Il est évident nécessaire d’avoir du recul par rapport à cette étude et le projet proposé : la première mettait en </w:t>
      </w:r>
      <w:r>
        <w:lastRenderedPageBreak/>
        <w:t>évidence la corrélation entre la présence de puits contaminés et le développement de la CKD chez les humains, tandis que le second transpose ces contraintes chez la souris. Ainsi, l’objectif sera avant tout ici d’essayer de faire apparaître un impact significatif et quantifié de cette consommation d’eau uniquement sur le développement de cette pathologie, avec éventuellement une proposition de concentration sur d’autres zones où des relevés similaires pourraient être faits pour prévenir l’apparition de la CKD.</w:t>
      </w:r>
    </w:p>
    <w:p w:rsidR="002B346E" w:rsidRDefault="000F1C41" w:rsidP="00947DE4">
      <w:pPr>
        <w:pStyle w:val="Titre1"/>
      </w:pPr>
      <w:bookmarkStart w:id="9" w:name="_Toc61287691"/>
      <w:r>
        <w:t>Calendrier et b</w:t>
      </w:r>
      <w:r w:rsidR="002B346E">
        <w:t>udget</w:t>
      </w:r>
      <w:bookmarkEnd w:id="9"/>
    </w:p>
    <w:p w:rsidR="00547B51" w:rsidRDefault="00547B51" w:rsidP="00947DE4">
      <w:pPr>
        <w:pStyle w:val="Titre2"/>
      </w:pPr>
      <w:bookmarkStart w:id="10" w:name="_Toc61287692"/>
      <w:r>
        <w:t>Calendrier</w:t>
      </w:r>
      <w:bookmarkEnd w:id="10"/>
    </w:p>
    <w:p w:rsidR="00386842" w:rsidRDefault="00386842" w:rsidP="00386842"/>
    <w:p w:rsidR="000F5A86" w:rsidRPr="000F5A86" w:rsidRDefault="000F5A86" w:rsidP="000F5A86">
      <w:pPr>
        <w:pStyle w:val="Lgende"/>
        <w:keepNext/>
        <w:rPr>
          <w:sz w:val="22"/>
          <w:szCs w:val="22"/>
        </w:rPr>
      </w:pPr>
      <w:r w:rsidRPr="000F5A86">
        <w:rPr>
          <w:sz w:val="22"/>
          <w:szCs w:val="22"/>
        </w:rPr>
        <w:t xml:space="preserve">Tableau </w:t>
      </w:r>
      <w:r w:rsidRPr="000F5A86">
        <w:rPr>
          <w:sz w:val="22"/>
          <w:szCs w:val="22"/>
        </w:rPr>
        <w:fldChar w:fldCharType="begin"/>
      </w:r>
      <w:r w:rsidRPr="000F5A86">
        <w:rPr>
          <w:sz w:val="22"/>
          <w:szCs w:val="22"/>
        </w:rPr>
        <w:instrText xml:space="preserve"> SEQ Tableau \* ARABIC </w:instrText>
      </w:r>
      <w:r w:rsidRPr="000F5A86">
        <w:rPr>
          <w:sz w:val="22"/>
          <w:szCs w:val="22"/>
        </w:rPr>
        <w:fldChar w:fldCharType="separate"/>
      </w:r>
      <w:r w:rsidR="00C73B61">
        <w:rPr>
          <w:noProof/>
          <w:sz w:val="22"/>
          <w:szCs w:val="22"/>
        </w:rPr>
        <w:t>2</w:t>
      </w:r>
      <w:r w:rsidRPr="000F5A86">
        <w:rPr>
          <w:sz w:val="22"/>
          <w:szCs w:val="22"/>
        </w:rPr>
        <w:fldChar w:fldCharType="end"/>
      </w:r>
      <w:r w:rsidRPr="000F5A86">
        <w:rPr>
          <w:sz w:val="22"/>
          <w:szCs w:val="22"/>
        </w:rPr>
        <w:t xml:space="preserve"> : Calendrier prévisionnel des étapes au cours des différents semestres</w:t>
      </w:r>
    </w:p>
    <w:tbl>
      <w:tblPr>
        <w:tblStyle w:val="Tableausimple3"/>
        <w:tblW w:w="0" w:type="auto"/>
        <w:tblLook w:val="04A0" w:firstRow="1" w:lastRow="0" w:firstColumn="1" w:lastColumn="0" w:noHBand="0" w:noVBand="1"/>
      </w:tblPr>
      <w:tblGrid>
        <w:gridCol w:w="2081"/>
        <w:gridCol w:w="567"/>
        <w:gridCol w:w="566"/>
        <w:gridCol w:w="566"/>
        <w:gridCol w:w="566"/>
        <w:gridCol w:w="567"/>
        <w:gridCol w:w="567"/>
        <w:gridCol w:w="567"/>
        <w:gridCol w:w="567"/>
        <w:gridCol w:w="567"/>
        <w:gridCol w:w="625"/>
        <w:gridCol w:w="625"/>
        <w:gridCol w:w="625"/>
      </w:tblGrid>
      <w:tr w:rsidR="00386842" w:rsidTr="000F5A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0" w:type="dxa"/>
            <w:tcBorders>
              <w:top w:val="single" w:sz="4" w:space="0" w:color="auto"/>
              <w:left w:val="single" w:sz="4" w:space="0" w:color="auto"/>
            </w:tcBorders>
          </w:tcPr>
          <w:p w:rsidR="00386842" w:rsidRDefault="00386842" w:rsidP="000F5A86">
            <w:pPr>
              <w:ind w:firstLine="0"/>
              <w:jc w:val="center"/>
            </w:pPr>
          </w:p>
        </w:tc>
        <w:tc>
          <w:tcPr>
            <w:tcW w:w="567"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1</w:t>
            </w:r>
          </w:p>
        </w:tc>
        <w:tc>
          <w:tcPr>
            <w:tcW w:w="567"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2</w:t>
            </w:r>
          </w:p>
        </w:tc>
        <w:tc>
          <w:tcPr>
            <w:tcW w:w="567"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3</w:t>
            </w:r>
          </w:p>
        </w:tc>
        <w:tc>
          <w:tcPr>
            <w:tcW w:w="567"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4</w:t>
            </w:r>
          </w:p>
        </w:tc>
        <w:tc>
          <w:tcPr>
            <w:tcW w:w="568"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5</w:t>
            </w:r>
          </w:p>
        </w:tc>
        <w:tc>
          <w:tcPr>
            <w:tcW w:w="568"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6</w:t>
            </w:r>
          </w:p>
        </w:tc>
        <w:tc>
          <w:tcPr>
            <w:tcW w:w="568"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7</w:t>
            </w:r>
          </w:p>
        </w:tc>
        <w:tc>
          <w:tcPr>
            <w:tcW w:w="568"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8</w:t>
            </w:r>
          </w:p>
        </w:tc>
        <w:tc>
          <w:tcPr>
            <w:tcW w:w="568"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9</w:t>
            </w:r>
          </w:p>
        </w:tc>
        <w:tc>
          <w:tcPr>
            <w:tcW w:w="626"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10</w:t>
            </w:r>
          </w:p>
        </w:tc>
        <w:tc>
          <w:tcPr>
            <w:tcW w:w="626" w:type="dxa"/>
            <w:tcBorders>
              <w:top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11</w:t>
            </w:r>
          </w:p>
        </w:tc>
        <w:tc>
          <w:tcPr>
            <w:tcW w:w="626" w:type="dxa"/>
            <w:tcBorders>
              <w:top w:val="single" w:sz="4" w:space="0" w:color="auto"/>
              <w:right w:val="single" w:sz="4" w:space="0" w:color="auto"/>
            </w:tcBorders>
          </w:tcPr>
          <w:p w:rsidR="00386842" w:rsidRDefault="00386842" w:rsidP="000F5A86">
            <w:pPr>
              <w:ind w:firstLine="0"/>
              <w:jc w:val="center"/>
              <w:cnfStyle w:val="100000000000" w:firstRow="1" w:lastRow="0" w:firstColumn="0" w:lastColumn="0" w:oddVBand="0" w:evenVBand="0" w:oddHBand="0" w:evenHBand="0" w:firstRowFirstColumn="0" w:firstRowLastColumn="0" w:lastRowFirstColumn="0" w:lastRowLastColumn="0"/>
            </w:pPr>
            <w:r>
              <w:t>12</w:t>
            </w:r>
          </w:p>
        </w:tc>
      </w:tr>
      <w:tr w:rsidR="000F5A86" w:rsidTr="000F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left w:val="single" w:sz="4" w:space="0" w:color="auto"/>
            </w:tcBorders>
          </w:tcPr>
          <w:p w:rsidR="00386842" w:rsidRDefault="00386842" w:rsidP="000F5A86">
            <w:pPr>
              <w:ind w:firstLine="0"/>
              <w:jc w:val="center"/>
            </w:pPr>
            <w:r>
              <w:t>Élevage des rats</w:t>
            </w:r>
          </w:p>
        </w:tc>
        <w:tc>
          <w:tcPr>
            <w:tcW w:w="567" w:type="dxa"/>
            <w:shd w:val="clear" w:color="auto" w:fill="70AD47" w:themeFill="accent6"/>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70AD47" w:themeFill="accent6"/>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70AD47" w:themeFill="accent6"/>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7"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626"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626"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626" w:type="dxa"/>
            <w:tcBorders>
              <w:right w:val="single" w:sz="4" w:space="0" w:color="auto"/>
            </w:tcBorders>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r>
      <w:tr w:rsidR="000F5A86" w:rsidTr="000F5A86">
        <w:tc>
          <w:tcPr>
            <w:cnfStyle w:val="001000000000" w:firstRow="0" w:lastRow="0" w:firstColumn="1" w:lastColumn="0" w:oddVBand="0" w:evenVBand="0" w:oddHBand="0" w:evenHBand="0" w:firstRowFirstColumn="0" w:firstRowLastColumn="0" w:lastRowFirstColumn="0" w:lastRowLastColumn="0"/>
            <w:tcW w:w="2080" w:type="dxa"/>
            <w:tcBorders>
              <w:left w:val="single" w:sz="4" w:space="0" w:color="auto"/>
            </w:tcBorders>
          </w:tcPr>
          <w:p w:rsidR="00386842" w:rsidRDefault="00386842" w:rsidP="000F5A86">
            <w:pPr>
              <w:ind w:firstLine="0"/>
              <w:jc w:val="center"/>
            </w:pPr>
            <w:r>
              <w:t>Pr</w:t>
            </w:r>
            <w:r w:rsidR="000F5A86">
              <w:t>É</w:t>
            </w:r>
            <w:r>
              <w:t>l</w:t>
            </w:r>
            <w:r w:rsidR="000F5A86">
              <w:t>È</w:t>
            </w:r>
            <w:r>
              <w:t>vements + séquençage</w:t>
            </w:r>
          </w:p>
        </w:tc>
        <w:tc>
          <w:tcPr>
            <w:tcW w:w="567" w:type="dxa"/>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7" w:type="dxa"/>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FFD966" w:themeFill="accent4" w:themeFillTint="99"/>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FFD966" w:themeFill="accent4" w:themeFillTint="99"/>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shd w:val="clear" w:color="auto" w:fill="FFD966" w:themeFill="accent4" w:themeFillTint="99"/>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shd w:val="clear" w:color="auto" w:fill="FFD966" w:themeFill="accent4" w:themeFillTint="99"/>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626" w:type="dxa"/>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626" w:type="dxa"/>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626" w:type="dxa"/>
            <w:tcBorders>
              <w:right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r>
      <w:tr w:rsidR="000F5A86" w:rsidTr="000F5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Borders>
              <w:left w:val="single" w:sz="4" w:space="0" w:color="auto"/>
            </w:tcBorders>
          </w:tcPr>
          <w:p w:rsidR="00386842" w:rsidRDefault="00386842" w:rsidP="000F5A86">
            <w:pPr>
              <w:ind w:firstLine="0"/>
              <w:jc w:val="center"/>
            </w:pPr>
            <w:r>
              <w:t>Analyse des donn</w:t>
            </w:r>
            <w:r w:rsidR="000F5A86">
              <w:t>É</w:t>
            </w:r>
            <w:r>
              <w:t>es</w:t>
            </w:r>
          </w:p>
        </w:tc>
        <w:tc>
          <w:tcPr>
            <w:tcW w:w="567"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7"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7"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7"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shd w:val="clear" w:color="auto" w:fill="8EAADB" w:themeFill="accent1" w:themeFillTint="99"/>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shd w:val="clear" w:color="auto" w:fill="8EAADB" w:themeFill="accent1" w:themeFillTint="99"/>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shd w:val="clear" w:color="auto" w:fill="8EAADB" w:themeFill="accent1" w:themeFillTint="99"/>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568" w:type="dxa"/>
            <w:shd w:val="clear" w:color="auto" w:fill="8EAADB" w:themeFill="accent1" w:themeFillTint="99"/>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626" w:type="dxa"/>
            <w:shd w:val="clear" w:color="auto" w:fill="8EAADB" w:themeFill="accent1" w:themeFillTint="99"/>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626" w:type="dxa"/>
            <w:shd w:val="clear" w:color="auto" w:fill="8EAADB" w:themeFill="accent1" w:themeFillTint="99"/>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c>
          <w:tcPr>
            <w:tcW w:w="626" w:type="dxa"/>
            <w:tcBorders>
              <w:right w:val="single" w:sz="4" w:space="0" w:color="auto"/>
            </w:tcBorders>
          </w:tcPr>
          <w:p w:rsidR="00386842" w:rsidRDefault="00386842" w:rsidP="000F5A86">
            <w:pPr>
              <w:ind w:firstLine="0"/>
              <w:jc w:val="center"/>
              <w:cnfStyle w:val="000000100000" w:firstRow="0" w:lastRow="0" w:firstColumn="0" w:lastColumn="0" w:oddVBand="0" w:evenVBand="0" w:oddHBand="1" w:evenHBand="0" w:firstRowFirstColumn="0" w:firstRowLastColumn="0" w:lastRowFirstColumn="0" w:lastRowLastColumn="0"/>
            </w:pPr>
          </w:p>
        </w:tc>
      </w:tr>
      <w:tr w:rsidR="000F5A86" w:rsidTr="000F5A86">
        <w:trPr>
          <w:trHeight w:val="506"/>
        </w:trPr>
        <w:tc>
          <w:tcPr>
            <w:cnfStyle w:val="001000000000" w:firstRow="0" w:lastRow="0" w:firstColumn="1" w:lastColumn="0" w:oddVBand="0" w:evenVBand="0" w:oddHBand="0" w:evenHBand="0" w:firstRowFirstColumn="0" w:firstRowLastColumn="0" w:lastRowFirstColumn="0" w:lastRowLastColumn="0"/>
            <w:tcW w:w="2080" w:type="dxa"/>
            <w:tcBorders>
              <w:left w:val="single" w:sz="4" w:space="0" w:color="auto"/>
              <w:bottom w:val="single" w:sz="4" w:space="0" w:color="auto"/>
            </w:tcBorders>
          </w:tcPr>
          <w:p w:rsidR="00386842" w:rsidRDefault="00386842" w:rsidP="000F5A86">
            <w:pPr>
              <w:ind w:firstLine="0"/>
              <w:jc w:val="center"/>
            </w:pPr>
            <w:r>
              <w:t>R</w:t>
            </w:r>
            <w:r w:rsidR="000F5A86">
              <w:t>É</w:t>
            </w:r>
            <w:r>
              <w:t>sultats</w:t>
            </w:r>
          </w:p>
        </w:tc>
        <w:tc>
          <w:tcPr>
            <w:tcW w:w="567"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7"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7"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7"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568"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626" w:type="dxa"/>
            <w:tcBorders>
              <w:bottom w:val="single" w:sz="4" w:space="0" w:color="auto"/>
            </w:tcBorders>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626" w:type="dxa"/>
            <w:tcBorders>
              <w:bottom w:val="single" w:sz="4" w:space="0" w:color="auto"/>
            </w:tcBorders>
            <w:shd w:val="clear" w:color="auto" w:fill="ED7D31" w:themeFill="accent2"/>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c>
          <w:tcPr>
            <w:tcW w:w="626" w:type="dxa"/>
            <w:tcBorders>
              <w:bottom w:val="single" w:sz="4" w:space="0" w:color="auto"/>
              <w:right w:val="single" w:sz="4" w:space="0" w:color="auto"/>
            </w:tcBorders>
            <w:shd w:val="clear" w:color="auto" w:fill="ED7D31" w:themeFill="accent2"/>
          </w:tcPr>
          <w:p w:rsidR="00386842" w:rsidRDefault="00386842" w:rsidP="000F5A86">
            <w:pPr>
              <w:ind w:firstLine="0"/>
              <w:jc w:val="center"/>
              <w:cnfStyle w:val="000000000000" w:firstRow="0" w:lastRow="0" w:firstColumn="0" w:lastColumn="0" w:oddVBand="0" w:evenVBand="0" w:oddHBand="0" w:evenHBand="0" w:firstRowFirstColumn="0" w:firstRowLastColumn="0" w:lastRowFirstColumn="0" w:lastRowLastColumn="0"/>
            </w:pPr>
          </w:p>
        </w:tc>
      </w:tr>
    </w:tbl>
    <w:p w:rsidR="00386842" w:rsidRDefault="00386842" w:rsidP="00386842"/>
    <w:p w:rsidR="00386842" w:rsidRPr="00386842" w:rsidRDefault="00386842" w:rsidP="00386842"/>
    <w:p w:rsidR="00547B51" w:rsidRDefault="00547B51" w:rsidP="00947DE4">
      <w:pPr>
        <w:pStyle w:val="Titre2"/>
      </w:pPr>
      <w:bookmarkStart w:id="11" w:name="_Toc61287693"/>
      <w:r>
        <w:t>Budget</w:t>
      </w:r>
      <w:bookmarkEnd w:id="11"/>
    </w:p>
    <w:p w:rsidR="000F5A86" w:rsidRDefault="000F5A86" w:rsidP="000F5A86"/>
    <w:p w:rsidR="00860740" w:rsidRPr="00860740" w:rsidRDefault="00860740" w:rsidP="00860740">
      <w:pPr>
        <w:pStyle w:val="Lgende"/>
        <w:keepNext/>
        <w:rPr>
          <w:sz w:val="22"/>
          <w:szCs w:val="22"/>
        </w:rPr>
      </w:pPr>
      <w:r w:rsidRPr="00860740">
        <w:rPr>
          <w:sz w:val="22"/>
          <w:szCs w:val="22"/>
        </w:rPr>
        <w:t xml:space="preserve">Tableau </w:t>
      </w:r>
      <w:r w:rsidRPr="00860740">
        <w:rPr>
          <w:sz w:val="22"/>
          <w:szCs w:val="22"/>
        </w:rPr>
        <w:fldChar w:fldCharType="begin"/>
      </w:r>
      <w:r w:rsidRPr="00860740">
        <w:rPr>
          <w:sz w:val="22"/>
          <w:szCs w:val="22"/>
        </w:rPr>
        <w:instrText xml:space="preserve"> SEQ Tableau \* ARABIC </w:instrText>
      </w:r>
      <w:r w:rsidRPr="00860740">
        <w:rPr>
          <w:sz w:val="22"/>
          <w:szCs w:val="22"/>
        </w:rPr>
        <w:fldChar w:fldCharType="separate"/>
      </w:r>
      <w:r w:rsidR="00C73B61">
        <w:rPr>
          <w:noProof/>
          <w:sz w:val="22"/>
          <w:szCs w:val="22"/>
        </w:rPr>
        <w:t>3</w:t>
      </w:r>
      <w:r w:rsidRPr="00860740">
        <w:rPr>
          <w:sz w:val="22"/>
          <w:szCs w:val="22"/>
        </w:rPr>
        <w:fldChar w:fldCharType="end"/>
      </w:r>
      <w:r w:rsidRPr="00860740">
        <w:rPr>
          <w:sz w:val="22"/>
          <w:szCs w:val="22"/>
        </w:rPr>
        <w:t xml:space="preserve"> : Tableau récapitulatif du budget demandé </w:t>
      </w:r>
      <w:r w:rsidR="00C73B61" w:rsidRPr="00860740">
        <w:rPr>
          <w:sz w:val="22"/>
          <w:szCs w:val="22"/>
        </w:rPr>
        <w:t>en termes de</w:t>
      </w:r>
      <w:r w:rsidRPr="00860740">
        <w:rPr>
          <w:sz w:val="22"/>
          <w:szCs w:val="22"/>
        </w:rPr>
        <w:t xml:space="preserve"> personnel</w:t>
      </w:r>
    </w:p>
    <w:tbl>
      <w:tblPr>
        <w:tblStyle w:val="TableauGrille1Clair"/>
        <w:tblW w:w="0" w:type="auto"/>
        <w:tblLook w:val="04A0" w:firstRow="1" w:lastRow="0" w:firstColumn="1" w:lastColumn="0" w:noHBand="0" w:noVBand="1"/>
      </w:tblPr>
      <w:tblGrid>
        <w:gridCol w:w="2039"/>
        <w:gridCol w:w="1792"/>
        <w:gridCol w:w="1976"/>
        <w:gridCol w:w="1843"/>
        <w:gridCol w:w="1406"/>
      </w:tblGrid>
      <w:tr w:rsidR="00860740" w:rsidTr="00944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5"/>
          </w:tcPr>
          <w:p w:rsidR="00860740" w:rsidRDefault="00860740" w:rsidP="000F5A86">
            <w:pPr>
              <w:ind w:firstLine="0"/>
              <w:jc w:val="center"/>
            </w:pPr>
            <w:r>
              <w:t>Budget associé au personnel</w:t>
            </w:r>
          </w:p>
        </w:tc>
      </w:tr>
      <w:tr w:rsidR="00860740" w:rsidTr="00860740">
        <w:tc>
          <w:tcPr>
            <w:cnfStyle w:val="001000000000" w:firstRow="0" w:lastRow="0" w:firstColumn="1" w:lastColumn="0" w:oddVBand="0" w:evenVBand="0" w:oddHBand="0" w:evenHBand="0" w:firstRowFirstColumn="0" w:firstRowLastColumn="0" w:lastRowFirstColumn="0" w:lastRowLastColumn="0"/>
            <w:tcW w:w="2039" w:type="dxa"/>
          </w:tcPr>
          <w:p w:rsidR="00860740" w:rsidRDefault="00860740" w:rsidP="000F5A86">
            <w:pPr>
              <w:ind w:firstLine="0"/>
              <w:jc w:val="center"/>
            </w:pPr>
            <w:r>
              <w:t>Type de personnel</w:t>
            </w:r>
          </w:p>
        </w:tc>
        <w:tc>
          <w:tcPr>
            <w:tcW w:w="1792"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Nombre d’intervenants</w:t>
            </w:r>
          </w:p>
        </w:tc>
        <w:tc>
          <w:tcPr>
            <w:tcW w:w="197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Temps d’intervention (en mois)</w:t>
            </w:r>
          </w:p>
        </w:tc>
        <w:tc>
          <w:tcPr>
            <w:tcW w:w="1843"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rPr>
                <w:b/>
                <w:bCs/>
              </w:rPr>
            </w:pPr>
            <w:r>
              <w:t>Coût total</w:t>
            </w:r>
          </w:p>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(en €)</w:t>
            </w:r>
          </w:p>
        </w:tc>
        <w:tc>
          <w:tcPr>
            <w:tcW w:w="140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Budget demandé</w:t>
            </w:r>
          </w:p>
        </w:tc>
      </w:tr>
      <w:tr w:rsidR="00860740" w:rsidTr="00860740">
        <w:tc>
          <w:tcPr>
            <w:cnfStyle w:val="001000000000" w:firstRow="0" w:lastRow="0" w:firstColumn="1" w:lastColumn="0" w:oddVBand="0" w:evenVBand="0" w:oddHBand="0" w:evenHBand="0" w:firstRowFirstColumn="0" w:firstRowLastColumn="0" w:lastRowFirstColumn="0" w:lastRowLastColumn="0"/>
            <w:tcW w:w="2039" w:type="dxa"/>
          </w:tcPr>
          <w:p w:rsidR="00860740" w:rsidRPr="000F5A86" w:rsidRDefault="00860740" w:rsidP="000F5A86">
            <w:pPr>
              <w:ind w:firstLine="0"/>
              <w:jc w:val="center"/>
              <w:rPr>
                <w:b w:val="0"/>
              </w:rPr>
            </w:pPr>
            <w:r w:rsidRPr="000F5A86">
              <w:rPr>
                <w:b w:val="0"/>
              </w:rPr>
              <w:t>Directeur de recherche</w:t>
            </w:r>
          </w:p>
        </w:tc>
        <w:tc>
          <w:tcPr>
            <w:tcW w:w="1792"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97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36</w:t>
            </w:r>
          </w:p>
        </w:tc>
        <w:tc>
          <w:tcPr>
            <w:tcW w:w="1843"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326 000</w:t>
            </w:r>
          </w:p>
        </w:tc>
        <w:tc>
          <w:tcPr>
            <w:tcW w:w="140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860740" w:rsidTr="00860740">
        <w:tc>
          <w:tcPr>
            <w:cnfStyle w:val="001000000000" w:firstRow="0" w:lastRow="0" w:firstColumn="1" w:lastColumn="0" w:oddVBand="0" w:evenVBand="0" w:oddHBand="0" w:evenHBand="0" w:firstRowFirstColumn="0" w:firstRowLastColumn="0" w:lastRowFirstColumn="0" w:lastRowLastColumn="0"/>
            <w:tcW w:w="2039" w:type="dxa"/>
          </w:tcPr>
          <w:p w:rsidR="00860740" w:rsidRPr="000F5A86" w:rsidRDefault="00860740" w:rsidP="000F5A86">
            <w:pPr>
              <w:ind w:firstLine="0"/>
              <w:jc w:val="center"/>
              <w:rPr>
                <w:b w:val="0"/>
              </w:rPr>
            </w:pPr>
            <w:r>
              <w:rPr>
                <w:b w:val="0"/>
              </w:rPr>
              <w:t>Expérimentateur</w:t>
            </w:r>
          </w:p>
        </w:tc>
        <w:tc>
          <w:tcPr>
            <w:tcW w:w="1792"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97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9</w:t>
            </w:r>
          </w:p>
        </w:tc>
        <w:tc>
          <w:tcPr>
            <w:tcW w:w="1843"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40 000</w:t>
            </w:r>
          </w:p>
        </w:tc>
        <w:tc>
          <w:tcPr>
            <w:tcW w:w="140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860740" w:rsidTr="00860740">
        <w:tc>
          <w:tcPr>
            <w:cnfStyle w:val="001000000000" w:firstRow="0" w:lastRow="0" w:firstColumn="1" w:lastColumn="0" w:oddVBand="0" w:evenVBand="0" w:oddHBand="0" w:evenHBand="0" w:firstRowFirstColumn="0" w:firstRowLastColumn="0" w:lastRowFirstColumn="0" w:lastRowLastColumn="0"/>
            <w:tcW w:w="2039" w:type="dxa"/>
          </w:tcPr>
          <w:p w:rsidR="00860740" w:rsidRPr="000F5A86" w:rsidRDefault="00860740" w:rsidP="000F5A86">
            <w:pPr>
              <w:ind w:firstLine="0"/>
              <w:jc w:val="center"/>
              <w:rPr>
                <w:b w:val="0"/>
              </w:rPr>
            </w:pPr>
            <w:r>
              <w:rPr>
                <w:b w:val="0"/>
              </w:rPr>
              <w:t>Doctorant</w:t>
            </w:r>
          </w:p>
        </w:tc>
        <w:tc>
          <w:tcPr>
            <w:tcW w:w="1792"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97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36</w:t>
            </w:r>
          </w:p>
        </w:tc>
        <w:tc>
          <w:tcPr>
            <w:tcW w:w="1843"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127 000</w:t>
            </w:r>
          </w:p>
        </w:tc>
        <w:tc>
          <w:tcPr>
            <w:tcW w:w="140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127 000</w:t>
            </w:r>
          </w:p>
        </w:tc>
      </w:tr>
      <w:tr w:rsidR="00860740" w:rsidTr="00860740">
        <w:tc>
          <w:tcPr>
            <w:cnfStyle w:val="001000000000" w:firstRow="0" w:lastRow="0" w:firstColumn="1" w:lastColumn="0" w:oddVBand="0" w:evenVBand="0" w:oddHBand="0" w:evenHBand="0" w:firstRowFirstColumn="0" w:firstRowLastColumn="0" w:lastRowFirstColumn="0" w:lastRowLastColumn="0"/>
            <w:tcW w:w="2039" w:type="dxa"/>
          </w:tcPr>
          <w:p w:rsidR="00860740" w:rsidRPr="000F5A86" w:rsidRDefault="00860740" w:rsidP="000F5A86">
            <w:pPr>
              <w:ind w:firstLine="0"/>
              <w:jc w:val="center"/>
              <w:rPr>
                <w:b w:val="0"/>
              </w:rPr>
            </w:pPr>
            <w:r>
              <w:rPr>
                <w:b w:val="0"/>
              </w:rPr>
              <w:t>Stagiaire</w:t>
            </w:r>
          </w:p>
        </w:tc>
        <w:tc>
          <w:tcPr>
            <w:tcW w:w="1792"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2</w:t>
            </w:r>
          </w:p>
        </w:tc>
        <w:tc>
          <w:tcPr>
            <w:tcW w:w="197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12</w:t>
            </w:r>
          </w:p>
        </w:tc>
        <w:tc>
          <w:tcPr>
            <w:tcW w:w="1843"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6500</w:t>
            </w:r>
          </w:p>
        </w:tc>
        <w:tc>
          <w:tcPr>
            <w:tcW w:w="140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6500</w:t>
            </w:r>
          </w:p>
        </w:tc>
      </w:tr>
      <w:tr w:rsidR="00860740" w:rsidTr="00860740">
        <w:tc>
          <w:tcPr>
            <w:cnfStyle w:val="001000000000" w:firstRow="0" w:lastRow="0" w:firstColumn="1" w:lastColumn="0" w:oddVBand="0" w:evenVBand="0" w:oddHBand="0" w:evenHBand="0" w:firstRowFirstColumn="0" w:firstRowLastColumn="0" w:lastRowFirstColumn="0" w:lastRowLastColumn="0"/>
            <w:tcW w:w="2039" w:type="dxa"/>
          </w:tcPr>
          <w:p w:rsidR="00860740" w:rsidRPr="000F5A86" w:rsidRDefault="00860740" w:rsidP="000F5A86">
            <w:pPr>
              <w:ind w:firstLine="0"/>
              <w:jc w:val="center"/>
              <w:rPr>
                <w:b w:val="0"/>
              </w:rPr>
            </w:pPr>
            <w:r>
              <w:rPr>
                <w:b w:val="0"/>
              </w:rPr>
              <w:t>Biostatisticien</w:t>
            </w:r>
          </w:p>
        </w:tc>
        <w:tc>
          <w:tcPr>
            <w:tcW w:w="1792"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97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18</w:t>
            </w:r>
          </w:p>
        </w:tc>
        <w:tc>
          <w:tcPr>
            <w:tcW w:w="1843"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100 000</w:t>
            </w:r>
          </w:p>
        </w:tc>
        <w:tc>
          <w:tcPr>
            <w:tcW w:w="1406" w:type="dxa"/>
          </w:tcPr>
          <w:p w:rsidR="00860740" w:rsidRDefault="00860740" w:rsidP="000F5A86">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C73B61" w:rsidTr="00C73B61">
        <w:trPr>
          <w:gridBefore w:val="3"/>
          <w:wBefore w:w="5807" w:type="dxa"/>
        </w:trPr>
        <w:tc>
          <w:tcPr>
            <w:cnfStyle w:val="001000000000" w:firstRow="0" w:lastRow="0" w:firstColumn="1" w:lastColumn="0" w:oddVBand="0" w:evenVBand="0" w:oddHBand="0" w:evenHBand="0" w:firstRowFirstColumn="0" w:firstRowLastColumn="0" w:lastRowFirstColumn="0" w:lastRowLastColumn="0"/>
            <w:tcW w:w="1843" w:type="dxa"/>
          </w:tcPr>
          <w:p w:rsidR="00C73B61" w:rsidRDefault="00C73B61" w:rsidP="000F5A86">
            <w:pPr>
              <w:ind w:firstLine="0"/>
              <w:jc w:val="center"/>
            </w:pPr>
            <w:r>
              <w:t>Total</w:t>
            </w:r>
          </w:p>
        </w:tc>
        <w:tc>
          <w:tcPr>
            <w:tcW w:w="1406" w:type="dxa"/>
          </w:tcPr>
          <w:p w:rsidR="00C73B61" w:rsidRDefault="00C73B61" w:rsidP="000F5A86">
            <w:pPr>
              <w:ind w:firstLine="0"/>
              <w:jc w:val="center"/>
              <w:cnfStyle w:val="000000000000" w:firstRow="0" w:lastRow="0" w:firstColumn="0" w:lastColumn="0" w:oddVBand="0" w:evenVBand="0" w:oddHBand="0" w:evenHBand="0" w:firstRowFirstColumn="0" w:firstRowLastColumn="0" w:lastRowFirstColumn="0" w:lastRowLastColumn="0"/>
            </w:pPr>
            <w:r>
              <w:t>133 500</w:t>
            </w:r>
          </w:p>
        </w:tc>
      </w:tr>
    </w:tbl>
    <w:p w:rsidR="000F5A86" w:rsidRPr="000F5A86" w:rsidRDefault="000F5A86" w:rsidP="000F5A86"/>
    <w:p w:rsidR="00C73B61" w:rsidRPr="00C73B61" w:rsidRDefault="00C73B61" w:rsidP="00C73B61">
      <w:pPr>
        <w:pStyle w:val="Lgende"/>
        <w:keepNext/>
        <w:rPr>
          <w:sz w:val="22"/>
          <w:szCs w:val="22"/>
        </w:rPr>
      </w:pPr>
      <w:r w:rsidRPr="00C73B61">
        <w:rPr>
          <w:sz w:val="22"/>
          <w:szCs w:val="22"/>
        </w:rPr>
        <w:lastRenderedPageBreak/>
        <w:t xml:space="preserve">Tableau </w:t>
      </w:r>
      <w:r w:rsidRPr="00C73B61">
        <w:rPr>
          <w:sz w:val="22"/>
          <w:szCs w:val="22"/>
        </w:rPr>
        <w:fldChar w:fldCharType="begin"/>
      </w:r>
      <w:r w:rsidRPr="00C73B61">
        <w:rPr>
          <w:sz w:val="22"/>
          <w:szCs w:val="22"/>
        </w:rPr>
        <w:instrText xml:space="preserve"> SEQ Tableau \* ARABIC </w:instrText>
      </w:r>
      <w:r w:rsidRPr="00C73B61">
        <w:rPr>
          <w:sz w:val="22"/>
          <w:szCs w:val="22"/>
        </w:rPr>
        <w:fldChar w:fldCharType="separate"/>
      </w:r>
      <w:r w:rsidRPr="00C73B61">
        <w:rPr>
          <w:noProof/>
          <w:sz w:val="22"/>
          <w:szCs w:val="22"/>
        </w:rPr>
        <w:t>4</w:t>
      </w:r>
      <w:r w:rsidRPr="00C73B61">
        <w:rPr>
          <w:sz w:val="22"/>
          <w:szCs w:val="22"/>
        </w:rPr>
        <w:fldChar w:fldCharType="end"/>
      </w:r>
      <w:r w:rsidRPr="00C73B61">
        <w:rPr>
          <w:sz w:val="22"/>
          <w:szCs w:val="22"/>
        </w:rPr>
        <w:t xml:space="preserve"> : Budget demandé en termes de matériels</w:t>
      </w:r>
    </w:p>
    <w:tbl>
      <w:tblPr>
        <w:tblStyle w:val="TableauGrille1Clair"/>
        <w:tblW w:w="0" w:type="auto"/>
        <w:tblLook w:val="04A0" w:firstRow="1" w:lastRow="0" w:firstColumn="1" w:lastColumn="0" w:noHBand="0" w:noVBand="1"/>
      </w:tblPr>
      <w:tblGrid>
        <w:gridCol w:w="4528"/>
        <w:gridCol w:w="4528"/>
      </w:tblGrid>
      <w:tr w:rsidR="00860740" w:rsidTr="00860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860740" w:rsidRDefault="00860740" w:rsidP="00860740">
            <w:pPr>
              <w:ind w:firstLine="0"/>
              <w:jc w:val="center"/>
            </w:pPr>
            <w:r>
              <w:t>Équipements, animaux et matériels</w:t>
            </w:r>
          </w:p>
        </w:tc>
        <w:tc>
          <w:tcPr>
            <w:tcW w:w="4528" w:type="dxa"/>
          </w:tcPr>
          <w:p w:rsidR="00860740" w:rsidRDefault="00860740" w:rsidP="00860740">
            <w:pPr>
              <w:ind w:firstLine="0"/>
              <w:jc w:val="center"/>
              <w:cnfStyle w:val="100000000000" w:firstRow="1" w:lastRow="0" w:firstColumn="0" w:lastColumn="0" w:oddVBand="0" w:evenVBand="0" w:oddHBand="0" w:evenHBand="0" w:firstRowFirstColumn="0" w:firstRowLastColumn="0" w:lastRowFirstColumn="0" w:lastRowLastColumn="0"/>
            </w:pPr>
            <w:r>
              <w:t>Coût (en €)</w:t>
            </w:r>
          </w:p>
        </w:tc>
      </w:tr>
      <w:tr w:rsidR="00860740" w:rsidTr="00860740">
        <w:tc>
          <w:tcPr>
            <w:cnfStyle w:val="001000000000" w:firstRow="0" w:lastRow="0" w:firstColumn="1" w:lastColumn="0" w:oddVBand="0" w:evenVBand="0" w:oddHBand="0" w:evenHBand="0" w:firstRowFirstColumn="0" w:firstRowLastColumn="0" w:lastRowFirstColumn="0" w:lastRowLastColumn="0"/>
            <w:tcW w:w="4528" w:type="dxa"/>
          </w:tcPr>
          <w:p w:rsidR="00860740" w:rsidRPr="00860740" w:rsidRDefault="000029ED" w:rsidP="00860740">
            <w:pPr>
              <w:ind w:firstLine="0"/>
              <w:jc w:val="center"/>
              <w:rPr>
                <w:b w:val="0"/>
              </w:rPr>
            </w:pPr>
            <w:r>
              <w:rPr>
                <w:b w:val="0"/>
              </w:rPr>
              <w:t>Souris</w:t>
            </w:r>
            <w:r w:rsidR="00860740" w:rsidRPr="00860740">
              <w:rPr>
                <w:b w:val="0"/>
              </w:rPr>
              <w:t xml:space="preserve"> (</w:t>
            </w:r>
            <w:r w:rsidR="00860740">
              <w:rPr>
                <w:b w:val="0"/>
              </w:rPr>
              <w:t>achat et élevage)</w:t>
            </w:r>
          </w:p>
        </w:tc>
        <w:tc>
          <w:tcPr>
            <w:tcW w:w="4528" w:type="dxa"/>
          </w:tcPr>
          <w:p w:rsidR="00860740" w:rsidRPr="00860740" w:rsidRDefault="000029ED" w:rsidP="00860740">
            <w:pPr>
              <w:ind w:firstLine="0"/>
              <w:jc w:val="center"/>
              <w:cnfStyle w:val="000000000000" w:firstRow="0" w:lastRow="0" w:firstColumn="0" w:lastColumn="0" w:oddVBand="0" w:evenVBand="0" w:oddHBand="0" w:evenHBand="0" w:firstRowFirstColumn="0" w:firstRowLastColumn="0" w:lastRowFirstColumn="0" w:lastRowLastColumn="0"/>
            </w:pPr>
            <w:r>
              <w:t>15 000</w:t>
            </w:r>
          </w:p>
        </w:tc>
      </w:tr>
      <w:tr w:rsidR="000029ED" w:rsidTr="00860740">
        <w:tc>
          <w:tcPr>
            <w:cnfStyle w:val="001000000000" w:firstRow="0" w:lastRow="0" w:firstColumn="1" w:lastColumn="0" w:oddVBand="0" w:evenVBand="0" w:oddHBand="0" w:evenHBand="0" w:firstRowFirstColumn="0" w:firstRowLastColumn="0" w:lastRowFirstColumn="0" w:lastRowLastColumn="0"/>
            <w:tcW w:w="4528" w:type="dxa"/>
          </w:tcPr>
          <w:p w:rsidR="000029ED" w:rsidRDefault="000029ED" w:rsidP="00860740">
            <w:pPr>
              <w:ind w:firstLine="0"/>
              <w:jc w:val="center"/>
              <w:rPr>
                <w:b w:val="0"/>
              </w:rPr>
            </w:pPr>
            <w:r>
              <w:rPr>
                <w:b w:val="0"/>
              </w:rPr>
              <w:t>Débit de filtration</w:t>
            </w:r>
          </w:p>
        </w:tc>
        <w:tc>
          <w:tcPr>
            <w:tcW w:w="4528" w:type="dxa"/>
          </w:tcPr>
          <w:p w:rsidR="000029ED" w:rsidRDefault="00C73B61" w:rsidP="00860740">
            <w:pPr>
              <w:ind w:firstLine="0"/>
              <w:jc w:val="center"/>
              <w:cnfStyle w:val="000000000000" w:firstRow="0" w:lastRow="0" w:firstColumn="0" w:lastColumn="0" w:oddVBand="0" w:evenVBand="0" w:oddHBand="0" w:evenHBand="0" w:firstRowFirstColumn="0" w:firstRowLastColumn="0" w:lastRowFirstColumn="0" w:lastRowLastColumn="0"/>
            </w:pPr>
            <w:r>
              <w:t>10 000</w:t>
            </w:r>
          </w:p>
        </w:tc>
      </w:tr>
      <w:tr w:rsidR="00860740" w:rsidTr="00860740">
        <w:tc>
          <w:tcPr>
            <w:cnfStyle w:val="001000000000" w:firstRow="0" w:lastRow="0" w:firstColumn="1" w:lastColumn="0" w:oddVBand="0" w:evenVBand="0" w:oddHBand="0" w:evenHBand="0" w:firstRowFirstColumn="0" w:firstRowLastColumn="0" w:lastRowFirstColumn="0" w:lastRowLastColumn="0"/>
            <w:tcW w:w="4528" w:type="dxa"/>
          </w:tcPr>
          <w:p w:rsidR="00860740" w:rsidRPr="00860740" w:rsidRDefault="00860740" w:rsidP="00860740">
            <w:pPr>
              <w:ind w:firstLine="0"/>
              <w:jc w:val="center"/>
              <w:rPr>
                <w:b w:val="0"/>
              </w:rPr>
            </w:pPr>
            <w:r>
              <w:rPr>
                <w:b w:val="0"/>
              </w:rPr>
              <w:t>Métagénomique</w:t>
            </w:r>
          </w:p>
        </w:tc>
        <w:tc>
          <w:tcPr>
            <w:tcW w:w="4528" w:type="dxa"/>
          </w:tcPr>
          <w:p w:rsidR="00860740" w:rsidRPr="00860740" w:rsidRDefault="000029ED" w:rsidP="00860740">
            <w:pPr>
              <w:ind w:firstLine="0"/>
              <w:jc w:val="center"/>
              <w:cnfStyle w:val="000000000000" w:firstRow="0" w:lastRow="0" w:firstColumn="0" w:lastColumn="0" w:oddVBand="0" w:evenVBand="0" w:oddHBand="0" w:evenHBand="0" w:firstRowFirstColumn="0" w:firstRowLastColumn="0" w:lastRowFirstColumn="0" w:lastRowLastColumn="0"/>
            </w:pPr>
            <w:r>
              <w:t>200 000</w:t>
            </w:r>
          </w:p>
        </w:tc>
      </w:tr>
      <w:tr w:rsidR="00860740" w:rsidTr="00860740">
        <w:tc>
          <w:tcPr>
            <w:cnfStyle w:val="001000000000" w:firstRow="0" w:lastRow="0" w:firstColumn="1" w:lastColumn="0" w:oddVBand="0" w:evenVBand="0" w:oddHBand="0" w:evenHBand="0" w:firstRowFirstColumn="0" w:firstRowLastColumn="0" w:lastRowFirstColumn="0" w:lastRowLastColumn="0"/>
            <w:tcW w:w="4528" w:type="dxa"/>
          </w:tcPr>
          <w:p w:rsidR="00860740" w:rsidRPr="00860740" w:rsidRDefault="00860740" w:rsidP="00860740">
            <w:pPr>
              <w:ind w:firstLine="0"/>
              <w:jc w:val="center"/>
              <w:rPr>
                <w:b w:val="0"/>
              </w:rPr>
            </w:pPr>
            <w:r>
              <w:rPr>
                <w:b w:val="0"/>
              </w:rPr>
              <w:t>Transcriptomique</w:t>
            </w:r>
          </w:p>
        </w:tc>
        <w:tc>
          <w:tcPr>
            <w:tcW w:w="4528" w:type="dxa"/>
          </w:tcPr>
          <w:p w:rsidR="00860740" w:rsidRPr="00860740" w:rsidRDefault="000029ED" w:rsidP="00860740">
            <w:pPr>
              <w:ind w:firstLine="0"/>
              <w:jc w:val="center"/>
              <w:cnfStyle w:val="000000000000" w:firstRow="0" w:lastRow="0" w:firstColumn="0" w:lastColumn="0" w:oddVBand="0" w:evenVBand="0" w:oddHBand="0" w:evenHBand="0" w:firstRowFirstColumn="0" w:firstRowLastColumn="0" w:lastRowFirstColumn="0" w:lastRowLastColumn="0"/>
            </w:pPr>
            <w:r>
              <w:t>200 000</w:t>
            </w:r>
          </w:p>
        </w:tc>
      </w:tr>
      <w:tr w:rsidR="00860740" w:rsidTr="00860740">
        <w:tc>
          <w:tcPr>
            <w:cnfStyle w:val="001000000000" w:firstRow="0" w:lastRow="0" w:firstColumn="1" w:lastColumn="0" w:oddVBand="0" w:evenVBand="0" w:oddHBand="0" w:evenHBand="0" w:firstRowFirstColumn="0" w:firstRowLastColumn="0" w:lastRowFirstColumn="0" w:lastRowLastColumn="0"/>
            <w:tcW w:w="4528" w:type="dxa"/>
          </w:tcPr>
          <w:p w:rsidR="00860740" w:rsidRPr="000029ED" w:rsidRDefault="000029ED" w:rsidP="00860740">
            <w:pPr>
              <w:ind w:firstLine="0"/>
              <w:jc w:val="center"/>
            </w:pPr>
            <w:r w:rsidRPr="000029ED">
              <w:t>Total</w:t>
            </w:r>
          </w:p>
        </w:tc>
        <w:tc>
          <w:tcPr>
            <w:tcW w:w="4528" w:type="dxa"/>
          </w:tcPr>
          <w:p w:rsidR="00860740" w:rsidRPr="00860740" w:rsidRDefault="000029ED" w:rsidP="00860740">
            <w:pPr>
              <w:ind w:firstLine="0"/>
              <w:jc w:val="center"/>
              <w:cnfStyle w:val="000000000000" w:firstRow="0" w:lastRow="0" w:firstColumn="0" w:lastColumn="0" w:oddVBand="0" w:evenVBand="0" w:oddHBand="0" w:evenHBand="0" w:firstRowFirstColumn="0" w:firstRowLastColumn="0" w:lastRowFirstColumn="0" w:lastRowLastColumn="0"/>
            </w:pPr>
            <w:r>
              <w:t>4</w:t>
            </w:r>
            <w:r w:rsidR="00C73B61">
              <w:t>2</w:t>
            </w:r>
            <w:r>
              <w:t>5 000</w:t>
            </w:r>
          </w:p>
        </w:tc>
      </w:tr>
    </w:tbl>
    <w:p w:rsidR="002B346E" w:rsidRDefault="002B346E" w:rsidP="00947DE4"/>
    <w:p w:rsidR="00C73B61" w:rsidRDefault="00C73B61" w:rsidP="00947DE4">
      <w:r>
        <w:t>Le budget total demandé pour cette étude est de 1 024 500€. Le salaire d’une partie des membres du personnel étant couvert par le laboratoire, le financement demandé est donc de 558 500€.</w:t>
      </w:r>
    </w:p>
    <w:p w:rsidR="002B346E" w:rsidRDefault="002B346E" w:rsidP="00947DE4">
      <w:pPr>
        <w:pStyle w:val="Titre1"/>
      </w:pPr>
      <w:bookmarkStart w:id="12" w:name="_Toc61287694"/>
      <w:r>
        <w:t>Références</w:t>
      </w:r>
      <w:bookmarkEnd w:id="12"/>
    </w:p>
    <w:p w:rsidR="00547B51" w:rsidRPr="006263B9" w:rsidRDefault="00547B51" w:rsidP="00947DE4">
      <w:pPr>
        <w:pStyle w:val="Citation"/>
        <w:numPr>
          <w:ilvl w:val="0"/>
          <w:numId w:val="0"/>
        </w:numPr>
        <w:ind w:left="720"/>
      </w:pPr>
    </w:p>
    <w:p w:rsidR="00E508E3" w:rsidRPr="006263B9" w:rsidRDefault="00A30B40" w:rsidP="00947DE4">
      <w:pPr>
        <w:pStyle w:val="Citation"/>
      </w:pPr>
      <w:r w:rsidRPr="006263B9">
        <w:t>Xie  Y, Bowe  B, Mokdad  AH,  et al.  Analysis of the Global Burden of Disease study highlights the global, regional, and national trends of chronic kidney disease epidemiology from 1990 to 2016.  Kidney Int. 2018;94(3):567-581. doi:</w:t>
      </w:r>
      <w:hyperlink r:id="rId11" w:history="1">
        <w:r w:rsidRPr="006263B9">
          <w:rPr>
            <w:rStyle w:val="Titre1Car"/>
            <w:rFonts w:eastAsiaTheme="minorHAnsi" w:cstheme="minorHAnsi"/>
            <w:b w:val="0"/>
            <w:sz w:val="28"/>
            <w:szCs w:val="28"/>
          </w:rPr>
          <w:t>10.1016/j.kint.2018.04.011</w:t>
        </w:r>
      </w:hyperlink>
    </w:p>
    <w:p w:rsidR="00E508E3" w:rsidRPr="006263B9" w:rsidRDefault="00A30B40" w:rsidP="00947DE4">
      <w:pPr>
        <w:pStyle w:val="Citation"/>
      </w:pPr>
      <w:r w:rsidRPr="006263B9">
        <w:t>GBD Chronic Kidney Disease Collaboration. Global, regional, and national burden of chronic kidney disease, 1990-2017: a systematic analysis for the Global Burden of Disease Study 2017. Lancet</w:t>
      </w:r>
      <w:r w:rsidRPr="006263B9">
        <w:rPr>
          <w:rStyle w:val="apple-converted-space"/>
        </w:rPr>
        <w:t> </w:t>
      </w:r>
      <w:r w:rsidRPr="006263B9">
        <w:rPr>
          <w:rStyle w:val="nlmyear"/>
        </w:rPr>
        <w:t>2020</w:t>
      </w:r>
      <w:r w:rsidRPr="006263B9">
        <w:t>;395:</w:t>
      </w:r>
      <w:r w:rsidRPr="006263B9">
        <w:rPr>
          <w:rStyle w:val="nlmfpage"/>
        </w:rPr>
        <w:t>709</w:t>
      </w:r>
      <w:r w:rsidRPr="006263B9">
        <w:t>-</w:t>
      </w:r>
      <w:r w:rsidRPr="006263B9">
        <w:rPr>
          <w:rStyle w:val="nlmlpage"/>
        </w:rPr>
        <w:t>733</w:t>
      </w:r>
      <w:r w:rsidRPr="006263B9">
        <w:t xml:space="preserve">. </w:t>
      </w:r>
      <w:hyperlink r:id="rId12" w:history="1">
        <w:r w:rsidRPr="006263B9">
          <w:rPr>
            <w:rStyle w:val="Lienhypertexte"/>
            <w:color w:val="000000" w:themeColor="text1"/>
            <w:u w:val="none"/>
          </w:rPr>
          <w:t>https://doi.org/10.1016/S0140-6736(20)30045-3</w:t>
        </w:r>
      </w:hyperlink>
    </w:p>
    <w:p w:rsidR="00E508E3" w:rsidRPr="006263B9" w:rsidRDefault="00A30B40" w:rsidP="00947DE4">
      <w:pPr>
        <w:pStyle w:val="Citation"/>
      </w:pPr>
      <w:r w:rsidRPr="006263B9">
        <w:t>Almaguer M, Herrera R, Orantes CM. Chronic kidney disease of unknown etiology in agricultural communities. MEDICC Rev. 2014;16(2):9–15.</w:t>
      </w:r>
      <w:r w:rsidR="00E508E3" w:rsidRPr="006263B9">
        <w:t xml:space="preserve"> </w:t>
      </w:r>
      <w:hyperlink r:id="rId13" w:history="1">
        <w:r w:rsidR="00E508E3" w:rsidRPr="006263B9">
          <w:rPr>
            <w:rStyle w:val="Lienhypertexte"/>
            <w:color w:val="000000" w:themeColor="text1"/>
            <w:u w:val="none"/>
          </w:rPr>
          <w:t>https://doi.org/10.37757/MR2014.V16.N2.3</w:t>
        </w:r>
      </w:hyperlink>
    </w:p>
    <w:p w:rsidR="00E508E3" w:rsidRPr="006263B9" w:rsidRDefault="00A30B40" w:rsidP="00947DE4">
      <w:pPr>
        <w:pStyle w:val="Citation"/>
      </w:pPr>
      <w:r w:rsidRPr="006263B9">
        <w:t xml:space="preserve">Weaver, V.M., Fadrowski, J.J. &amp; Jaar, B.G. Global dimensions of chronic kidney disease of unknown etiology (CKDu): a modern era environmental and/or occupational nephropathy. BMC Nephrol 16, 145 (2015). </w:t>
      </w:r>
      <w:hyperlink r:id="rId14" w:history="1">
        <w:r w:rsidRPr="006263B9">
          <w:rPr>
            <w:rStyle w:val="Lienhypertexte"/>
            <w:color w:val="000000" w:themeColor="text1"/>
            <w:u w:val="none"/>
          </w:rPr>
          <w:t>https://doi.org/10.1186/s12882-015-0105-6</w:t>
        </w:r>
      </w:hyperlink>
    </w:p>
    <w:p w:rsidR="00E508E3" w:rsidRDefault="00A30B40" w:rsidP="00947DE4">
      <w:pPr>
        <w:pStyle w:val="Citation"/>
        <w:rPr>
          <w:rStyle w:val="Lienhypertexte"/>
          <w:color w:val="000000" w:themeColor="text1"/>
          <w:u w:val="none"/>
        </w:rPr>
      </w:pPr>
      <w:r w:rsidRPr="006263B9">
        <w:t xml:space="preserve">McDonough, L.K., Meredith, K.T., Nikagolla, C. et al. The water chemistry and microbiome of household wells in Medawachchiya, Sri Lanka, an area with high prevalence of chronic kidney disease of unknown origin (CKDu). Sci Rep 10, 18295 (2020). </w:t>
      </w:r>
      <w:hyperlink r:id="rId15" w:history="1">
        <w:r w:rsidRPr="006263B9">
          <w:rPr>
            <w:rStyle w:val="Lienhypertexte"/>
            <w:color w:val="000000" w:themeColor="text1"/>
            <w:u w:val="none"/>
          </w:rPr>
          <w:t>https://doi.org/10.1038/s41598-020-75336-7</w:t>
        </w:r>
      </w:hyperlink>
    </w:p>
    <w:p w:rsidR="00BF7DC8" w:rsidRPr="00BF7DC8" w:rsidRDefault="00BF7DC8" w:rsidP="00947DE4">
      <w:pPr>
        <w:pStyle w:val="Citation"/>
      </w:pPr>
      <w:r w:rsidRPr="006263B9">
        <w:t xml:space="preserve">Schultz, M.B., Kane, A.E., Mitchell, S.J. et al. Age and life expectancy clocks based on machine learning analysis of mouse frailty. Nat Commun 11, 4618 (2020). </w:t>
      </w:r>
      <w:hyperlink r:id="rId16" w:history="1">
        <w:r w:rsidRPr="006263B9">
          <w:rPr>
            <w:rStyle w:val="Lienhypertexte"/>
            <w:color w:val="000000" w:themeColor="text1"/>
            <w:u w:val="none"/>
          </w:rPr>
          <w:t>https://doi.org/10.1038/s41467-020-18446-0</w:t>
        </w:r>
      </w:hyperlink>
    </w:p>
    <w:p w:rsidR="00E508E3" w:rsidRPr="006263B9" w:rsidRDefault="00A30B40" w:rsidP="00947DE4">
      <w:pPr>
        <w:pStyle w:val="Citation"/>
      </w:pPr>
      <w:r w:rsidRPr="006263B9">
        <w:t>Valentina Volynets, Sandrine Louis, Dominik Pretz, Lisa Lang, Maureen J Ostaff, Jan Wehkamp, Stephan C Bischoff, Intestinal Barrier Function and the Gut Microbiome Are Differentially Affected in Mice Fed a Western-Style Diet or Drinking Water Supplemented with Fructose,</w:t>
      </w:r>
      <w:r w:rsidRPr="006263B9">
        <w:rPr>
          <w:rStyle w:val="apple-converted-space"/>
        </w:rPr>
        <w:t> </w:t>
      </w:r>
      <w:r w:rsidRPr="006263B9">
        <w:rPr>
          <w:rStyle w:val="Accentuation"/>
          <w:i w:val="0"/>
          <w:iCs w:val="0"/>
        </w:rPr>
        <w:t>The Journal of Nutrition</w:t>
      </w:r>
      <w:r w:rsidRPr="006263B9">
        <w:t xml:space="preserve">, Volume </w:t>
      </w:r>
      <w:r w:rsidRPr="006263B9">
        <w:lastRenderedPageBreak/>
        <w:t>147, Issue 5, May 2017, Pages 770–780,</w:t>
      </w:r>
      <w:r w:rsidRPr="006263B9">
        <w:rPr>
          <w:rStyle w:val="apple-converted-space"/>
        </w:rPr>
        <w:t> </w:t>
      </w:r>
      <w:hyperlink r:id="rId17" w:history="1">
        <w:r w:rsidRPr="006263B9">
          <w:rPr>
            <w:rStyle w:val="Lienhypertexte"/>
            <w:color w:val="000000" w:themeColor="text1"/>
            <w:u w:val="none"/>
          </w:rPr>
          <w:t>https://doi.org/10.3945/jn.116.242859</w:t>
        </w:r>
      </w:hyperlink>
    </w:p>
    <w:p w:rsidR="00E508E3" w:rsidRPr="006263B9" w:rsidRDefault="00A30B40" w:rsidP="00947DE4">
      <w:pPr>
        <w:pStyle w:val="Citation"/>
      </w:pPr>
      <w:r w:rsidRPr="006263B9">
        <w:t xml:space="preserve">Walker, S.P., Barrett, M., Hogan, G. et al. Non-specific amplification of human DNA is a major challenge for 16S rRNA gene sequence analysis.Sci Rep 10, 16356 (2020). </w:t>
      </w:r>
      <w:hyperlink r:id="rId18" w:history="1">
        <w:r w:rsidRPr="006263B9">
          <w:rPr>
            <w:rStyle w:val="Lienhypertexte"/>
            <w:color w:val="000000" w:themeColor="text1"/>
            <w:u w:val="none"/>
          </w:rPr>
          <w:t>https://doi.org/10.1038/s41598-020-73403-7</w:t>
        </w:r>
      </w:hyperlink>
    </w:p>
    <w:p w:rsidR="006263B9" w:rsidRPr="006263B9" w:rsidRDefault="00A30B40" w:rsidP="00947DE4">
      <w:pPr>
        <w:pStyle w:val="Citation"/>
        <w:rPr>
          <w:rStyle w:val="Lienhypertexte"/>
          <w:color w:val="000000" w:themeColor="text1"/>
          <w:u w:val="none"/>
        </w:rPr>
      </w:pPr>
      <w:r w:rsidRPr="006263B9">
        <w:t xml:space="preserve">Wijetunge S, Ratnatunga NV, Abeysekera TD, Wazil AW, Selvarajah M. Endemic chronic kidney disease of unknown etiology in Sri Lanka: Correlation of pathology with clinical stages. Indian J Nephrol. 2015 Sep-Oct;25(5):274-80. </w:t>
      </w:r>
      <w:hyperlink r:id="rId19" w:history="1">
        <w:r w:rsidRPr="006263B9">
          <w:rPr>
            <w:rStyle w:val="Lienhypertexte"/>
            <w:color w:val="000000" w:themeColor="text1"/>
            <w:u w:val="none"/>
          </w:rPr>
          <w:t>https://doi.org/10.4103/0971-4065.145095</w:t>
        </w:r>
      </w:hyperlink>
    </w:p>
    <w:p w:rsidR="006263B9" w:rsidRPr="006263B9" w:rsidRDefault="00E508E3" w:rsidP="00947DE4">
      <w:pPr>
        <w:pStyle w:val="Citation"/>
      </w:pPr>
      <w:r w:rsidRPr="006263B9">
        <w:t>Li, F., Wang, M.,Wang,J.,Li,R.&amp;Zhang,Y.Alterations to the gut microbiota and their correlation with inflammatory factors in chronic kidney disease. Front. Cell Infect. Microbiol. 9, 206–206. https://doi.org/10.3389/fcimb.2019.00206 (2019)</w:t>
      </w:r>
    </w:p>
    <w:p w:rsidR="006263B9" w:rsidRPr="006263B9" w:rsidRDefault="00E508E3" w:rsidP="00947DE4">
      <w:pPr>
        <w:pStyle w:val="Citation"/>
      </w:pPr>
      <w:proofErr w:type="spellStart"/>
      <w:r w:rsidRPr="00CA442F">
        <w:rPr>
          <w:lang w:val="fr-FR"/>
        </w:rPr>
        <w:t>Vaziri</w:t>
      </w:r>
      <w:bookmarkStart w:id="13" w:name="_GoBack"/>
      <w:bookmarkEnd w:id="13"/>
      <w:proofErr w:type="spellEnd"/>
      <w:r w:rsidRPr="00CA442F">
        <w:rPr>
          <w:lang w:val="fr-FR"/>
        </w:rPr>
        <w:t xml:space="preserve">, N. D. et al. </w:t>
      </w:r>
      <w:r w:rsidRPr="006263B9">
        <w:t>Chronic kidney disease alters intestinal microbial flora. Kidney Int. 83, 308–315. https://doi.org/10.1038/ki.2012.345 (2013)</w:t>
      </w:r>
    </w:p>
    <w:p w:rsidR="006263B9" w:rsidRPr="006263B9" w:rsidRDefault="00A30B40" w:rsidP="00947DE4">
      <w:pPr>
        <w:pStyle w:val="Citation"/>
      </w:pPr>
      <w:r w:rsidRPr="00CA442F">
        <w:rPr>
          <w:lang w:val="fr-FR"/>
        </w:rPr>
        <w:t>Canadas-</w:t>
      </w:r>
      <w:proofErr w:type="spellStart"/>
      <w:r w:rsidRPr="00CA442F">
        <w:rPr>
          <w:lang w:val="fr-FR"/>
        </w:rPr>
        <w:t>Garre</w:t>
      </w:r>
      <w:proofErr w:type="spellEnd"/>
      <w:r w:rsidRPr="00CA442F">
        <w:rPr>
          <w:lang w:val="fr-FR"/>
        </w:rPr>
        <w:t xml:space="preserve">, M. et al. </w:t>
      </w:r>
      <w:r w:rsidRPr="006263B9">
        <w:t>Genetic susceptibility to chronic kidney disease — some more pieces for the heritability puzzle. Front. Genet. 10, 453 (2019).</w:t>
      </w:r>
      <w:r w:rsidR="006263B9" w:rsidRPr="006263B9">
        <w:t xml:space="preserve"> </w:t>
      </w:r>
      <w:hyperlink r:id="rId20" w:history="1">
        <w:r w:rsidR="006263B9" w:rsidRPr="006263B9">
          <w:rPr>
            <w:rStyle w:val="Lienhypertexte"/>
            <w:color w:val="000000" w:themeColor="text1"/>
            <w:u w:val="none"/>
          </w:rPr>
          <w:t>https://doi.org/10.3389/fgene.2019.00453</w:t>
        </w:r>
      </w:hyperlink>
    </w:p>
    <w:p w:rsidR="006263B9" w:rsidRPr="006263B9" w:rsidRDefault="00A30B40" w:rsidP="00947DE4">
      <w:pPr>
        <w:pStyle w:val="Citation"/>
      </w:pPr>
      <w:r w:rsidRPr="006263B9">
        <w:t xml:space="preserve">Andrew Scott </w:t>
      </w:r>
      <w:proofErr w:type="spellStart"/>
      <w:r w:rsidRPr="006263B9">
        <w:t>Terker</w:t>
      </w:r>
      <w:proofErr w:type="spellEnd"/>
      <w:r w:rsidRPr="006263B9">
        <w:t xml:space="preserve">, Mark de </w:t>
      </w:r>
      <w:proofErr w:type="spellStart"/>
      <w:r w:rsidRPr="006263B9">
        <w:t>Caestecker</w:t>
      </w:r>
      <w:proofErr w:type="spellEnd"/>
      <w:r w:rsidRPr="006263B9">
        <w:t xml:space="preserve">. Modeling human disease: a mouse model of acute kidney injury to chronic kidney disease progression after cardiac arrest, Kidney International, Volume 97, Issue 1, 2020, Pages 22-24, ISSN 0085-2538, </w:t>
      </w:r>
      <w:hyperlink r:id="rId21" w:history="1">
        <w:r w:rsidRPr="006263B9">
          <w:rPr>
            <w:rStyle w:val="Lienhypertexte"/>
            <w:color w:val="000000" w:themeColor="text1"/>
            <w:u w:val="none"/>
          </w:rPr>
          <w:t>https://doi.org/10.1016/j.kint.2019.09.017</w:t>
        </w:r>
      </w:hyperlink>
    </w:p>
    <w:p w:rsidR="006263B9" w:rsidRPr="006263B9" w:rsidRDefault="00A30B40" w:rsidP="00947DE4">
      <w:pPr>
        <w:pStyle w:val="Citation"/>
      </w:pPr>
      <w:proofErr w:type="spellStart"/>
      <w:r w:rsidRPr="00CA442F">
        <w:rPr>
          <w:lang w:val="fr-FR"/>
        </w:rPr>
        <w:t>Tani</w:t>
      </w:r>
      <w:proofErr w:type="spellEnd"/>
      <w:r w:rsidRPr="00CA442F">
        <w:rPr>
          <w:lang w:val="fr-FR"/>
        </w:rPr>
        <w:t xml:space="preserve"> T, Fujiwara M, </w:t>
      </w:r>
      <w:proofErr w:type="spellStart"/>
      <w:r w:rsidRPr="00CA442F">
        <w:rPr>
          <w:lang w:val="fr-FR"/>
        </w:rPr>
        <w:t>Orimo</w:t>
      </w:r>
      <w:proofErr w:type="spellEnd"/>
      <w:r w:rsidRPr="00CA442F">
        <w:rPr>
          <w:lang w:val="fr-FR"/>
        </w:rPr>
        <w:t xml:space="preserve"> H, et al.  </w:t>
      </w:r>
      <w:r w:rsidRPr="006263B9">
        <w:t xml:space="preserve">Inhibition of tissue‐nonspecific alkaline phosphatase protects against medial arterial calcification and improved survival probability in the CKD‐MBD mouse model. J </w:t>
      </w:r>
      <w:proofErr w:type="spellStart"/>
      <w:r w:rsidRPr="006263B9">
        <w:t>Pathol</w:t>
      </w:r>
      <w:proofErr w:type="spellEnd"/>
      <w:r w:rsidRPr="006263B9">
        <w:t xml:space="preserve"> 2020;  250:  30– 41. </w:t>
      </w:r>
      <w:hyperlink r:id="rId22" w:history="1">
        <w:r w:rsidRPr="006263B9">
          <w:rPr>
            <w:rStyle w:val="Lienhypertexte"/>
            <w:color w:val="000000" w:themeColor="text1"/>
            <w:u w:val="none"/>
          </w:rPr>
          <w:t>https://doi.org/10.100</w:t>
        </w:r>
        <w:r w:rsidRPr="006263B9">
          <w:rPr>
            <w:rStyle w:val="Lienhypertexte"/>
            <w:color w:val="000000" w:themeColor="text1"/>
            <w:u w:val="none"/>
          </w:rPr>
          <w:t>2</w:t>
        </w:r>
        <w:r w:rsidRPr="006263B9">
          <w:rPr>
            <w:rStyle w:val="Lienhypertexte"/>
            <w:color w:val="000000" w:themeColor="text1"/>
            <w:u w:val="none"/>
          </w:rPr>
          <w:t>/path.5346</w:t>
        </w:r>
      </w:hyperlink>
    </w:p>
    <w:p w:rsidR="006263B9" w:rsidRPr="006263B9" w:rsidRDefault="00A30B40" w:rsidP="00947DE4">
      <w:pPr>
        <w:pStyle w:val="Citation"/>
      </w:pPr>
      <w:r w:rsidRPr="006263B9">
        <w:t>C. </w:t>
      </w:r>
      <w:proofErr w:type="spellStart"/>
      <w:r w:rsidRPr="006263B9">
        <w:t>Pietrement</w:t>
      </w:r>
      <w:proofErr w:type="spellEnd"/>
      <w:r w:rsidRPr="006263B9">
        <w:t>, L. </w:t>
      </w:r>
      <w:proofErr w:type="spellStart"/>
      <w:r w:rsidRPr="006263B9">
        <w:t>Gorisse</w:t>
      </w:r>
      <w:proofErr w:type="spellEnd"/>
      <w:r w:rsidRPr="006263B9">
        <w:t>, S. </w:t>
      </w:r>
      <w:proofErr w:type="spellStart"/>
      <w:r w:rsidRPr="006263B9">
        <w:t>Jaisson</w:t>
      </w:r>
      <w:proofErr w:type="spellEnd"/>
      <w:r w:rsidRPr="006263B9">
        <w:t>, P. </w:t>
      </w:r>
      <w:proofErr w:type="spellStart"/>
      <w:r w:rsidRPr="006263B9">
        <w:t>GilleryChronic</w:t>
      </w:r>
      <w:proofErr w:type="spellEnd"/>
      <w:r w:rsidRPr="006263B9">
        <w:t xml:space="preserve"> increase of urea leads to carbamylated proteins accumulation in tissues in a mouse model of CKD</w:t>
      </w:r>
      <w:r w:rsidR="00E508E3" w:rsidRPr="006263B9">
        <w:t xml:space="preserve"> </w:t>
      </w:r>
      <w:proofErr w:type="spellStart"/>
      <w:r w:rsidRPr="006263B9">
        <w:t>PloS</w:t>
      </w:r>
      <w:proofErr w:type="spellEnd"/>
      <w:r w:rsidR="00E508E3" w:rsidRPr="006263B9">
        <w:t xml:space="preserve"> </w:t>
      </w:r>
      <w:r w:rsidRPr="006263B9">
        <w:t>One, 8 (2013),</w:t>
      </w:r>
      <w:r w:rsidR="00E508E3" w:rsidRPr="006263B9">
        <w:t xml:space="preserve"> </w:t>
      </w:r>
      <w:r w:rsidRPr="006263B9">
        <w:t>p. e82506</w:t>
      </w:r>
      <w:r w:rsidR="006263B9" w:rsidRPr="006263B9">
        <w:t xml:space="preserve"> </w:t>
      </w:r>
      <w:hyperlink r:id="rId23" w:history="1">
        <w:r w:rsidR="006263B9" w:rsidRPr="006263B9">
          <w:rPr>
            <w:rStyle w:val="Lienhypertexte"/>
            <w:color w:val="000000" w:themeColor="text1"/>
            <w:u w:val="none"/>
          </w:rPr>
          <w:t>https://doi.org/10.1371/journal.pone.0082506</w:t>
        </w:r>
      </w:hyperlink>
    </w:p>
    <w:p w:rsidR="006263B9" w:rsidRPr="006263B9" w:rsidRDefault="00A30B40" w:rsidP="00947DE4">
      <w:pPr>
        <w:pStyle w:val="Citation"/>
        <w:rPr>
          <w:rStyle w:val="Lienhypertexte"/>
          <w:color w:val="000000" w:themeColor="text1"/>
          <w:u w:val="none"/>
        </w:rPr>
      </w:pPr>
      <w:r w:rsidRPr="006263B9">
        <w:t xml:space="preserve">Masaya Baba, </w:t>
      </w:r>
      <w:proofErr w:type="spellStart"/>
      <w:r w:rsidRPr="006263B9">
        <w:t>Mutsuo</w:t>
      </w:r>
      <w:proofErr w:type="spellEnd"/>
      <w:r w:rsidRPr="006263B9">
        <w:t xml:space="preserve"> </w:t>
      </w:r>
      <w:proofErr w:type="spellStart"/>
      <w:r w:rsidRPr="006263B9">
        <w:t>Furihata</w:t>
      </w:r>
      <w:proofErr w:type="spellEnd"/>
      <w:r w:rsidRPr="006263B9">
        <w:t>, Seung-</w:t>
      </w:r>
      <w:proofErr w:type="spellStart"/>
      <w:r w:rsidRPr="006263B9">
        <w:t>Beom</w:t>
      </w:r>
      <w:proofErr w:type="spellEnd"/>
      <w:r w:rsidRPr="006263B9">
        <w:t xml:space="preserve"> Hong, Lino </w:t>
      </w:r>
      <w:proofErr w:type="spellStart"/>
      <w:r w:rsidRPr="006263B9">
        <w:t>Tessarollo</w:t>
      </w:r>
      <w:proofErr w:type="spellEnd"/>
      <w:r w:rsidRPr="006263B9">
        <w:t xml:space="preserve">, Diana C. Haines, Eileen </w:t>
      </w:r>
      <w:proofErr w:type="spellStart"/>
      <w:r w:rsidRPr="006263B9">
        <w:t>Southon</w:t>
      </w:r>
      <w:proofErr w:type="spellEnd"/>
      <w:r w:rsidRPr="006263B9">
        <w:t xml:space="preserve">, Vishal Patel, Peter Igarashi, W. Gregory Alvord, Robert </w:t>
      </w:r>
      <w:proofErr w:type="spellStart"/>
      <w:r w:rsidRPr="006263B9">
        <w:t>Leighty</w:t>
      </w:r>
      <w:proofErr w:type="spellEnd"/>
      <w:r w:rsidRPr="006263B9">
        <w:t xml:space="preserve">, Masahiro Yao, Marcelino Bernardo, Lilia </w:t>
      </w:r>
      <w:proofErr w:type="spellStart"/>
      <w:r w:rsidRPr="006263B9">
        <w:t>Ileva</w:t>
      </w:r>
      <w:proofErr w:type="spellEnd"/>
      <w:r w:rsidRPr="006263B9">
        <w:t xml:space="preserve">, Peter </w:t>
      </w:r>
      <w:proofErr w:type="spellStart"/>
      <w:r w:rsidRPr="006263B9">
        <w:t>Choyke</w:t>
      </w:r>
      <w:proofErr w:type="spellEnd"/>
      <w:r w:rsidRPr="006263B9">
        <w:t xml:space="preserve">, Michelle B. Warren, </w:t>
      </w:r>
      <w:proofErr w:type="spellStart"/>
      <w:r w:rsidRPr="006263B9">
        <w:t>Berton</w:t>
      </w:r>
      <w:proofErr w:type="spellEnd"/>
      <w:r w:rsidRPr="006263B9">
        <w:t xml:space="preserve"> </w:t>
      </w:r>
      <w:proofErr w:type="spellStart"/>
      <w:r w:rsidRPr="006263B9">
        <w:t>Zbar</w:t>
      </w:r>
      <w:proofErr w:type="spellEnd"/>
      <w:r w:rsidRPr="006263B9">
        <w:t xml:space="preserve">, W. Marston Linehan, Laura S. Schmidt, Kidney-Targeted </w:t>
      </w:r>
      <w:proofErr w:type="spellStart"/>
      <w:r w:rsidRPr="006263B9">
        <w:t>Birt</w:t>
      </w:r>
      <w:proofErr w:type="spellEnd"/>
      <w:r w:rsidRPr="006263B9">
        <w:t>-Hogg-</w:t>
      </w:r>
      <w:proofErr w:type="spellStart"/>
      <w:r w:rsidRPr="006263B9">
        <w:t>Dubé</w:t>
      </w:r>
      <w:proofErr w:type="spellEnd"/>
      <w:r w:rsidRPr="006263B9">
        <w:t xml:space="preserve"> Gene Inactivation in a Mouse Model: Erk1/2 and </w:t>
      </w:r>
      <w:proofErr w:type="spellStart"/>
      <w:r w:rsidRPr="006263B9">
        <w:t>Akt</w:t>
      </w:r>
      <w:proofErr w:type="spellEnd"/>
      <w:r w:rsidRPr="006263B9">
        <w:t>-mTOR Activation, Cell Hyperproliferation, and Polycystic Kidneys,</w:t>
      </w:r>
      <w:r w:rsidRPr="006263B9">
        <w:rPr>
          <w:rStyle w:val="apple-converted-space"/>
        </w:rPr>
        <w:t> </w:t>
      </w:r>
      <w:r w:rsidRPr="006263B9">
        <w:rPr>
          <w:rStyle w:val="Accentuation"/>
          <w:i w:val="0"/>
          <w:iCs w:val="0"/>
        </w:rPr>
        <w:t>JNCI: Journal of the National Cancer Institute</w:t>
      </w:r>
      <w:r w:rsidRPr="006263B9">
        <w:t>, Volume 100, Issue 2, 16 January 2008, Pages 140–154,</w:t>
      </w:r>
      <w:r w:rsidRPr="006263B9">
        <w:rPr>
          <w:rStyle w:val="apple-converted-space"/>
        </w:rPr>
        <w:t> </w:t>
      </w:r>
      <w:r w:rsidR="006263B9" w:rsidRPr="006263B9">
        <w:rPr>
          <w:rStyle w:val="apple-converted-space"/>
        </w:rPr>
        <w:t xml:space="preserve"> </w:t>
      </w:r>
      <w:hyperlink r:id="rId24" w:history="1">
        <w:r w:rsidR="006263B9" w:rsidRPr="006263B9">
          <w:rPr>
            <w:rStyle w:val="Lienhypertexte"/>
            <w:color w:val="000000" w:themeColor="text1"/>
            <w:u w:val="none"/>
          </w:rPr>
          <w:t>https://doi.org/10.1093/jnci/djm288</w:t>
        </w:r>
      </w:hyperlink>
    </w:p>
    <w:p w:rsidR="006263B9" w:rsidRPr="006263B9" w:rsidRDefault="00A30B40" w:rsidP="00947DE4">
      <w:pPr>
        <w:pStyle w:val="Citation"/>
      </w:pPr>
      <w:r w:rsidRPr="006263B9">
        <w:t xml:space="preserve">Singh, S.K., Malik, A., Firoz, A. et al. CDKD: a clinical database of kidney diseases. BMC </w:t>
      </w:r>
      <w:proofErr w:type="spellStart"/>
      <w:r w:rsidRPr="006263B9">
        <w:t>Nephrol</w:t>
      </w:r>
      <w:proofErr w:type="spellEnd"/>
      <w:r w:rsidRPr="006263B9">
        <w:t xml:space="preserve"> 13, 23 (2012). </w:t>
      </w:r>
      <w:hyperlink r:id="rId25" w:history="1">
        <w:r w:rsidRPr="006263B9">
          <w:rPr>
            <w:rStyle w:val="Lienhypertexte"/>
            <w:color w:val="000000" w:themeColor="text1"/>
            <w:u w:val="none"/>
          </w:rPr>
          <w:t>https://doi.org/10.1186/1471-2369-13-23</w:t>
        </w:r>
      </w:hyperlink>
    </w:p>
    <w:p w:rsidR="006263B9" w:rsidRPr="006263B9" w:rsidRDefault="00A30B40" w:rsidP="00947DE4">
      <w:pPr>
        <w:pStyle w:val="Citation"/>
        <w:rPr>
          <w:rStyle w:val="Lienhypertexte"/>
          <w:color w:val="000000" w:themeColor="text1"/>
          <w:u w:val="none"/>
        </w:rPr>
      </w:pPr>
      <w:r w:rsidRPr="006263B9">
        <w:lastRenderedPageBreak/>
        <w:t xml:space="preserve">Lin, H., </w:t>
      </w:r>
      <w:proofErr w:type="spellStart"/>
      <w:r w:rsidRPr="006263B9">
        <w:t>Peddada</w:t>
      </w:r>
      <w:proofErr w:type="spellEnd"/>
      <w:r w:rsidRPr="006263B9">
        <w:t xml:space="preserve">, S.D. Analysis of compositions of microbiomes with bias correction. Nat </w:t>
      </w:r>
      <w:proofErr w:type="spellStart"/>
      <w:r w:rsidRPr="006263B9">
        <w:t>Commun</w:t>
      </w:r>
      <w:proofErr w:type="spellEnd"/>
      <w:r w:rsidRPr="006263B9">
        <w:t xml:space="preserve"> 11, 3514 (2020). </w:t>
      </w:r>
      <w:hyperlink r:id="rId26" w:history="1">
        <w:r w:rsidRPr="006263B9">
          <w:rPr>
            <w:rStyle w:val="Lienhypertexte"/>
            <w:color w:val="000000" w:themeColor="text1"/>
            <w:u w:val="none"/>
          </w:rPr>
          <w:t>https://doi.org/10.1038/s4</w:t>
        </w:r>
        <w:r w:rsidRPr="006263B9">
          <w:rPr>
            <w:rStyle w:val="Lienhypertexte"/>
            <w:color w:val="000000" w:themeColor="text1"/>
            <w:u w:val="none"/>
          </w:rPr>
          <w:t>1</w:t>
        </w:r>
        <w:r w:rsidRPr="006263B9">
          <w:rPr>
            <w:rStyle w:val="Lienhypertexte"/>
            <w:color w:val="000000" w:themeColor="text1"/>
            <w:u w:val="none"/>
          </w:rPr>
          <w:t>467-020-17041-7</w:t>
        </w:r>
      </w:hyperlink>
    </w:p>
    <w:p w:rsidR="00BF7DC8" w:rsidRPr="00CA442F" w:rsidRDefault="00A30B40" w:rsidP="00947DE4">
      <w:pPr>
        <w:pStyle w:val="Citation"/>
      </w:pPr>
      <w:r w:rsidRPr="00CA442F">
        <w:t xml:space="preserve">Journal officiel des Communautés européennes : Directive du conseil du 24 novembre 1986 concernant le rapprochement des dispositions législatives, réglementaires et administratives des États membres relatives à la protection des animaux utilisés à des fins expérimentales ou </w:t>
      </w:r>
      <w:proofErr w:type="spellStart"/>
      <w:r w:rsidRPr="00CA442F">
        <w:t>a</w:t>
      </w:r>
      <w:proofErr w:type="spellEnd"/>
      <w:r w:rsidRPr="00CA442F">
        <w:t>̀ d'autres fins scientifiques (86/906/CEE)</w:t>
      </w:r>
      <w:r w:rsidR="006263B9" w:rsidRPr="00CA442F">
        <w:t xml:space="preserve"> </w:t>
      </w:r>
    </w:p>
    <w:p w:rsidR="00947DE4" w:rsidRPr="00947DE4" w:rsidRDefault="00CD4F1F" w:rsidP="00947DE4">
      <w:pPr>
        <w:pStyle w:val="Citation"/>
        <w:rPr>
          <w:color w:val="0563C1" w:themeColor="hyperlink"/>
          <w:u w:val="single"/>
        </w:rPr>
      </w:pPr>
      <w:r w:rsidRPr="00CD4F1F">
        <w:rPr>
          <w:lang w:eastAsia="fr-FR"/>
        </w:rPr>
        <w:t>R Correa-Rotter, C </w:t>
      </w:r>
      <w:proofErr w:type="spellStart"/>
      <w:r w:rsidRPr="00CD4F1F">
        <w:rPr>
          <w:lang w:eastAsia="fr-FR"/>
        </w:rPr>
        <w:t>Wesseling</w:t>
      </w:r>
      <w:proofErr w:type="spellEnd"/>
      <w:r w:rsidRPr="00CD4F1F">
        <w:rPr>
          <w:lang w:eastAsia="fr-FR"/>
        </w:rPr>
        <w:t>, RJ </w:t>
      </w:r>
      <w:proofErr w:type="spellStart"/>
      <w:r w:rsidRPr="00CD4F1F">
        <w:rPr>
          <w:lang w:eastAsia="fr-FR"/>
        </w:rPr>
        <w:t>JohnsonCKD</w:t>
      </w:r>
      <w:proofErr w:type="spellEnd"/>
      <w:r w:rsidRPr="00CD4F1F">
        <w:rPr>
          <w:lang w:eastAsia="fr-FR"/>
        </w:rPr>
        <w:t xml:space="preserve"> of unknown origin in Central America: the case for a Mesoamerican nephropathy</w:t>
      </w:r>
      <w:r>
        <w:rPr>
          <w:lang w:eastAsia="fr-FR"/>
        </w:rPr>
        <w:t xml:space="preserve"> </w:t>
      </w:r>
      <w:r w:rsidRPr="00CD4F1F">
        <w:rPr>
          <w:lang w:eastAsia="fr-FR"/>
        </w:rPr>
        <w:t>Am J Kidney Dis, 63 (2014), pp. 506-520</w:t>
      </w:r>
      <w:r>
        <w:rPr>
          <w:lang w:eastAsia="fr-FR"/>
        </w:rPr>
        <w:t xml:space="preserve"> </w:t>
      </w:r>
      <w:hyperlink r:id="rId27" w:history="1">
        <w:r w:rsidRPr="00BB36A0">
          <w:rPr>
            <w:rStyle w:val="Lienhypertexte"/>
          </w:rPr>
          <w:t>https://www.ajkd.org/article/S0272-6386(13)01568-0/fulltext</w:t>
        </w:r>
      </w:hyperlink>
    </w:p>
    <w:p w:rsidR="00947DE4" w:rsidRDefault="00F572F2" w:rsidP="00947DE4">
      <w:pPr>
        <w:pStyle w:val="Citation"/>
        <w:rPr>
          <w:lang w:eastAsia="fr-FR"/>
        </w:rPr>
      </w:pPr>
      <w:r w:rsidRPr="00F572F2">
        <w:rPr>
          <w:lang w:eastAsia="fr-FR"/>
        </w:rPr>
        <w:t>QIIME allows analysis of high-throughput community sequencing data</w:t>
      </w:r>
      <w:r>
        <w:rPr>
          <w:lang w:eastAsia="fr-FR"/>
        </w:rPr>
        <w:t xml:space="preserve">, </w:t>
      </w:r>
      <w:r w:rsidRPr="00F572F2">
        <w:rPr>
          <w:lang w:eastAsia="fr-FR"/>
        </w:rPr>
        <w:t xml:space="preserve">J Gregory </w:t>
      </w:r>
      <w:proofErr w:type="spellStart"/>
      <w:r w:rsidRPr="00F572F2">
        <w:rPr>
          <w:lang w:eastAsia="fr-FR"/>
        </w:rPr>
        <w:t>Caporaso</w:t>
      </w:r>
      <w:proofErr w:type="spellEnd"/>
      <w:r w:rsidRPr="00F572F2">
        <w:rPr>
          <w:lang w:eastAsia="fr-FR"/>
        </w:rPr>
        <w:t xml:space="preserve">, Justin Kuczynski, Jesse Stombaugh, Kyle </w:t>
      </w:r>
      <w:proofErr w:type="spellStart"/>
      <w:r w:rsidRPr="00F572F2">
        <w:rPr>
          <w:lang w:eastAsia="fr-FR"/>
        </w:rPr>
        <w:t>Bittinger</w:t>
      </w:r>
      <w:proofErr w:type="spellEnd"/>
      <w:r w:rsidRPr="00F572F2">
        <w:rPr>
          <w:lang w:eastAsia="fr-FR"/>
        </w:rPr>
        <w:t xml:space="preserve">, Frederic D Bushman, Elizabeth K Costello, Noah </w:t>
      </w:r>
      <w:proofErr w:type="spellStart"/>
      <w:r w:rsidRPr="00F572F2">
        <w:rPr>
          <w:lang w:eastAsia="fr-FR"/>
        </w:rPr>
        <w:t>Fierer</w:t>
      </w:r>
      <w:proofErr w:type="spellEnd"/>
      <w:r w:rsidRPr="00F572F2">
        <w:rPr>
          <w:lang w:eastAsia="fr-FR"/>
        </w:rPr>
        <w:t xml:space="preserve">, Antonio Gonzalez Pena, Julia K Goodrich, Jeffrey I Gordon, Gavin A </w:t>
      </w:r>
      <w:proofErr w:type="spellStart"/>
      <w:r w:rsidRPr="00F572F2">
        <w:rPr>
          <w:lang w:eastAsia="fr-FR"/>
        </w:rPr>
        <w:t>Huttley</w:t>
      </w:r>
      <w:proofErr w:type="spellEnd"/>
      <w:r w:rsidRPr="00F572F2">
        <w:rPr>
          <w:lang w:eastAsia="fr-FR"/>
        </w:rPr>
        <w:t xml:space="preserve">, Scott T Kelley, Dan Knights, Jeremy E Koenig, Ruth E Ley, Catherine A </w:t>
      </w:r>
      <w:proofErr w:type="spellStart"/>
      <w:r w:rsidRPr="00F572F2">
        <w:rPr>
          <w:lang w:eastAsia="fr-FR"/>
        </w:rPr>
        <w:t>Lozupone</w:t>
      </w:r>
      <w:proofErr w:type="spellEnd"/>
      <w:r w:rsidRPr="00F572F2">
        <w:rPr>
          <w:lang w:eastAsia="fr-FR"/>
        </w:rPr>
        <w:t xml:space="preserve">, Daniel McDonald, Brian D </w:t>
      </w:r>
      <w:proofErr w:type="spellStart"/>
      <w:r w:rsidRPr="00F572F2">
        <w:rPr>
          <w:lang w:eastAsia="fr-FR"/>
        </w:rPr>
        <w:t>Muegge</w:t>
      </w:r>
      <w:proofErr w:type="spellEnd"/>
      <w:r w:rsidRPr="00F572F2">
        <w:rPr>
          <w:lang w:eastAsia="fr-FR"/>
        </w:rPr>
        <w:t xml:space="preserve">, Meg </w:t>
      </w:r>
      <w:proofErr w:type="spellStart"/>
      <w:r w:rsidRPr="00F572F2">
        <w:rPr>
          <w:lang w:eastAsia="fr-FR"/>
        </w:rPr>
        <w:t>Pirrung</w:t>
      </w:r>
      <w:proofErr w:type="spellEnd"/>
      <w:r w:rsidRPr="00F572F2">
        <w:rPr>
          <w:lang w:eastAsia="fr-FR"/>
        </w:rPr>
        <w:t xml:space="preserve">, Jens Reeder, Joel R </w:t>
      </w:r>
      <w:proofErr w:type="spellStart"/>
      <w:r w:rsidRPr="00F572F2">
        <w:rPr>
          <w:lang w:eastAsia="fr-FR"/>
        </w:rPr>
        <w:t>Sevinsky</w:t>
      </w:r>
      <w:proofErr w:type="spellEnd"/>
      <w:r w:rsidRPr="00F572F2">
        <w:rPr>
          <w:lang w:eastAsia="fr-FR"/>
        </w:rPr>
        <w:t xml:space="preserve">, Peter J </w:t>
      </w:r>
      <w:proofErr w:type="spellStart"/>
      <w:r w:rsidRPr="00F572F2">
        <w:rPr>
          <w:lang w:eastAsia="fr-FR"/>
        </w:rPr>
        <w:t>Turnbaugh</w:t>
      </w:r>
      <w:proofErr w:type="spellEnd"/>
      <w:r w:rsidRPr="00F572F2">
        <w:rPr>
          <w:lang w:eastAsia="fr-FR"/>
        </w:rPr>
        <w:t xml:space="preserve">, William A Walters, Jeremy </w:t>
      </w:r>
      <w:proofErr w:type="spellStart"/>
      <w:r w:rsidRPr="00F572F2">
        <w:rPr>
          <w:lang w:eastAsia="fr-FR"/>
        </w:rPr>
        <w:t>Widmann</w:t>
      </w:r>
      <w:proofErr w:type="spellEnd"/>
      <w:r w:rsidRPr="00F572F2">
        <w:rPr>
          <w:lang w:eastAsia="fr-FR"/>
        </w:rPr>
        <w:t xml:space="preserve">, Tanya </w:t>
      </w:r>
      <w:proofErr w:type="spellStart"/>
      <w:r w:rsidRPr="00F572F2">
        <w:rPr>
          <w:lang w:eastAsia="fr-FR"/>
        </w:rPr>
        <w:t>Yatsunenko</w:t>
      </w:r>
      <w:proofErr w:type="spellEnd"/>
      <w:r w:rsidRPr="00F572F2">
        <w:rPr>
          <w:lang w:eastAsia="fr-FR"/>
        </w:rPr>
        <w:t xml:space="preserve">, Jesse </w:t>
      </w:r>
      <w:proofErr w:type="spellStart"/>
      <w:r w:rsidRPr="00F572F2">
        <w:rPr>
          <w:lang w:eastAsia="fr-FR"/>
        </w:rPr>
        <w:t>Zaneveld</w:t>
      </w:r>
      <w:proofErr w:type="spellEnd"/>
      <w:r w:rsidRPr="00F572F2">
        <w:rPr>
          <w:lang w:eastAsia="fr-FR"/>
        </w:rPr>
        <w:t xml:space="preserve"> and Rob Knight; Nature Methods, 2010; doi:10.1038/nmeth.f.303</w:t>
      </w:r>
    </w:p>
    <w:p w:rsidR="00947DE4" w:rsidRDefault="00947DE4" w:rsidP="00947DE4">
      <w:pPr>
        <w:pStyle w:val="Citation"/>
        <w:rPr>
          <w:lang w:eastAsia="fr-FR"/>
        </w:rPr>
      </w:pPr>
      <w:r w:rsidRPr="00947DE4">
        <w:rPr>
          <w:lang w:eastAsia="fr-FR"/>
        </w:rPr>
        <w:t xml:space="preserve">Ferenc </w:t>
      </w:r>
      <w:proofErr w:type="spellStart"/>
      <w:r w:rsidRPr="00947DE4">
        <w:rPr>
          <w:lang w:eastAsia="fr-FR"/>
        </w:rPr>
        <w:t>Tajti</w:t>
      </w:r>
      <w:proofErr w:type="spellEnd"/>
      <w:r w:rsidRPr="00947DE4">
        <w:rPr>
          <w:lang w:eastAsia="fr-FR"/>
        </w:rPr>
        <w:t xml:space="preserve">, Christoph </w:t>
      </w:r>
      <w:proofErr w:type="spellStart"/>
      <w:r w:rsidRPr="00947DE4">
        <w:rPr>
          <w:lang w:eastAsia="fr-FR"/>
        </w:rPr>
        <w:t>Kuppe</w:t>
      </w:r>
      <w:proofErr w:type="spellEnd"/>
      <w:r w:rsidRPr="00947DE4">
        <w:rPr>
          <w:lang w:eastAsia="fr-FR"/>
        </w:rPr>
        <w:t xml:space="preserve">, </w:t>
      </w:r>
      <w:proofErr w:type="spellStart"/>
      <w:r w:rsidRPr="00947DE4">
        <w:rPr>
          <w:lang w:eastAsia="fr-FR"/>
        </w:rPr>
        <w:t>Asier</w:t>
      </w:r>
      <w:proofErr w:type="spellEnd"/>
      <w:r w:rsidRPr="00947DE4">
        <w:rPr>
          <w:lang w:eastAsia="fr-FR"/>
        </w:rPr>
        <w:t xml:space="preserve"> </w:t>
      </w:r>
      <w:proofErr w:type="spellStart"/>
      <w:r w:rsidRPr="00947DE4">
        <w:rPr>
          <w:lang w:eastAsia="fr-FR"/>
        </w:rPr>
        <w:t>Antoranz</w:t>
      </w:r>
      <w:proofErr w:type="spellEnd"/>
      <w:r w:rsidRPr="00947DE4">
        <w:rPr>
          <w:lang w:eastAsia="fr-FR"/>
        </w:rPr>
        <w:t xml:space="preserve">, Mahmoud M. Ibrahim, </w:t>
      </w:r>
      <w:proofErr w:type="spellStart"/>
      <w:r w:rsidRPr="00947DE4">
        <w:rPr>
          <w:lang w:eastAsia="fr-FR"/>
        </w:rPr>
        <w:t>Hyojin</w:t>
      </w:r>
      <w:proofErr w:type="spellEnd"/>
      <w:r w:rsidRPr="00947DE4">
        <w:rPr>
          <w:lang w:eastAsia="fr-FR"/>
        </w:rPr>
        <w:t xml:space="preserve"> Kim, Francesco </w:t>
      </w:r>
      <w:proofErr w:type="spellStart"/>
      <w:r w:rsidRPr="00947DE4">
        <w:rPr>
          <w:lang w:eastAsia="fr-FR"/>
        </w:rPr>
        <w:t>Ceccarelli</w:t>
      </w:r>
      <w:proofErr w:type="spellEnd"/>
      <w:r w:rsidRPr="00947DE4">
        <w:rPr>
          <w:lang w:eastAsia="fr-FR"/>
        </w:rPr>
        <w:t xml:space="preserve">, Christian H. Holland, Hannes </w:t>
      </w:r>
      <w:proofErr w:type="spellStart"/>
      <w:r w:rsidRPr="00947DE4">
        <w:rPr>
          <w:lang w:eastAsia="fr-FR"/>
        </w:rPr>
        <w:t>Olauson</w:t>
      </w:r>
      <w:proofErr w:type="spellEnd"/>
      <w:r w:rsidRPr="00947DE4">
        <w:rPr>
          <w:lang w:eastAsia="fr-FR"/>
        </w:rPr>
        <w:t xml:space="preserve">, Jürgen </w:t>
      </w:r>
      <w:proofErr w:type="spellStart"/>
      <w:r w:rsidRPr="00947DE4">
        <w:rPr>
          <w:lang w:eastAsia="fr-FR"/>
        </w:rPr>
        <w:t>Floege</w:t>
      </w:r>
      <w:proofErr w:type="spellEnd"/>
      <w:r w:rsidRPr="00947DE4">
        <w:rPr>
          <w:lang w:eastAsia="fr-FR"/>
        </w:rPr>
        <w:t xml:space="preserve">, Leonidas G. </w:t>
      </w:r>
      <w:proofErr w:type="spellStart"/>
      <w:r w:rsidRPr="00947DE4">
        <w:rPr>
          <w:lang w:eastAsia="fr-FR"/>
        </w:rPr>
        <w:t>Alexopoulos</w:t>
      </w:r>
      <w:proofErr w:type="spellEnd"/>
      <w:r w:rsidRPr="00947DE4">
        <w:rPr>
          <w:lang w:eastAsia="fr-FR"/>
        </w:rPr>
        <w:t xml:space="preserve">, Rafael </w:t>
      </w:r>
      <w:proofErr w:type="spellStart"/>
      <w:r w:rsidRPr="00947DE4">
        <w:rPr>
          <w:lang w:eastAsia="fr-FR"/>
        </w:rPr>
        <w:t>Kramann</w:t>
      </w:r>
      <w:proofErr w:type="spellEnd"/>
      <w:r w:rsidRPr="00947DE4">
        <w:rPr>
          <w:lang w:eastAsia="fr-FR"/>
        </w:rPr>
        <w:t xml:space="preserve">, Julio </w:t>
      </w:r>
      <w:proofErr w:type="spellStart"/>
      <w:r w:rsidRPr="00947DE4">
        <w:rPr>
          <w:lang w:eastAsia="fr-FR"/>
        </w:rPr>
        <w:t>Saez</w:t>
      </w:r>
      <w:proofErr w:type="spellEnd"/>
      <w:r w:rsidRPr="00947DE4">
        <w:rPr>
          <w:lang w:eastAsia="fr-FR"/>
        </w:rPr>
        <w:t>-Rodriguez,</w:t>
      </w:r>
      <w:r>
        <w:rPr>
          <w:lang w:eastAsia="fr-FR"/>
        </w:rPr>
        <w:t xml:space="preserve"> </w:t>
      </w:r>
      <w:r w:rsidRPr="00947DE4">
        <w:rPr>
          <w:lang w:eastAsia="fr-FR"/>
        </w:rPr>
        <w:t>A Functional Landscape of CKD Entities From Public Transcriptomic Data,</w:t>
      </w:r>
      <w:r>
        <w:rPr>
          <w:lang w:eastAsia="fr-FR"/>
        </w:rPr>
        <w:t xml:space="preserve"> </w:t>
      </w:r>
      <w:r w:rsidRPr="00947DE4">
        <w:rPr>
          <w:lang w:eastAsia="fr-FR"/>
        </w:rPr>
        <w:t>Kidney International Reports,</w:t>
      </w:r>
      <w:r>
        <w:rPr>
          <w:lang w:eastAsia="fr-FR"/>
        </w:rPr>
        <w:t xml:space="preserve"> </w:t>
      </w:r>
      <w:r w:rsidRPr="00947DE4">
        <w:rPr>
          <w:lang w:eastAsia="fr-FR"/>
        </w:rPr>
        <w:t>Volume 5, Issue 2,</w:t>
      </w:r>
      <w:r>
        <w:rPr>
          <w:lang w:eastAsia="fr-FR"/>
        </w:rPr>
        <w:t xml:space="preserve"> </w:t>
      </w:r>
      <w:r w:rsidRPr="00947DE4">
        <w:rPr>
          <w:lang w:eastAsia="fr-FR"/>
        </w:rPr>
        <w:t>2020,</w:t>
      </w:r>
      <w:r>
        <w:rPr>
          <w:lang w:eastAsia="fr-FR"/>
        </w:rPr>
        <w:t xml:space="preserve"> </w:t>
      </w:r>
      <w:r w:rsidRPr="00947DE4">
        <w:rPr>
          <w:lang w:eastAsia="fr-FR"/>
        </w:rPr>
        <w:t>Pages 211-224,</w:t>
      </w:r>
      <w:r>
        <w:rPr>
          <w:lang w:eastAsia="fr-FR"/>
        </w:rPr>
        <w:t xml:space="preserve"> </w:t>
      </w:r>
      <w:r w:rsidRPr="00947DE4">
        <w:rPr>
          <w:lang w:eastAsia="fr-FR"/>
        </w:rPr>
        <w:t>ISSN 2468-0249,</w:t>
      </w:r>
      <w:r>
        <w:rPr>
          <w:lang w:eastAsia="fr-FR"/>
        </w:rPr>
        <w:t xml:space="preserve"> </w:t>
      </w:r>
      <w:hyperlink r:id="rId28" w:history="1">
        <w:r w:rsidR="00C93A99" w:rsidRPr="001C19D1">
          <w:rPr>
            <w:rStyle w:val="Lienhypertexte"/>
            <w:lang w:eastAsia="fr-FR"/>
          </w:rPr>
          <w:t>https://doi.org/10.1016/j.ekir.2019.11.005</w:t>
        </w:r>
      </w:hyperlink>
      <w:r w:rsidRPr="00947DE4">
        <w:rPr>
          <w:lang w:eastAsia="fr-FR"/>
        </w:rPr>
        <w:t>.</w:t>
      </w:r>
    </w:p>
    <w:p w:rsidR="00C93A99" w:rsidRPr="00C93A99" w:rsidRDefault="00C93A99" w:rsidP="00C93A99">
      <w:pPr>
        <w:pStyle w:val="Citation"/>
        <w:rPr>
          <w:lang w:eastAsia="fr-FR"/>
        </w:rPr>
      </w:pPr>
      <w:r w:rsidRPr="00C93A99">
        <w:rPr>
          <w:lang w:eastAsia="fr-FR"/>
        </w:rPr>
        <w:t xml:space="preserve">Kim-Anh Le Cao, Florian </w:t>
      </w:r>
      <w:proofErr w:type="spellStart"/>
      <w:r w:rsidRPr="00C93A99">
        <w:rPr>
          <w:lang w:eastAsia="fr-FR"/>
        </w:rPr>
        <w:t>Rohart</w:t>
      </w:r>
      <w:proofErr w:type="spellEnd"/>
      <w:r w:rsidRPr="00C93A99">
        <w:rPr>
          <w:lang w:eastAsia="fr-FR"/>
        </w:rPr>
        <w:t xml:space="preserve">, Ignacio Gonzalez, Sebastien </w:t>
      </w:r>
      <w:proofErr w:type="spellStart"/>
      <w:r w:rsidRPr="00C93A99">
        <w:rPr>
          <w:lang w:eastAsia="fr-FR"/>
        </w:rPr>
        <w:t>Dejean</w:t>
      </w:r>
      <w:proofErr w:type="spellEnd"/>
      <w:r w:rsidRPr="00C93A99">
        <w:rPr>
          <w:lang w:eastAsia="fr-FR"/>
        </w:rPr>
        <w:t xml:space="preserve"> with key contributors Benoit Gautier, Francois</w:t>
      </w:r>
      <w:r>
        <w:rPr>
          <w:lang w:eastAsia="fr-FR"/>
        </w:rPr>
        <w:t xml:space="preserve"> </w:t>
      </w:r>
      <w:proofErr w:type="spellStart"/>
      <w:r w:rsidRPr="00C93A99">
        <w:rPr>
          <w:lang w:eastAsia="fr-FR"/>
        </w:rPr>
        <w:t>Bartolo</w:t>
      </w:r>
      <w:proofErr w:type="spellEnd"/>
      <w:r w:rsidRPr="00C93A99">
        <w:rPr>
          <w:lang w:eastAsia="fr-FR"/>
        </w:rPr>
        <w:t xml:space="preserve">, contributions from Pierre </w:t>
      </w:r>
      <w:proofErr w:type="spellStart"/>
      <w:r w:rsidRPr="00C93A99">
        <w:rPr>
          <w:lang w:eastAsia="fr-FR"/>
        </w:rPr>
        <w:t>Monget</w:t>
      </w:r>
      <w:proofErr w:type="spellEnd"/>
      <w:r w:rsidRPr="00C93A99">
        <w:rPr>
          <w:lang w:eastAsia="fr-FR"/>
        </w:rPr>
        <w:t xml:space="preserve">, Jeff </w:t>
      </w:r>
      <w:proofErr w:type="spellStart"/>
      <w:r w:rsidRPr="00C93A99">
        <w:rPr>
          <w:lang w:eastAsia="fr-FR"/>
        </w:rPr>
        <w:t>Coquery</w:t>
      </w:r>
      <w:proofErr w:type="spellEnd"/>
      <w:r w:rsidRPr="00C93A99">
        <w:rPr>
          <w:lang w:eastAsia="fr-FR"/>
        </w:rPr>
        <w:t xml:space="preserve">, </w:t>
      </w:r>
      <w:proofErr w:type="spellStart"/>
      <w:r w:rsidRPr="00C93A99">
        <w:rPr>
          <w:lang w:eastAsia="fr-FR"/>
        </w:rPr>
        <w:t>FangZou</w:t>
      </w:r>
      <w:proofErr w:type="spellEnd"/>
      <w:r w:rsidRPr="00C93A99">
        <w:rPr>
          <w:lang w:eastAsia="fr-FR"/>
        </w:rPr>
        <w:t xml:space="preserve"> Yao and Benoit </w:t>
      </w:r>
      <w:proofErr w:type="spellStart"/>
      <w:r w:rsidRPr="00C93A99">
        <w:rPr>
          <w:lang w:eastAsia="fr-FR"/>
        </w:rPr>
        <w:t>Liquet</w:t>
      </w:r>
      <w:proofErr w:type="spellEnd"/>
      <w:r w:rsidRPr="00C93A99">
        <w:rPr>
          <w:lang w:eastAsia="fr-FR"/>
        </w:rPr>
        <w:t xml:space="preserve">. (2016). </w:t>
      </w:r>
      <w:proofErr w:type="spellStart"/>
      <w:r w:rsidRPr="00C93A99">
        <w:rPr>
          <w:lang w:eastAsia="fr-FR"/>
        </w:rPr>
        <w:t>mixOmics</w:t>
      </w:r>
      <w:proofErr w:type="spellEnd"/>
      <w:r w:rsidRPr="00C93A99">
        <w:rPr>
          <w:lang w:eastAsia="fr-FR"/>
        </w:rPr>
        <w:t>: Omics</w:t>
      </w:r>
    </w:p>
    <w:p w:rsidR="00C93A99" w:rsidRPr="00C93A99" w:rsidRDefault="00C93A99" w:rsidP="00C93A99">
      <w:pPr>
        <w:pStyle w:val="Citation"/>
        <w:numPr>
          <w:ilvl w:val="0"/>
          <w:numId w:val="0"/>
        </w:numPr>
        <w:ind w:left="720"/>
        <w:rPr>
          <w:lang w:eastAsia="fr-FR"/>
        </w:rPr>
      </w:pPr>
      <w:r w:rsidRPr="00C93A99">
        <w:rPr>
          <w:lang w:eastAsia="fr-FR"/>
        </w:rPr>
        <w:t>Data Integration Project. R package version 6.1.1. https://CRAN.R-project.org/package=mixOmics</w:t>
      </w:r>
    </w:p>
    <w:p w:rsidR="00C93A99" w:rsidRPr="00C93A99" w:rsidRDefault="00C93A99" w:rsidP="00C93A99">
      <w:pPr>
        <w:pStyle w:val="Citation"/>
        <w:numPr>
          <w:ilvl w:val="0"/>
          <w:numId w:val="0"/>
        </w:numPr>
        <w:rPr>
          <w:lang w:eastAsia="fr-FR"/>
        </w:rPr>
      </w:pPr>
    </w:p>
    <w:p w:rsidR="00C93A99" w:rsidRPr="00C93A99" w:rsidRDefault="00C93A99" w:rsidP="00C93A99">
      <w:pPr>
        <w:rPr>
          <w:lang w:val="en-US" w:eastAsia="fr-FR"/>
        </w:rPr>
      </w:pPr>
    </w:p>
    <w:p w:rsidR="00F572F2" w:rsidRPr="00947DE4" w:rsidRDefault="00F572F2" w:rsidP="00947DE4">
      <w:pPr>
        <w:rPr>
          <w:lang w:val="en-US"/>
        </w:rPr>
      </w:pPr>
    </w:p>
    <w:p w:rsidR="000F1C41" w:rsidRPr="00947DE4" w:rsidRDefault="000F1C41" w:rsidP="00947DE4">
      <w:pPr>
        <w:rPr>
          <w:lang w:val="en-US"/>
        </w:rPr>
      </w:pPr>
    </w:p>
    <w:p w:rsidR="007856D1" w:rsidRPr="00947DE4" w:rsidRDefault="007856D1" w:rsidP="00947DE4">
      <w:pPr>
        <w:rPr>
          <w:lang w:val="en-US"/>
        </w:rPr>
      </w:pPr>
    </w:p>
    <w:sectPr w:rsidR="007856D1" w:rsidRPr="00947DE4" w:rsidSect="00547B51">
      <w:footerReference w:type="even" r:id="rId29"/>
      <w:footerReference w:type="default" r:id="rId3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ACF" w:rsidRDefault="009C1ACF" w:rsidP="00947DE4">
      <w:r>
        <w:separator/>
      </w:r>
    </w:p>
  </w:endnote>
  <w:endnote w:type="continuationSeparator" w:id="0">
    <w:p w:rsidR="009C1ACF" w:rsidRDefault="009C1ACF" w:rsidP="00947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03107499"/>
      <w:docPartObj>
        <w:docPartGallery w:val="Page Numbers (Bottom of Page)"/>
        <w:docPartUnique/>
      </w:docPartObj>
    </w:sdtPr>
    <w:sdtContent>
      <w:p w:rsidR="000F5A86" w:rsidRDefault="000F5A86" w:rsidP="000F5A8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F5A86" w:rsidRDefault="000F5A86" w:rsidP="00947DE4">
    <w:pPr>
      <w:pStyle w:val="Pieddepage"/>
      <w:ind w:right="360"/>
      <w:rPr>
        <w:rStyle w:val="Numrodepage"/>
      </w:rPr>
    </w:pPr>
  </w:p>
  <w:p w:rsidR="000F5A86" w:rsidRDefault="000F5A86" w:rsidP="00947DE4">
    <w:pPr>
      <w:pStyle w:val="Pieddepage"/>
      <w:rPr>
        <w:rStyle w:val="Numrodepage"/>
      </w:rPr>
    </w:pPr>
  </w:p>
  <w:p w:rsidR="000F5A86" w:rsidRDefault="000F5A86" w:rsidP="00947D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0787336"/>
      <w:docPartObj>
        <w:docPartGallery w:val="Page Numbers (Bottom of Page)"/>
        <w:docPartUnique/>
      </w:docPartObj>
    </w:sdtPr>
    <w:sdtContent>
      <w:p w:rsidR="000F5A86" w:rsidRDefault="000F5A86" w:rsidP="000F5A8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6</w:t>
        </w:r>
        <w:r>
          <w:rPr>
            <w:rStyle w:val="Numrodepage"/>
          </w:rPr>
          <w:fldChar w:fldCharType="end"/>
        </w:r>
      </w:p>
    </w:sdtContent>
  </w:sdt>
  <w:p w:rsidR="000F5A86" w:rsidRDefault="000F5A86" w:rsidP="00947DE4">
    <w:pPr>
      <w:pStyle w:val="Pieddepage"/>
      <w:ind w:right="360"/>
      <w:rPr>
        <w:rStyle w:val="Numrodepage"/>
      </w:rPr>
    </w:pPr>
  </w:p>
  <w:p w:rsidR="000F5A86" w:rsidRDefault="000F5A86" w:rsidP="00947DE4">
    <w:pPr>
      <w:pStyle w:val="Pieddepage"/>
      <w:rPr>
        <w:rStyle w:val="Numrodepage"/>
      </w:rPr>
    </w:pPr>
  </w:p>
  <w:p w:rsidR="000F5A86" w:rsidRDefault="000F5A86" w:rsidP="00947D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ACF" w:rsidRDefault="009C1ACF" w:rsidP="00947DE4">
      <w:r>
        <w:separator/>
      </w:r>
    </w:p>
  </w:footnote>
  <w:footnote w:type="continuationSeparator" w:id="0">
    <w:p w:rsidR="009C1ACF" w:rsidRDefault="009C1ACF" w:rsidP="00947DE4">
      <w:r>
        <w:continuationSeparator/>
      </w:r>
    </w:p>
  </w:footnote>
  <w:footnote w:id="1">
    <w:p w:rsidR="000F5A86" w:rsidRDefault="000F5A86" w:rsidP="00947DE4">
      <w:pPr>
        <w:pStyle w:val="Notedebasdepage"/>
      </w:pPr>
      <w:r>
        <w:rPr>
          <w:rStyle w:val="Appelnotedebasdep"/>
        </w:rPr>
        <w:footnoteRef/>
      </w:r>
      <w:r>
        <w:t xml:space="preserve"> </w:t>
      </w:r>
      <w:r w:rsidRPr="007348EF">
        <w:t>https://www.nhs.uk/conditions/kidney-disease/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F2B"/>
    <w:multiLevelType w:val="hybridMultilevel"/>
    <w:tmpl w:val="CA606356"/>
    <w:lvl w:ilvl="0" w:tplc="31168168">
      <w:start w:val="1"/>
      <w:numFmt w:val="decimal"/>
      <w:pStyle w:val="Citation"/>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2104C4"/>
    <w:multiLevelType w:val="multilevel"/>
    <w:tmpl w:val="270C7036"/>
    <w:lvl w:ilvl="0">
      <w:start w:val="1"/>
      <w:numFmt w:val="decimal"/>
      <w:pStyle w:val="Titre1"/>
      <w:lvlText w:val="%1."/>
      <w:lvlJc w:val="left"/>
      <w:pPr>
        <w:ind w:left="720" w:hanging="360"/>
      </w:pPr>
    </w:lvl>
    <w:lvl w:ilvl="1">
      <w:start w:val="1"/>
      <w:numFmt w:val="decimal"/>
      <w:pStyle w:val="Titre2"/>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2A8317E8"/>
    <w:multiLevelType w:val="multilevel"/>
    <w:tmpl w:val="9B86C9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7757D"/>
    <w:multiLevelType w:val="multilevel"/>
    <w:tmpl w:val="3D1E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13"/>
    <w:rsid w:val="000029ED"/>
    <w:rsid w:val="0001275A"/>
    <w:rsid w:val="00066136"/>
    <w:rsid w:val="000A1A38"/>
    <w:rsid w:val="000E285C"/>
    <w:rsid w:val="000F1C41"/>
    <w:rsid w:val="000F5A86"/>
    <w:rsid w:val="00166F8F"/>
    <w:rsid w:val="001700AD"/>
    <w:rsid w:val="00170DFF"/>
    <w:rsid w:val="00180C6C"/>
    <w:rsid w:val="00192919"/>
    <w:rsid w:val="002B346E"/>
    <w:rsid w:val="002D5FE2"/>
    <w:rsid w:val="00363D90"/>
    <w:rsid w:val="003733DC"/>
    <w:rsid w:val="003866E9"/>
    <w:rsid w:val="00386842"/>
    <w:rsid w:val="00391E80"/>
    <w:rsid w:val="003D22C6"/>
    <w:rsid w:val="00490D48"/>
    <w:rsid w:val="004B634D"/>
    <w:rsid w:val="0053793C"/>
    <w:rsid w:val="005425B7"/>
    <w:rsid w:val="00547B51"/>
    <w:rsid w:val="005949F0"/>
    <w:rsid w:val="005F77EC"/>
    <w:rsid w:val="0060556F"/>
    <w:rsid w:val="006263B9"/>
    <w:rsid w:val="00693877"/>
    <w:rsid w:val="006E48B2"/>
    <w:rsid w:val="00710B5F"/>
    <w:rsid w:val="00727D66"/>
    <w:rsid w:val="007348EF"/>
    <w:rsid w:val="00763942"/>
    <w:rsid w:val="007856D1"/>
    <w:rsid w:val="00790365"/>
    <w:rsid w:val="007D0BE2"/>
    <w:rsid w:val="007D1214"/>
    <w:rsid w:val="00860740"/>
    <w:rsid w:val="00927A13"/>
    <w:rsid w:val="00943479"/>
    <w:rsid w:val="00943955"/>
    <w:rsid w:val="00947DE4"/>
    <w:rsid w:val="0095541D"/>
    <w:rsid w:val="00957CDF"/>
    <w:rsid w:val="009C1ACF"/>
    <w:rsid w:val="00A033F9"/>
    <w:rsid w:val="00A038ED"/>
    <w:rsid w:val="00A30B40"/>
    <w:rsid w:val="00A70D66"/>
    <w:rsid w:val="00AE5431"/>
    <w:rsid w:val="00B348B9"/>
    <w:rsid w:val="00B7563D"/>
    <w:rsid w:val="00BF39C7"/>
    <w:rsid w:val="00BF7DC8"/>
    <w:rsid w:val="00C3215D"/>
    <w:rsid w:val="00C73B61"/>
    <w:rsid w:val="00C751BE"/>
    <w:rsid w:val="00C93A99"/>
    <w:rsid w:val="00CA442F"/>
    <w:rsid w:val="00CB4966"/>
    <w:rsid w:val="00CC06CF"/>
    <w:rsid w:val="00CD35DD"/>
    <w:rsid w:val="00CD4F1F"/>
    <w:rsid w:val="00D629D8"/>
    <w:rsid w:val="00D73B28"/>
    <w:rsid w:val="00DC7631"/>
    <w:rsid w:val="00DF67AF"/>
    <w:rsid w:val="00E125A0"/>
    <w:rsid w:val="00E508E3"/>
    <w:rsid w:val="00E81131"/>
    <w:rsid w:val="00E95184"/>
    <w:rsid w:val="00E96F45"/>
    <w:rsid w:val="00ED761D"/>
    <w:rsid w:val="00F572F2"/>
    <w:rsid w:val="00FE0186"/>
    <w:rsid w:val="00FE2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DCEF"/>
  <w14:defaultImageDpi w14:val="32767"/>
  <w15:chartTrackingRefBased/>
  <w15:docId w15:val="{A3312CF4-29C0-7A4D-9376-65F8311F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7DE4"/>
    <w:pPr>
      <w:spacing w:line="276" w:lineRule="auto"/>
      <w:ind w:firstLine="360"/>
      <w:jc w:val="both"/>
    </w:pPr>
    <w:rPr>
      <w:rFonts w:ascii="Cambria" w:hAnsi="Cambria"/>
      <w:sz w:val="25"/>
      <w:szCs w:val="25"/>
    </w:rPr>
  </w:style>
  <w:style w:type="paragraph" w:styleId="Titre1">
    <w:name w:val="heading 1"/>
    <w:basedOn w:val="Normal"/>
    <w:next w:val="Normal"/>
    <w:link w:val="Titre1Car"/>
    <w:autoRedefine/>
    <w:uiPriority w:val="9"/>
    <w:qFormat/>
    <w:rsid w:val="00D73B28"/>
    <w:pPr>
      <w:keepNext/>
      <w:keepLines/>
      <w:numPr>
        <w:numId w:val="1"/>
      </w:numPr>
      <w:spacing w:before="240"/>
      <w:outlineLvl w:val="0"/>
    </w:pPr>
    <w:rPr>
      <w:rFonts w:eastAsiaTheme="majorEastAsia" w:cstheme="majorBidi"/>
      <w:b/>
      <w:color w:val="000000" w:themeColor="text1"/>
      <w:sz w:val="36"/>
      <w:szCs w:val="32"/>
    </w:rPr>
  </w:style>
  <w:style w:type="paragraph" w:styleId="Titre2">
    <w:name w:val="heading 2"/>
    <w:basedOn w:val="Normal"/>
    <w:next w:val="Normal"/>
    <w:link w:val="Titre2Car"/>
    <w:uiPriority w:val="9"/>
    <w:unhideWhenUsed/>
    <w:qFormat/>
    <w:rsid w:val="00547B51"/>
    <w:pPr>
      <w:keepNext/>
      <w:keepLines/>
      <w:numPr>
        <w:ilvl w:val="1"/>
        <w:numId w:val="1"/>
      </w:numPr>
      <w:spacing w:before="40"/>
      <w:outlineLvl w:val="1"/>
    </w:pPr>
    <w:rPr>
      <w:rFonts w:eastAsiaTheme="majorEastAsia" w:cstheme="minorHAnsi"/>
      <w:i/>
      <w:color w:val="000000" w:themeColor="text1"/>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B28"/>
    <w:rPr>
      <w:rFonts w:ascii="Cambria" w:eastAsiaTheme="majorEastAsia" w:hAnsi="Cambria" w:cstheme="majorBidi"/>
      <w:b/>
      <w:color w:val="000000" w:themeColor="text1"/>
      <w:sz w:val="36"/>
      <w:szCs w:val="32"/>
    </w:rPr>
  </w:style>
  <w:style w:type="paragraph" w:styleId="Titre">
    <w:name w:val="Title"/>
    <w:basedOn w:val="Normal"/>
    <w:next w:val="Normal"/>
    <w:link w:val="TitreCar"/>
    <w:uiPriority w:val="10"/>
    <w:qFormat/>
    <w:rsid w:val="0060556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556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856D1"/>
    <w:rPr>
      <w:color w:val="0563C1" w:themeColor="hyperlink"/>
      <w:u w:val="single"/>
    </w:rPr>
  </w:style>
  <w:style w:type="character" w:styleId="Mentionnonrsolue">
    <w:name w:val="Unresolved Mention"/>
    <w:basedOn w:val="Policepardfaut"/>
    <w:uiPriority w:val="99"/>
    <w:rsid w:val="007856D1"/>
    <w:rPr>
      <w:color w:val="605E5C"/>
      <w:shd w:val="clear" w:color="auto" w:fill="E1DFDD"/>
    </w:rPr>
  </w:style>
  <w:style w:type="paragraph" w:styleId="Index1">
    <w:name w:val="index 1"/>
    <w:basedOn w:val="Normal"/>
    <w:next w:val="Normal"/>
    <w:autoRedefine/>
    <w:uiPriority w:val="99"/>
    <w:unhideWhenUsed/>
    <w:rsid w:val="002B346E"/>
    <w:pPr>
      <w:ind w:left="240" w:hanging="240"/>
    </w:pPr>
    <w:rPr>
      <w:rFonts w:cstheme="minorHAnsi"/>
      <w:sz w:val="20"/>
      <w:szCs w:val="20"/>
    </w:rPr>
  </w:style>
  <w:style w:type="paragraph" w:styleId="Index2">
    <w:name w:val="index 2"/>
    <w:basedOn w:val="Normal"/>
    <w:next w:val="Normal"/>
    <w:autoRedefine/>
    <w:uiPriority w:val="99"/>
    <w:unhideWhenUsed/>
    <w:rsid w:val="002B346E"/>
    <w:pPr>
      <w:ind w:left="480" w:hanging="240"/>
    </w:pPr>
    <w:rPr>
      <w:rFonts w:cstheme="minorHAnsi"/>
      <w:sz w:val="20"/>
      <w:szCs w:val="20"/>
    </w:rPr>
  </w:style>
  <w:style w:type="paragraph" w:styleId="Index3">
    <w:name w:val="index 3"/>
    <w:basedOn w:val="Normal"/>
    <w:next w:val="Normal"/>
    <w:autoRedefine/>
    <w:uiPriority w:val="99"/>
    <w:unhideWhenUsed/>
    <w:rsid w:val="002B346E"/>
    <w:pPr>
      <w:ind w:left="720" w:hanging="240"/>
    </w:pPr>
    <w:rPr>
      <w:rFonts w:cstheme="minorHAnsi"/>
      <w:sz w:val="20"/>
      <w:szCs w:val="20"/>
    </w:rPr>
  </w:style>
  <w:style w:type="paragraph" w:styleId="Index4">
    <w:name w:val="index 4"/>
    <w:basedOn w:val="Normal"/>
    <w:next w:val="Normal"/>
    <w:autoRedefine/>
    <w:uiPriority w:val="99"/>
    <w:unhideWhenUsed/>
    <w:rsid w:val="002B346E"/>
    <w:pPr>
      <w:ind w:left="960" w:hanging="240"/>
    </w:pPr>
    <w:rPr>
      <w:rFonts w:cstheme="minorHAnsi"/>
      <w:sz w:val="20"/>
      <w:szCs w:val="20"/>
    </w:rPr>
  </w:style>
  <w:style w:type="paragraph" w:styleId="Index5">
    <w:name w:val="index 5"/>
    <w:basedOn w:val="Normal"/>
    <w:next w:val="Normal"/>
    <w:autoRedefine/>
    <w:uiPriority w:val="99"/>
    <w:unhideWhenUsed/>
    <w:rsid w:val="002B346E"/>
    <w:pPr>
      <w:ind w:left="1200" w:hanging="240"/>
    </w:pPr>
    <w:rPr>
      <w:rFonts w:cstheme="minorHAnsi"/>
      <w:sz w:val="20"/>
      <w:szCs w:val="20"/>
    </w:rPr>
  </w:style>
  <w:style w:type="paragraph" w:styleId="Index6">
    <w:name w:val="index 6"/>
    <w:basedOn w:val="Normal"/>
    <w:next w:val="Normal"/>
    <w:autoRedefine/>
    <w:uiPriority w:val="99"/>
    <w:unhideWhenUsed/>
    <w:rsid w:val="002B346E"/>
    <w:pPr>
      <w:ind w:left="1440" w:hanging="240"/>
    </w:pPr>
    <w:rPr>
      <w:rFonts w:cstheme="minorHAnsi"/>
      <w:sz w:val="20"/>
      <w:szCs w:val="20"/>
    </w:rPr>
  </w:style>
  <w:style w:type="paragraph" w:styleId="Index7">
    <w:name w:val="index 7"/>
    <w:basedOn w:val="Normal"/>
    <w:next w:val="Normal"/>
    <w:autoRedefine/>
    <w:uiPriority w:val="99"/>
    <w:unhideWhenUsed/>
    <w:rsid w:val="002B346E"/>
    <w:pPr>
      <w:ind w:left="1680" w:hanging="240"/>
    </w:pPr>
    <w:rPr>
      <w:rFonts w:cstheme="minorHAnsi"/>
      <w:sz w:val="20"/>
      <w:szCs w:val="20"/>
    </w:rPr>
  </w:style>
  <w:style w:type="paragraph" w:styleId="Index8">
    <w:name w:val="index 8"/>
    <w:basedOn w:val="Normal"/>
    <w:next w:val="Normal"/>
    <w:autoRedefine/>
    <w:uiPriority w:val="99"/>
    <w:unhideWhenUsed/>
    <w:rsid w:val="002B346E"/>
    <w:pPr>
      <w:ind w:left="1920" w:hanging="240"/>
    </w:pPr>
    <w:rPr>
      <w:rFonts w:cstheme="minorHAnsi"/>
      <w:sz w:val="20"/>
      <w:szCs w:val="20"/>
    </w:rPr>
  </w:style>
  <w:style w:type="paragraph" w:styleId="Index9">
    <w:name w:val="index 9"/>
    <w:basedOn w:val="Normal"/>
    <w:next w:val="Normal"/>
    <w:autoRedefine/>
    <w:uiPriority w:val="99"/>
    <w:unhideWhenUsed/>
    <w:rsid w:val="002B346E"/>
    <w:pPr>
      <w:ind w:left="2160" w:hanging="240"/>
    </w:pPr>
    <w:rPr>
      <w:rFonts w:cstheme="minorHAnsi"/>
      <w:sz w:val="20"/>
      <w:szCs w:val="20"/>
    </w:rPr>
  </w:style>
  <w:style w:type="paragraph" w:styleId="Titreindex">
    <w:name w:val="index heading"/>
    <w:basedOn w:val="Normal"/>
    <w:next w:val="Index1"/>
    <w:uiPriority w:val="99"/>
    <w:unhideWhenUsed/>
    <w:rsid w:val="002B346E"/>
    <w:pPr>
      <w:spacing w:before="120" w:after="120"/>
    </w:pPr>
    <w:rPr>
      <w:rFonts w:cstheme="minorHAnsi"/>
      <w:b/>
      <w:bCs/>
      <w:i/>
      <w:iCs/>
      <w:sz w:val="20"/>
      <w:szCs w:val="20"/>
    </w:rPr>
  </w:style>
  <w:style w:type="paragraph" w:styleId="TM1">
    <w:name w:val="toc 1"/>
    <w:basedOn w:val="Normal"/>
    <w:next w:val="Normal"/>
    <w:autoRedefine/>
    <w:uiPriority w:val="39"/>
    <w:unhideWhenUsed/>
    <w:rsid w:val="002B346E"/>
    <w:pPr>
      <w:spacing w:before="120" w:after="120"/>
    </w:pPr>
    <w:rPr>
      <w:rFonts w:cstheme="minorHAnsi"/>
      <w:b/>
      <w:bCs/>
      <w:caps/>
      <w:sz w:val="20"/>
      <w:szCs w:val="20"/>
    </w:rPr>
  </w:style>
  <w:style w:type="paragraph" w:styleId="TM2">
    <w:name w:val="toc 2"/>
    <w:basedOn w:val="Normal"/>
    <w:next w:val="Normal"/>
    <w:autoRedefine/>
    <w:uiPriority w:val="39"/>
    <w:unhideWhenUsed/>
    <w:rsid w:val="002B346E"/>
    <w:pPr>
      <w:ind w:left="240"/>
    </w:pPr>
    <w:rPr>
      <w:rFonts w:cstheme="minorHAnsi"/>
      <w:smallCaps/>
      <w:sz w:val="20"/>
      <w:szCs w:val="20"/>
    </w:rPr>
  </w:style>
  <w:style w:type="paragraph" w:styleId="TM3">
    <w:name w:val="toc 3"/>
    <w:basedOn w:val="Normal"/>
    <w:next w:val="Normal"/>
    <w:autoRedefine/>
    <w:uiPriority w:val="39"/>
    <w:unhideWhenUsed/>
    <w:rsid w:val="002B346E"/>
    <w:pPr>
      <w:ind w:left="480"/>
    </w:pPr>
    <w:rPr>
      <w:rFonts w:cstheme="minorHAnsi"/>
      <w:i/>
      <w:iCs/>
      <w:sz w:val="20"/>
      <w:szCs w:val="20"/>
    </w:rPr>
  </w:style>
  <w:style w:type="paragraph" w:styleId="TM4">
    <w:name w:val="toc 4"/>
    <w:basedOn w:val="Normal"/>
    <w:next w:val="Normal"/>
    <w:autoRedefine/>
    <w:uiPriority w:val="39"/>
    <w:unhideWhenUsed/>
    <w:rsid w:val="002B346E"/>
    <w:pPr>
      <w:ind w:left="720"/>
    </w:pPr>
    <w:rPr>
      <w:rFonts w:cstheme="minorHAnsi"/>
      <w:sz w:val="18"/>
      <w:szCs w:val="18"/>
    </w:rPr>
  </w:style>
  <w:style w:type="paragraph" w:styleId="TM5">
    <w:name w:val="toc 5"/>
    <w:basedOn w:val="Normal"/>
    <w:next w:val="Normal"/>
    <w:autoRedefine/>
    <w:uiPriority w:val="39"/>
    <w:unhideWhenUsed/>
    <w:rsid w:val="002B346E"/>
    <w:pPr>
      <w:ind w:left="960"/>
    </w:pPr>
    <w:rPr>
      <w:rFonts w:cstheme="minorHAnsi"/>
      <w:sz w:val="18"/>
      <w:szCs w:val="18"/>
    </w:rPr>
  </w:style>
  <w:style w:type="paragraph" w:styleId="TM6">
    <w:name w:val="toc 6"/>
    <w:basedOn w:val="Normal"/>
    <w:next w:val="Normal"/>
    <w:autoRedefine/>
    <w:uiPriority w:val="39"/>
    <w:unhideWhenUsed/>
    <w:rsid w:val="002B346E"/>
    <w:pPr>
      <w:ind w:left="1200"/>
    </w:pPr>
    <w:rPr>
      <w:rFonts w:cstheme="minorHAnsi"/>
      <w:sz w:val="18"/>
      <w:szCs w:val="18"/>
    </w:rPr>
  </w:style>
  <w:style w:type="paragraph" w:styleId="TM7">
    <w:name w:val="toc 7"/>
    <w:basedOn w:val="Normal"/>
    <w:next w:val="Normal"/>
    <w:autoRedefine/>
    <w:uiPriority w:val="39"/>
    <w:unhideWhenUsed/>
    <w:rsid w:val="002B346E"/>
    <w:pPr>
      <w:ind w:left="1440"/>
    </w:pPr>
    <w:rPr>
      <w:rFonts w:cstheme="minorHAnsi"/>
      <w:sz w:val="18"/>
      <w:szCs w:val="18"/>
    </w:rPr>
  </w:style>
  <w:style w:type="paragraph" w:styleId="TM8">
    <w:name w:val="toc 8"/>
    <w:basedOn w:val="Normal"/>
    <w:next w:val="Normal"/>
    <w:autoRedefine/>
    <w:uiPriority w:val="39"/>
    <w:unhideWhenUsed/>
    <w:rsid w:val="002B346E"/>
    <w:pPr>
      <w:ind w:left="1680"/>
    </w:pPr>
    <w:rPr>
      <w:rFonts w:cstheme="minorHAnsi"/>
      <w:sz w:val="18"/>
      <w:szCs w:val="18"/>
    </w:rPr>
  </w:style>
  <w:style w:type="paragraph" w:styleId="TM9">
    <w:name w:val="toc 9"/>
    <w:basedOn w:val="Normal"/>
    <w:next w:val="Normal"/>
    <w:autoRedefine/>
    <w:uiPriority w:val="39"/>
    <w:unhideWhenUsed/>
    <w:rsid w:val="002B346E"/>
    <w:pPr>
      <w:ind w:left="1920"/>
    </w:pPr>
    <w:rPr>
      <w:rFonts w:cstheme="minorHAnsi"/>
      <w:sz w:val="18"/>
      <w:szCs w:val="18"/>
    </w:rPr>
  </w:style>
  <w:style w:type="character" w:styleId="Lienhypertextesuivivisit">
    <w:name w:val="FollowedHyperlink"/>
    <w:basedOn w:val="Policepardfaut"/>
    <w:uiPriority w:val="99"/>
    <w:semiHidden/>
    <w:unhideWhenUsed/>
    <w:rsid w:val="002B346E"/>
    <w:rPr>
      <w:color w:val="954F72" w:themeColor="followedHyperlink"/>
      <w:u w:val="single"/>
    </w:rPr>
  </w:style>
  <w:style w:type="paragraph" w:styleId="NormalWeb">
    <w:name w:val="Normal (Web)"/>
    <w:basedOn w:val="Normal"/>
    <w:uiPriority w:val="99"/>
    <w:unhideWhenUsed/>
    <w:rsid w:val="000F1C41"/>
    <w:pPr>
      <w:spacing w:before="100" w:beforeAutospacing="1" w:after="100" w:afterAutospacing="1"/>
    </w:pPr>
    <w:rPr>
      <w:rFonts w:ascii="Times New Roman" w:eastAsia="Times New Roman" w:hAnsi="Times New Roman" w:cs="Times New Roman"/>
      <w:lang w:eastAsia="fr-FR"/>
    </w:rPr>
  </w:style>
  <w:style w:type="paragraph" w:styleId="Lgende">
    <w:name w:val="caption"/>
    <w:basedOn w:val="Normal"/>
    <w:next w:val="Normal"/>
    <w:uiPriority w:val="35"/>
    <w:unhideWhenUsed/>
    <w:qFormat/>
    <w:rsid w:val="003D22C6"/>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547B51"/>
    <w:rPr>
      <w:rFonts w:eastAsiaTheme="majorEastAsia" w:cstheme="minorHAnsi"/>
      <w:i/>
      <w:color w:val="000000" w:themeColor="text1"/>
      <w:sz w:val="32"/>
      <w:szCs w:val="32"/>
    </w:rPr>
  </w:style>
  <w:style w:type="paragraph" w:styleId="Paragraphedeliste">
    <w:name w:val="List Paragraph"/>
    <w:basedOn w:val="Normal"/>
    <w:uiPriority w:val="34"/>
    <w:qFormat/>
    <w:rsid w:val="00547B51"/>
    <w:pPr>
      <w:ind w:left="720"/>
      <w:contextualSpacing/>
    </w:pPr>
  </w:style>
  <w:style w:type="paragraph" w:styleId="Pieddepage">
    <w:name w:val="footer"/>
    <w:basedOn w:val="Normal"/>
    <w:link w:val="PieddepageCar"/>
    <w:uiPriority w:val="99"/>
    <w:unhideWhenUsed/>
    <w:rsid w:val="00547B51"/>
    <w:pPr>
      <w:tabs>
        <w:tab w:val="center" w:pos="4536"/>
        <w:tab w:val="right" w:pos="9072"/>
      </w:tabs>
      <w:spacing w:line="240" w:lineRule="auto"/>
    </w:pPr>
  </w:style>
  <w:style w:type="character" w:customStyle="1" w:styleId="PieddepageCar">
    <w:name w:val="Pied de page Car"/>
    <w:basedOn w:val="Policepardfaut"/>
    <w:link w:val="Pieddepage"/>
    <w:uiPriority w:val="99"/>
    <w:rsid w:val="00547B51"/>
    <w:rPr>
      <w:sz w:val="28"/>
      <w:szCs w:val="28"/>
    </w:rPr>
  </w:style>
  <w:style w:type="character" w:styleId="Numrodepage">
    <w:name w:val="page number"/>
    <w:basedOn w:val="Policepardfaut"/>
    <w:uiPriority w:val="99"/>
    <w:semiHidden/>
    <w:unhideWhenUsed/>
    <w:rsid w:val="00547B51"/>
  </w:style>
  <w:style w:type="paragraph" w:styleId="En-tte">
    <w:name w:val="header"/>
    <w:basedOn w:val="Normal"/>
    <w:link w:val="En-tteCar"/>
    <w:uiPriority w:val="99"/>
    <w:unhideWhenUsed/>
    <w:rsid w:val="00547B51"/>
    <w:pPr>
      <w:tabs>
        <w:tab w:val="center" w:pos="4536"/>
        <w:tab w:val="right" w:pos="9072"/>
      </w:tabs>
      <w:spacing w:line="240" w:lineRule="auto"/>
    </w:pPr>
  </w:style>
  <w:style w:type="character" w:customStyle="1" w:styleId="En-tteCar">
    <w:name w:val="En-tête Car"/>
    <w:basedOn w:val="Policepardfaut"/>
    <w:link w:val="En-tte"/>
    <w:uiPriority w:val="99"/>
    <w:rsid w:val="00547B51"/>
    <w:rPr>
      <w:sz w:val="28"/>
      <w:szCs w:val="28"/>
    </w:rPr>
  </w:style>
  <w:style w:type="character" w:customStyle="1" w:styleId="apple-converted-space">
    <w:name w:val="apple-converted-space"/>
    <w:basedOn w:val="Policepardfaut"/>
    <w:rsid w:val="00A30B40"/>
  </w:style>
  <w:style w:type="character" w:styleId="Accentuation">
    <w:name w:val="Emphasis"/>
    <w:basedOn w:val="Policepardfaut"/>
    <w:uiPriority w:val="20"/>
    <w:qFormat/>
    <w:rsid w:val="00A30B40"/>
    <w:rPr>
      <w:i/>
      <w:iCs/>
    </w:rPr>
  </w:style>
  <w:style w:type="character" w:customStyle="1" w:styleId="nlmyear">
    <w:name w:val="nlm_year"/>
    <w:basedOn w:val="Policepardfaut"/>
    <w:rsid w:val="00A30B40"/>
  </w:style>
  <w:style w:type="character" w:customStyle="1" w:styleId="nlmfpage">
    <w:name w:val="nlm_fpage"/>
    <w:basedOn w:val="Policepardfaut"/>
    <w:rsid w:val="00A30B40"/>
  </w:style>
  <w:style w:type="character" w:customStyle="1" w:styleId="nlmlpage">
    <w:name w:val="nlm_lpage"/>
    <w:basedOn w:val="Policepardfaut"/>
    <w:rsid w:val="00A30B40"/>
  </w:style>
  <w:style w:type="paragraph" w:styleId="Citation">
    <w:name w:val="Quote"/>
    <w:basedOn w:val="Normal"/>
    <w:next w:val="Normal"/>
    <w:link w:val="CitationCar"/>
    <w:uiPriority w:val="29"/>
    <w:qFormat/>
    <w:rsid w:val="006263B9"/>
    <w:pPr>
      <w:numPr>
        <w:numId w:val="4"/>
      </w:numPr>
    </w:pPr>
    <w:rPr>
      <w:rFonts w:cstheme="minorHAnsi"/>
      <w:color w:val="000000" w:themeColor="text1"/>
      <w:lang w:val="en-US"/>
    </w:rPr>
  </w:style>
  <w:style w:type="character" w:customStyle="1" w:styleId="CitationCar">
    <w:name w:val="Citation Car"/>
    <w:basedOn w:val="Policepardfaut"/>
    <w:link w:val="Citation"/>
    <w:uiPriority w:val="29"/>
    <w:rsid w:val="006263B9"/>
    <w:rPr>
      <w:rFonts w:ascii="Cambria" w:hAnsi="Cambria" w:cstheme="minorHAnsi"/>
      <w:color w:val="000000" w:themeColor="text1"/>
      <w:sz w:val="28"/>
      <w:szCs w:val="28"/>
      <w:lang w:val="en-US"/>
    </w:rPr>
  </w:style>
  <w:style w:type="paragraph" w:styleId="Notedebasdepage">
    <w:name w:val="footnote text"/>
    <w:basedOn w:val="Normal"/>
    <w:link w:val="NotedebasdepageCar"/>
    <w:uiPriority w:val="99"/>
    <w:unhideWhenUsed/>
    <w:rsid w:val="007348EF"/>
    <w:pPr>
      <w:spacing w:line="240" w:lineRule="auto"/>
    </w:pPr>
    <w:rPr>
      <w:sz w:val="20"/>
      <w:szCs w:val="20"/>
    </w:rPr>
  </w:style>
  <w:style w:type="character" w:customStyle="1" w:styleId="NotedebasdepageCar">
    <w:name w:val="Note de bas de page Car"/>
    <w:basedOn w:val="Policepardfaut"/>
    <w:link w:val="Notedebasdepage"/>
    <w:uiPriority w:val="99"/>
    <w:rsid w:val="007348EF"/>
    <w:rPr>
      <w:rFonts w:ascii="Cambria" w:hAnsi="Cambria"/>
      <w:sz w:val="20"/>
      <w:szCs w:val="20"/>
    </w:rPr>
  </w:style>
  <w:style w:type="character" w:styleId="Appelnotedebasdep">
    <w:name w:val="footnote reference"/>
    <w:basedOn w:val="Policepardfaut"/>
    <w:uiPriority w:val="99"/>
    <w:semiHidden/>
    <w:unhideWhenUsed/>
    <w:rsid w:val="007348EF"/>
    <w:rPr>
      <w:vertAlign w:val="superscript"/>
    </w:rPr>
  </w:style>
  <w:style w:type="character" w:styleId="lev">
    <w:name w:val="Strong"/>
    <w:basedOn w:val="Policepardfaut"/>
    <w:uiPriority w:val="22"/>
    <w:qFormat/>
    <w:rsid w:val="00CD4F1F"/>
    <w:rPr>
      <w:b/>
      <w:bCs/>
    </w:rPr>
  </w:style>
  <w:style w:type="table" w:styleId="Grilledutableau">
    <w:name w:val="Table Grid"/>
    <w:basedOn w:val="TableauNormal"/>
    <w:uiPriority w:val="39"/>
    <w:rsid w:val="00E9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0F5A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0F5A8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0F5A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C93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93A99"/>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116799601">
      <w:bodyDiv w:val="1"/>
      <w:marLeft w:val="0"/>
      <w:marRight w:val="0"/>
      <w:marTop w:val="0"/>
      <w:marBottom w:val="0"/>
      <w:divBdr>
        <w:top w:val="none" w:sz="0" w:space="0" w:color="auto"/>
        <w:left w:val="none" w:sz="0" w:space="0" w:color="auto"/>
        <w:bottom w:val="none" w:sz="0" w:space="0" w:color="auto"/>
        <w:right w:val="none" w:sz="0" w:space="0" w:color="auto"/>
      </w:divBdr>
    </w:div>
    <w:div w:id="253245314">
      <w:bodyDiv w:val="1"/>
      <w:marLeft w:val="0"/>
      <w:marRight w:val="0"/>
      <w:marTop w:val="0"/>
      <w:marBottom w:val="0"/>
      <w:divBdr>
        <w:top w:val="none" w:sz="0" w:space="0" w:color="auto"/>
        <w:left w:val="none" w:sz="0" w:space="0" w:color="auto"/>
        <w:bottom w:val="none" w:sz="0" w:space="0" w:color="auto"/>
        <w:right w:val="none" w:sz="0" w:space="0" w:color="auto"/>
      </w:divBdr>
    </w:div>
    <w:div w:id="676690541">
      <w:bodyDiv w:val="1"/>
      <w:marLeft w:val="0"/>
      <w:marRight w:val="0"/>
      <w:marTop w:val="0"/>
      <w:marBottom w:val="0"/>
      <w:divBdr>
        <w:top w:val="none" w:sz="0" w:space="0" w:color="auto"/>
        <w:left w:val="none" w:sz="0" w:space="0" w:color="auto"/>
        <w:bottom w:val="none" w:sz="0" w:space="0" w:color="auto"/>
        <w:right w:val="none" w:sz="0" w:space="0" w:color="auto"/>
      </w:divBdr>
    </w:div>
    <w:div w:id="936668129">
      <w:bodyDiv w:val="1"/>
      <w:marLeft w:val="0"/>
      <w:marRight w:val="0"/>
      <w:marTop w:val="0"/>
      <w:marBottom w:val="0"/>
      <w:divBdr>
        <w:top w:val="none" w:sz="0" w:space="0" w:color="auto"/>
        <w:left w:val="none" w:sz="0" w:space="0" w:color="auto"/>
        <w:bottom w:val="none" w:sz="0" w:space="0" w:color="auto"/>
        <w:right w:val="none" w:sz="0" w:space="0" w:color="auto"/>
      </w:divBdr>
      <w:divsChild>
        <w:div w:id="193345824">
          <w:marLeft w:val="0"/>
          <w:marRight w:val="0"/>
          <w:marTop w:val="0"/>
          <w:marBottom w:val="0"/>
          <w:divBdr>
            <w:top w:val="none" w:sz="0" w:space="0" w:color="auto"/>
            <w:left w:val="none" w:sz="0" w:space="0" w:color="auto"/>
            <w:bottom w:val="none" w:sz="0" w:space="0" w:color="auto"/>
            <w:right w:val="none" w:sz="0" w:space="0" w:color="auto"/>
          </w:divBdr>
        </w:div>
        <w:div w:id="117145587">
          <w:marLeft w:val="0"/>
          <w:marRight w:val="0"/>
          <w:marTop w:val="0"/>
          <w:marBottom w:val="0"/>
          <w:divBdr>
            <w:top w:val="none" w:sz="0" w:space="0" w:color="auto"/>
            <w:left w:val="none" w:sz="0" w:space="0" w:color="auto"/>
            <w:bottom w:val="none" w:sz="0" w:space="0" w:color="auto"/>
            <w:right w:val="none" w:sz="0" w:space="0" w:color="auto"/>
          </w:divBdr>
        </w:div>
      </w:divsChild>
    </w:div>
    <w:div w:id="1428190821">
      <w:bodyDiv w:val="1"/>
      <w:marLeft w:val="0"/>
      <w:marRight w:val="0"/>
      <w:marTop w:val="0"/>
      <w:marBottom w:val="0"/>
      <w:divBdr>
        <w:top w:val="none" w:sz="0" w:space="0" w:color="auto"/>
        <w:left w:val="none" w:sz="0" w:space="0" w:color="auto"/>
        <w:bottom w:val="none" w:sz="0" w:space="0" w:color="auto"/>
        <w:right w:val="none" w:sz="0" w:space="0" w:color="auto"/>
      </w:divBdr>
      <w:divsChild>
        <w:div w:id="1847210623">
          <w:marLeft w:val="0"/>
          <w:marRight w:val="0"/>
          <w:marTop w:val="0"/>
          <w:marBottom w:val="0"/>
          <w:divBdr>
            <w:top w:val="none" w:sz="0" w:space="0" w:color="auto"/>
            <w:left w:val="none" w:sz="0" w:space="0" w:color="auto"/>
            <w:bottom w:val="none" w:sz="0" w:space="0" w:color="auto"/>
            <w:right w:val="none" w:sz="0" w:space="0" w:color="auto"/>
          </w:divBdr>
          <w:divsChild>
            <w:div w:id="159122662">
              <w:marLeft w:val="0"/>
              <w:marRight w:val="0"/>
              <w:marTop w:val="0"/>
              <w:marBottom w:val="0"/>
              <w:divBdr>
                <w:top w:val="none" w:sz="0" w:space="0" w:color="auto"/>
                <w:left w:val="none" w:sz="0" w:space="0" w:color="auto"/>
                <w:bottom w:val="none" w:sz="0" w:space="0" w:color="auto"/>
                <w:right w:val="none" w:sz="0" w:space="0" w:color="auto"/>
              </w:divBdr>
              <w:divsChild>
                <w:div w:id="551387122">
                  <w:marLeft w:val="0"/>
                  <w:marRight w:val="0"/>
                  <w:marTop w:val="0"/>
                  <w:marBottom w:val="0"/>
                  <w:divBdr>
                    <w:top w:val="none" w:sz="0" w:space="0" w:color="auto"/>
                    <w:left w:val="none" w:sz="0" w:space="0" w:color="auto"/>
                    <w:bottom w:val="none" w:sz="0" w:space="0" w:color="auto"/>
                    <w:right w:val="none" w:sz="0" w:space="0" w:color="auto"/>
                  </w:divBdr>
                  <w:divsChild>
                    <w:div w:id="20588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70366">
      <w:bodyDiv w:val="1"/>
      <w:marLeft w:val="0"/>
      <w:marRight w:val="0"/>
      <w:marTop w:val="0"/>
      <w:marBottom w:val="0"/>
      <w:divBdr>
        <w:top w:val="none" w:sz="0" w:space="0" w:color="auto"/>
        <w:left w:val="none" w:sz="0" w:space="0" w:color="auto"/>
        <w:bottom w:val="none" w:sz="0" w:space="0" w:color="auto"/>
        <w:right w:val="none" w:sz="0" w:space="0" w:color="auto"/>
      </w:divBdr>
      <w:divsChild>
        <w:div w:id="812671606">
          <w:marLeft w:val="0"/>
          <w:marRight w:val="0"/>
          <w:marTop w:val="0"/>
          <w:marBottom w:val="0"/>
          <w:divBdr>
            <w:top w:val="none" w:sz="0" w:space="0" w:color="auto"/>
            <w:left w:val="none" w:sz="0" w:space="0" w:color="auto"/>
            <w:bottom w:val="none" w:sz="0" w:space="0" w:color="auto"/>
            <w:right w:val="none" w:sz="0" w:space="0" w:color="auto"/>
          </w:divBdr>
          <w:divsChild>
            <w:div w:id="575089591">
              <w:marLeft w:val="0"/>
              <w:marRight w:val="0"/>
              <w:marTop w:val="0"/>
              <w:marBottom w:val="0"/>
              <w:divBdr>
                <w:top w:val="none" w:sz="0" w:space="0" w:color="auto"/>
                <w:left w:val="none" w:sz="0" w:space="0" w:color="auto"/>
                <w:bottom w:val="none" w:sz="0" w:space="0" w:color="auto"/>
                <w:right w:val="none" w:sz="0" w:space="0" w:color="auto"/>
              </w:divBdr>
              <w:divsChild>
                <w:div w:id="3096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2764">
      <w:bodyDiv w:val="1"/>
      <w:marLeft w:val="0"/>
      <w:marRight w:val="0"/>
      <w:marTop w:val="0"/>
      <w:marBottom w:val="0"/>
      <w:divBdr>
        <w:top w:val="none" w:sz="0" w:space="0" w:color="auto"/>
        <w:left w:val="none" w:sz="0" w:space="0" w:color="auto"/>
        <w:bottom w:val="none" w:sz="0" w:space="0" w:color="auto"/>
        <w:right w:val="none" w:sz="0" w:space="0" w:color="auto"/>
      </w:divBdr>
      <w:divsChild>
        <w:div w:id="1120494348">
          <w:marLeft w:val="0"/>
          <w:marRight w:val="0"/>
          <w:marTop w:val="0"/>
          <w:marBottom w:val="0"/>
          <w:divBdr>
            <w:top w:val="none" w:sz="0" w:space="0" w:color="auto"/>
            <w:left w:val="none" w:sz="0" w:space="0" w:color="auto"/>
            <w:bottom w:val="none" w:sz="0" w:space="0" w:color="auto"/>
            <w:right w:val="none" w:sz="0" w:space="0" w:color="auto"/>
          </w:divBdr>
          <w:divsChild>
            <w:div w:id="737705664">
              <w:marLeft w:val="0"/>
              <w:marRight w:val="0"/>
              <w:marTop w:val="0"/>
              <w:marBottom w:val="0"/>
              <w:divBdr>
                <w:top w:val="none" w:sz="0" w:space="0" w:color="auto"/>
                <w:left w:val="none" w:sz="0" w:space="0" w:color="auto"/>
                <w:bottom w:val="none" w:sz="0" w:space="0" w:color="auto"/>
                <w:right w:val="none" w:sz="0" w:space="0" w:color="auto"/>
              </w:divBdr>
              <w:divsChild>
                <w:div w:id="1562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6509">
      <w:bodyDiv w:val="1"/>
      <w:marLeft w:val="0"/>
      <w:marRight w:val="0"/>
      <w:marTop w:val="0"/>
      <w:marBottom w:val="0"/>
      <w:divBdr>
        <w:top w:val="none" w:sz="0" w:space="0" w:color="auto"/>
        <w:left w:val="none" w:sz="0" w:space="0" w:color="auto"/>
        <w:bottom w:val="none" w:sz="0" w:space="0" w:color="auto"/>
        <w:right w:val="none" w:sz="0" w:space="0" w:color="auto"/>
      </w:divBdr>
      <w:divsChild>
        <w:div w:id="1068648749">
          <w:marLeft w:val="0"/>
          <w:marRight w:val="0"/>
          <w:marTop w:val="0"/>
          <w:marBottom w:val="0"/>
          <w:divBdr>
            <w:top w:val="none" w:sz="0" w:space="0" w:color="auto"/>
            <w:left w:val="none" w:sz="0" w:space="0" w:color="auto"/>
            <w:bottom w:val="none" w:sz="0" w:space="0" w:color="auto"/>
            <w:right w:val="none" w:sz="0" w:space="0" w:color="auto"/>
          </w:divBdr>
          <w:divsChild>
            <w:div w:id="1705059759">
              <w:marLeft w:val="0"/>
              <w:marRight w:val="0"/>
              <w:marTop w:val="0"/>
              <w:marBottom w:val="0"/>
              <w:divBdr>
                <w:top w:val="none" w:sz="0" w:space="0" w:color="auto"/>
                <w:left w:val="none" w:sz="0" w:space="0" w:color="auto"/>
                <w:bottom w:val="none" w:sz="0" w:space="0" w:color="auto"/>
                <w:right w:val="none" w:sz="0" w:space="0" w:color="auto"/>
              </w:divBdr>
              <w:divsChild>
                <w:div w:id="1895921391">
                  <w:marLeft w:val="0"/>
                  <w:marRight w:val="0"/>
                  <w:marTop w:val="0"/>
                  <w:marBottom w:val="0"/>
                  <w:divBdr>
                    <w:top w:val="none" w:sz="0" w:space="0" w:color="auto"/>
                    <w:left w:val="none" w:sz="0" w:space="0" w:color="auto"/>
                    <w:bottom w:val="none" w:sz="0" w:space="0" w:color="auto"/>
                    <w:right w:val="none" w:sz="0" w:space="0" w:color="auto"/>
                  </w:divBdr>
                  <w:divsChild>
                    <w:div w:id="33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7435">
      <w:bodyDiv w:val="1"/>
      <w:marLeft w:val="0"/>
      <w:marRight w:val="0"/>
      <w:marTop w:val="0"/>
      <w:marBottom w:val="0"/>
      <w:divBdr>
        <w:top w:val="none" w:sz="0" w:space="0" w:color="auto"/>
        <w:left w:val="none" w:sz="0" w:space="0" w:color="auto"/>
        <w:bottom w:val="none" w:sz="0" w:space="0" w:color="auto"/>
        <w:right w:val="none" w:sz="0" w:space="0" w:color="auto"/>
      </w:divBdr>
      <w:divsChild>
        <w:div w:id="643042154">
          <w:marLeft w:val="0"/>
          <w:marRight w:val="0"/>
          <w:marTop w:val="0"/>
          <w:marBottom w:val="0"/>
          <w:divBdr>
            <w:top w:val="none" w:sz="0" w:space="0" w:color="auto"/>
            <w:left w:val="none" w:sz="0" w:space="0" w:color="auto"/>
            <w:bottom w:val="none" w:sz="0" w:space="0" w:color="auto"/>
            <w:right w:val="none" w:sz="0" w:space="0" w:color="auto"/>
          </w:divBdr>
          <w:divsChild>
            <w:div w:id="239606753">
              <w:marLeft w:val="0"/>
              <w:marRight w:val="0"/>
              <w:marTop w:val="0"/>
              <w:marBottom w:val="0"/>
              <w:divBdr>
                <w:top w:val="none" w:sz="0" w:space="0" w:color="auto"/>
                <w:left w:val="none" w:sz="0" w:space="0" w:color="auto"/>
                <w:bottom w:val="none" w:sz="0" w:space="0" w:color="auto"/>
                <w:right w:val="none" w:sz="0" w:space="0" w:color="auto"/>
              </w:divBdr>
              <w:divsChild>
                <w:div w:id="1477255571">
                  <w:marLeft w:val="0"/>
                  <w:marRight w:val="0"/>
                  <w:marTop w:val="0"/>
                  <w:marBottom w:val="0"/>
                  <w:divBdr>
                    <w:top w:val="none" w:sz="0" w:space="0" w:color="auto"/>
                    <w:left w:val="none" w:sz="0" w:space="0" w:color="auto"/>
                    <w:bottom w:val="none" w:sz="0" w:space="0" w:color="auto"/>
                    <w:right w:val="none" w:sz="0" w:space="0" w:color="auto"/>
                  </w:divBdr>
                  <w:divsChild>
                    <w:div w:id="1181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37757/MR2014.V16.N2.3" TargetMode="External"/><Relationship Id="rId18" Type="http://schemas.openxmlformats.org/officeDocument/2006/relationships/hyperlink" Target="https://doi.org/10.1038/s41598-020-73403-7" TargetMode="External"/><Relationship Id="rId26" Type="http://schemas.openxmlformats.org/officeDocument/2006/relationships/hyperlink" Target="https://doi.org/10.1038/s41467-020-17041-7" TargetMode="External"/><Relationship Id="rId3" Type="http://schemas.openxmlformats.org/officeDocument/2006/relationships/settings" Target="settings.xml"/><Relationship Id="rId21" Type="http://schemas.openxmlformats.org/officeDocument/2006/relationships/hyperlink" Target="https://doi.org/10.1016/j.kint.2019.09.017" TargetMode="External"/><Relationship Id="rId7" Type="http://schemas.openxmlformats.org/officeDocument/2006/relationships/image" Target="media/image1.png"/><Relationship Id="rId12" Type="http://schemas.openxmlformats.org/officeDocument/2006/relationships/hyperlink" Target="https://doi.org/10.1016/S0140-6736(20)30045-3" TargetMode="External"/><Relationship Id="rId17" Type="http://schemas.openxmlformats.org/officeDocument/2006/relationships/hyperlink" Target="https://doi.org/10.3945/jn.116.242859" TargetMode="External"/><Relationship Id="rId25" Type="http://schemas.openxmlformats.org/officeDocument/2006/relationships/hyperlink" Target="https://doi.org/10.1186/1471-2369-13-23" TargetMode="External"/><Relationship Id="rId2" Type="http://schemas.openxmlformats.org/officeDocument/2006/relationships/styles" Target="styles.xml"/><Relationship Id="rId16" Type="http://schemas.openxmlformats.org/officeDocument/2006/relationships/hyperlink" Target="https://doi.org/10.1038/s41467-020-18446-0" TargetMode="External"/><Relationship Id="rId20" Type="http://schemas.openxmlformats.org/officeDocument/2006/relationships/hyperlink" Target="https://doi.org/10.3389/fgene.2019.0045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j.kint.2018.04.011" TargetMode="External"/><Relationship Id="rId24" Type="http://schemas.openxmlformats.org/officeDocument/2006/relationships/hyperlink" Target="https://doi.org/10.1093/jnci/djm28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8/s41598-020-75336-7" TargetMode="External"/><Relationship Id="rId23" Type="http://schemas.openxmlformats.org/officeDocument/2006/relationships/hyperlink" Target="https://doi.org/10.1371/journal.pone.0082506" TargetMode="External"/><Relationship Id="rId28" Type="http://schemas.openxmlformats.org/officeDocument/2006/relationships/hyperlink" Target="https://doi.org/10.1016/j.ekir.2019.11.005" TargetMode="External"/><Relationship Id="rId10" Type="http://schemas.openxmlformats.org/officeDocument/2006/relationships/image" Target="media/image4.png"/><Relationship Id="rId19" Type="http://schemas.openxmlformats.org/officeDocument/2006/relationships/hyperlink" Target="https://doi.org/10.4103/0971-4065.14509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86/s12882-015-0105-6" TargetMode="External"/><Relationship Id="rId22" Type="http://schemas.openxmlformats.org/officeDocument/2006/relationships/hyperlink" Target="https://doi.org/10.1002/path.5346" TargetMode="External"/><Relationship Id="rId27" Type="http://schemas.openxmlformats.org/officeDocument/2006/relationships/hyperlink" Target="https://www.ajkd.org/article/S0272-6386(13)01568-0/fulltext"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12</Pages>
  <Words>3610</Words>
  <Characters>19861</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 PRETET</dc:creator>
  <cp:keywords/>
  <dc:description/>
  <cp:lastModifiedBy>MAEL PRETET</cp:lastModifiedBy>
  <cp:revision>23</cp:revision>
  <dcterms:created xsi:type="dcterms:W3CDTF">2020-12-15T14:27:00Z</dcterms:created>
  <dcterms:modified xsi:type="dcterms:W3CDTF">2021-01-11T19:38:00Z</dcterms:modified>
</cp:coreProperties>
</file>