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A9" w:rsidRPr="009F36B8" w:rsidRDefault="00FA66D6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Almaguer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 M, Herrera R,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Orantes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 CM. Chronic kidney disease of unknown etiology in agricultural communities. </w:t>
      </w:r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 xml:space="preserve">MEDICC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>Rev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eastAsia="fr-FR"/>
        </w:rPr>
        <w:t>. 2014;16(2):9–15.</w:t>
      </w:r>
    </w:p>
    <w:p w:rsidR="00FA66D6" w:rsidRPr="009F36B8" w:rsidRDefault="001D01C0">
      <w:pPr>
        <w:rPr>
          <w:rFonts w:cstheme="minorHAnsi"/>
          <w:color w:val="0070C0"/>
          <w:sz w:val="28"/>
          <w:szCs w:val="28"/>
          <w:u w:val="single"/>
        </w:rPr>
      </w:pPr>
      <w:hyperlink r:id="rId5" w:history="1">
        <w:r w:rsidR="0075692B" w:rsidRPr="009F36B8">
          <w:rPr>
            <w:rStyle w:val="Lienhypertexte"/>
            <w:rFonts w:cstheme="minorHAnsi"/>
            <w:color w:val="0070C0"/>
            <w:sz w:val="28"/>
            <w:szCs w:val="28"/>
          </w:rPr>
          <w:t>https://doi.org/10.37757/MR2014.V16.N2.3</w:t>
        </w:r>
      </w:hyperlink>
    </w:p>
    <w:p w:rsidR="00FA66D6" w:rsidRPr="001D01C0" w:rsidRDefault="00FA66D6" w:rsidP="00FA66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br/>
      </w:r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Weaver, V.M.,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Fadrowski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, J.J. &amp; 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Jaar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, B.G. Global dimensions of chronic kidney disease of unknown etiology (</w:t>
      </w:r>
      <w:proofErr w:type="spell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CKDu</w:t>
      </w:r>
      <w:proofErr w:type="spellEnd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): a modern era environmental and/or occupational </w:t>
      </w:r>
      <w:proofErr w:type="gramStart"/>
      <w:r w:rsidRPr="00FA66D6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nephropathy?.</w:t>
      </w:r>
      <w:proofErr w:type="gramEnd"/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BMC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Nephrol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16, 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CFCFC"/>
          <w:lang w:val="en-US" w:eastAsia="fr-FR"/>
        </w:rPr>
        <w:t xml:space="preserve">145 (2015). </w:t>
      </w:r>
      <w:hyperlink r:id="rId6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CFCFC"/>
            <w:lang w:val="en-US" w:eastAsia="fr-FR"/>
          </w:rPr>
          <w:t>https://doi.org/10.1186/s12882-015-0105-6</w:t>
        </w:r>
      </w:hyperlink>
    </w:p>
    <w:p w:rsidR="00FA66D6" w:rsidRPr="001D01C0" w:rsidRDefault="00FA66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Lin, H.,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Peddada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S.D. Analysis of compositions of microbiomes with bias correction.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Nat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Commun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11, 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3514 (2020). </w:t>
      </w:r>
      <w:hyperlink r:id="rId7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https://doi.org/10.1038/s41467-020-17041-7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McDonough, L.K., Meredith, K.T.,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Nikagolla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C.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The water chemistry and microbiome of household wells in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Medawachchiya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, Sri Lanka, an area with high prevalence of chronic kidney disease of unknown origin (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CKDu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).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Sci Rep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10, 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18295 (2020). </w:t>
      </w:r>
      <w:hyperlink r:id="rId8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https://doi.org/10.1038/s41598-020-75336-7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Schultz, M.B., Kane, A.E., Mitchell, S.J.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Age and life expectancy clocks based on machine learning analysis of mouse frailty.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Nat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Commun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11, 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4618 (2020). </w:t>
      </w:r>
      <w:hyperlink r:id="rId9" w:history="1">
        <w:r w:rsidRPr="001D01C0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https://doi.org/10.1038/s41467-020-18446-0</w:t>
        </w:r>
      </w:hyperlink>
    </w:p>
    <w:p w:rsidR="0075692B" w:rsidRPr="001D01C0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9F36B8" w:rsidRDefault="0075692B" w:rsidP="0075692B">
      <w:pPr>
        <w:rPr>
          <w:rFonts w:cstheme="minorHAnsi"/>
          <w:color w:val="0070C0"/>
          <w:sz w:val="28"/>
          <w:szCs w:val="28"/>
          <w:u w:val="single"/>
          <w:lang w:val="en-US"/>
        </w:rPr>
      </w:pP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Valentina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Volynets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Sandrine Louis, Dominik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Pretz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Lisa Lang, Maureen J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Ostaff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Jan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Wehkamp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Stephan C Bischoff, Intestinal Barrier Function and the Gut Microbiome Are Differentially Affected in Mice Fed a Western-Style Diet or Drinking Water Supplemented with Fructose,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F36B8">
        <w:rPr>
          <w:rStyle w:val="Accentuation"/>
          <w:rFonts w:cstheme="minorHAnsi"/>
          <w:color w:val="000000" w:themeColor="text1"/>
          <w:sz w:val="28"/>
          <w:szCs w:val="28"/>
          <w:bdr w:val="none" w:sz="0" w:space="0" w:color="auto" w:frame="1"/>
          <w:lang w:val="en-US"/>
        </w:rPr>
        <w:t>The Journal of Nutrition</w:t>
      </w: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Volume 147, Issue 5, May 2017, Pages 770–780,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0" w:history="1">
        <w:r w:rsidRPr="009F36B8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https://doi.org/10.3945/jn.116.242859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Walker, S.P., Barrett, M., Hogan, G.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et al.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Non-specific amplification of human DNA is a major challenge for 16S rRNA gene sequence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analysis.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Sci</w:t>
      </w:r>
      <w:proofErr w:type="spellEnd"/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 Rep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10,</w:t>
      </w:r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 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16356 (2020). </w:t>
      </w:r>
      <w:hyperlink r:id="rId11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shd w:val="clear" w:color="auto" w:fill="FFFFFF"/>
            <w:lang w:val="en-US" w:eastAsia="fr-FR"/>
          </w:rPr>
          <w:t>https://doi.org/10.1038/s41598-020-73403-7</w:t>
        </w:r>
      </w:hyperlink>
    </w:p>
    <w:p w:rsidR="0075692B" w:rsidRPr="0075692B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Default="0075692B" w:rsidP="0075692B">
      <w:pPr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</w:pP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Wijetunge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S,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Ratnatunga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NV,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Abeysekera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TD,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Wazil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AW,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Selvarajah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M. Endemic chronic kidney disease of unknown etiology in Sri Lanka: Correlation of pathology with clinical stages. Indian J 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Nephrol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. 2015 Sep-Oct;25(5):274-80. </w:t>
      </w:r>
      <w:hyperlink r:id="rId12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https://doi.org/10.4103/0971-4065.145095</w:t>
        </w:r>
      </w:hyperlink>
    </w:p>
    <w:p w:rsidR="009F36B8" w:rsidRDefault="009F36B8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9F36B8" w:rsidRPr="001D01C0" w:rsidRDefault="009F36B8" w:rsidP="0075692B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Md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Zoqratt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MZH,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Eng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WWH, Thai BT, Austin CM, Gan HM. 2018. Microbiome analysis of Pacific </w:t>
      </w:r>
      <w:r w:rsidR="00963E6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white shrimp gut and rearing water from Malaysia and </w:t>
      </w:r>
      <w:r w:rsidR="00963E6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lastRenderedPageBreak/>
        <w:t xml:space="preserve">Vietnam: implications for aquaculture research and management. </w:t>
      </w:r>
      <w:proofErr w:type="spellStart"/>
      <w:r w:rsidR="00963E60" w:rsidRPr="001D01C0">
        <w:rPr>
          <w:rFonts w:eastAsia="Times New Roman" w:cstheme="minorHAnsi"/>
          <w:i/>
          <w:color w:val="000000" w:themeColor="text1"/>
          <w:sz w:val="28"/>
          <w:szCs w:val="28"/>
          <w:lang w:eastAsia="fr-FR"/>
        </w:rPr>
        <w:t>PeerJ</w:t>
      </w:r>
      <w:proofErr w:type="spellEnd"/>
      <w:r w:rsidR="00963E60" w:rsidRPr="001D01C0">
        <w:rPr>
          <w:rFonts w:eastAsia="Times New Roman" w:cstheme="minorHAnsi"/>
          <w:i/>
          <w:color w:val="000000" w:themeColor="text1"/>
          <w:sz w:val="28"/>
          <w:szCs w:val="28"/>
          <w:lang w:eastAsia="fr-FR"/>
        </w:rPr>
        <w:t xml:space="preserve"> </w:t>
      </w:r>
      <w:r w:rsidR="00963E60" w:rsidRPr="001D01C0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6:e5826 </w:t>
      </w:r>
      <w:hyperlink r:id="rId13" w:history="1">
        <w:r w:rsidR="00963E60" w:rsidRPr="001D01C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https://doi.org/10.7717/peerj.5826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</w:p>
    <w:p w:rsidR="0075692B" w:rsidRPr="0075692B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Canadas-</w:t>
      </w:r>
      <w:proofErr w:type="spellStart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Garre</w:t>
      </w:r>
      <w:proofErr w:type="spellEnd"/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 xml:space="preserve">, M. et al. 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Genetic susceptibility to chronic kidney disease — some more pieces for the heritability puzzle.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75692B">
        <w:rPr>
          <w:rFonts w:eastAsia="Times New Roman" w:cstheme="minorHAnsi"/>
          <w:i/>
          <w:iCs/>
          <w:color w:val="000000" w:themeColor="text1"/>
          <w:sz w:val="28"/>
          <w:szCs w:val="28"/>
          <w:lang w:eastAsia="fr-FR"/>
        </w:rPr>
        <w:t>Front. Genet.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75692B">
        <w:rPr>
          <w:rFonts w:eastAsia="Times New Roman" w:cstheme="minorHAnsi"/>
          <w:bCs/>
          <w:color w:val="000000" w:themeColor="text1"/>
          <w:sz w:val="28"/>
          <w:szCs w:val="28"/>
          <w:lang w:eastAsia="fr-FR"/>
        </w:rPr>
        <w:t>10</w:t>
      </w:r>
      <w:r w:rsidRPr="0075692B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 453 (2019).</w:t>
      </w:r>
    </w:p>
    <w:p w:rsidR="0075692B" w:rsidRPr="009F36B8" w:rsidRDefault="001D01C0" w:rsidP="0075692B">
      <w:pPr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</w:pPr>
      <w:hyperlink r:id="rId14" w:history="1">
        <w:r w:rsidR="0075692B"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https://doi.org/10.3389/fgene.2019.00453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75692B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Andrew Scott 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Terker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, Mark de 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Caestecker</w:t>
      </w:r>
      <w:proofErr w:type="spellEnd"/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.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Modeling human disease: a mouse model of acute kidney injury to chronic kidney disease progression after cardiac arrest,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Kidney International,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Volume 97, Issue 1,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2020,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Pages 22-24,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ISSN 0085-2538,</w:t>
      </w:r>
      <w:r w:rsidR="00E95CD6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hyperlink r:id="rId15" w:history="1">
        <w:r w:rsidRPr="009F36B8">
          <w:rPr>
            <w:rStyle w:val="Lienhypertexte"/>
            <w:rFonts w:eastAsia="Times New Roman" w:cstheme="minorHAnsi"/>
            <w:color w:val="0070C0"/>
            <w:sz w:val="28"/>
            <w:szCs w:val="28"/>
            <w:lang w:val="en-US" w:eastAsia="fr-FR"/>
          </w:rPr>
          <w:t>https://doi.org/10.1016/j.kint.2019.09.017</w:t>
        </w:r>
      </w:hyperlink>
    </w:p>
    <w:p w:rsidR="0075692B" w:rsidRPr="009F36B8" w:rsidRDefault="0075692B" w:rsidP="0075692B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E95CD6" w:rsidRPr="001D01C0" w:rsidRDefault="00E95CD6" w:rsidP="00E95CD6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Tani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 T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Fujiwara M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proofErr w:type="spellStart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>Orimo</w:t>
      </w:r>
      <w:proofErr w:type="spellEnd"/>
      <w:r w:rsidRPr="009F36B8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 H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</w:t>
      </w:r>
      <w:r w:rsidRPr="00E95CD6">
        <w:rPr>
          <w:rFonts w:eastAsia="Times New Roman" w:cstheme="minorHAnsi"/>
          <w:i/>
          <w:iCs/>
          <w:color w:val="000000" w:themeColor="text1"/>
          <w:sz w:val="28"/>
          <w:szCs w:val="28"/>
          <w:lang w:eastAsia="fr-FR"/>
        </w:rPr>
        <w:t>et al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fr-FR"/>
        </w:rPr>
        <w:t>  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Inhibition of tissue‐nonspecific alkaline phosphatase protects against medial arterial calcification and improved survival probability in the CKD‐MBD mouse model</w:t>
      </w:r>
      <w:r w:rsidRPr="00E95CD6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.</w:t>
      </w:r>
      <w:r w:rsidRPr="009F36B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 xml:space="preserve">J </w:t>
      </w:r>
      <w:proofErr w:type="spellStart"/>
      <w:r w:rsidRPr="001D01C0">
        <w:rPr>
          <w:rFonts w:eastAsia="Times New Roman" w:cstheme="minorHAnsi"/>
          <w:i/>
          <w:iCs/>
          <w:color w:val="000000" w:themeColor="text1"/>
          <w:sz w:val="28"/>
          <w:szCs w:val="28"/>
          <w:lang w:val="en-US" w:eastAsia="fr-FR"/>
        </w:rPr>
        <w:t>Pathol</w:t>
      </w:r>
      <w:proofErr w:type="spellEnd"/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2020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;  </w:t>
      </w:r>
      <w:r w:rsidRPr="001D01C0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250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: 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30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– </w:t>
      </w:r>
      <w:r w:rsidRPr="001D01C0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41</w:t>
      </w:r>
      <w:r w:rsidRP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>.</w:t>
      </w:r>
      <w:r w:rsidR="001D01C0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fr-FR"/>
        </w:rPr>
        <w:t xml:space="preserve"> </w:t>
      </w:r>
      <w:hyperlink r:id="rId16" w:history="1">
        <w:r w:rsidR="001D01C0" w:rsidRPr="00854E5C">
          <w:rPr>
            <w:rStyle w:val="Lienhypertexte"/>
            <w:rFonts w:cstheme="minorHAnsi"/>
            <w:bCs/>
            <w:sz w:val="28"/>
            <w:szCs w:val="28"/>
            <w:lang w:val="en-US"/>
          </w:rPr>
          <w:t>https://doi.org/10.10</w:t>
        </w:r>
        <w:r w:rsidR="001D01C0" w:rsidRPr="00854E5C">
          <w:rPr>
            <w:rStyle w:val="Lienhypertexte"/>
            <w:rFonts w:cstheme="minorHAnsi"/>
            <w:bCs/>
            <w:sz w:val="28"/>
            <w:szCs w:val="28"/>
            <w:lang w:val="en-US"/>
          </w:rPr>
          <w:t>0</w:t>
        </w:r>
        <w:r w:rsidR="001D01C0" w:rsidRPr="00854E5C">
          <w:rPr>
            <w:rStyle w:val="Lienhypertexte"/>
            <w:rFonts w:cstheme="minorHAnsi"/>
            <w:bCs/>
            <w:sz w:val="28"/>
            <w:szCs w:val="28"/>
            <w:lang w:val="en-US"/>
          </w:rPr>
          <w:t>2/path.5346</w:t>
        </w:r>
      </w:hyperlink>
    </w:p>
    <w:p w:rsidR="00E95CD6" w:rsidRPr="001D01C0" w:rsidRDefault="00E95CD6" w:rsidP="00E95CD6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9F36B8" w:rsidRPr="001D01C0" w:rsidRDefault="00E95CD6" w:rsidP="009F36B8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C.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Pietrement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L.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Gorisse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S.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Jaisson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Gillery</w:t>
      </w:r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>Chronic</w:t>
      </w:r>
      <w:proofErr w:type="spellEnd"/>
      <w:r w:rsidRPr="009F36B8">
        <w:rPr>
          <w:rFonts w:eastAsia="Times New Roman" w:cstheme="minorHAnsi"/>
          <w:bCs/>
          <w:color w:val="000000" w:themeColor="text1"/>
          <w:sz w:val="28"/>
          <w:szCs w:val="28"/>
          <w:lang w:val="en-US" w:eastAsia="fr-FR"/>
        </w:rPr>
        <w:t xml:space="preserve"> increase of urea leads to carbamylated proteins accumulation in tissues in a mouse model of CKD</w:t>
      </w:r>
      <w:r w:rsidR="009F36B8"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</w:t>
      </w:r>
      <w:proofErr w:type="spellStart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PloS</w:t>
      </w:r>
      <w:proofErr w:type="spellEnd"/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 xml:space="preserve"> One,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8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(2013), p.</w:t>
      </w:r>
      <w:r w:rsidRPr="009F36B8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 </w:t>
      </w:r>
      <w:r w:rsidRPr="00E95CD6"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  <w:t>e82506</w:t>
      </w:r>
      <w:r w:rsidRPr="009F36B8">
        <w:rPr>
          <w:rFonts w:eastAsia="Times New Roman" w:cstheme="minorHAnsi"/>
          <w:color w:val="0070C0"/>
          <w:sz w:val="28"/>
          <w:szCs w:val="28"/>
          <w:u w:val="single"/>
          <w:lang w:val="en-US" w:eastAsia="fr-FR"/>
        </w:rPr>
        <w:t xml:space="preserve"> </w:t>
      </w:r>
      <w:hyperlink r:id="rId17" w:history="1">
        <w:r w:rsidR="009F36B8" w:rsidRPr="009F36B8">
          <w:rPr>
            <w:rStyle w:val="Lienhypertexte"/>
            <w:rFonts w:cstheme="minorHAnsi"/>
            <w:color w:val="0070C0"/>
            <w:sz w:val="28"/>
            <w:szCs w:val="28"/>
            <w:lang w:val="en-US"/>
          </w:rPr>
          <w:t>https://doi.org/10.1</w:t>
        </w:r>
        <w:r w:rsidR="009F36B8" w:rsidRPr="009F36B8">
          <w:rPr>
            <w:rStyle w:val="Lienhypertexte"/>
            <w:rFonts w:cstheme="minorHAnsi"/>
            <w:color w:val="0070C0"/>
            <w:sz w:val="28"/>
            <w:szCs w:val="28"/>
            <w:lang w:val="en-US"/>
          </w:rPr>
          <w:t>3</w:t>
        </w:r>
        <w:r w:rsidR="009F36B8" w:rsidRPr="009F36B8">
          <w:rPr>
            <w:rStyle w:val="Lienhypertexte"/>
            <w:rFonts w:cstheme="minorHAnsi"/>
            <w:color w:val="0070C0"/>
            <w:sz w:val="28"/>
            <w:szCs w:val="28"/>
            <w:lang w:val="en-US"/>
          </w:rPr>
          <w:t>71/journal.pone.0082506</w:t>
        </w:r>
      </w:hyperlink>
    </w:p>
    <w:p w:rsidR="009F36B8" w:rsidRPr="009F36B8" w:rsidRDefault="009F36B8" w:rsidP="009F36B8">
      <w:pPr>
        <w:rPr>
          <w:rFonts w:eastAsia="Times New Roman" w:cstheme="minorHAnsi"/>
          <w:color w:val="000000" w:themeColor="text1"/>
          <w:sz w:val="28"/>
          <w:szCs w:val="28"/>
          <w:lang w:val="en-US" w:eastAsia="fr-FR"/>
        </w:rPr>
      </w:pPr>
    </w:p>
    <w:p w:rsidR="0075692B" w:rsidRPr="009F36B8" w:rsidRDefault="009F36B8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Masaya Baba,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Mutsuo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Furihata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Seung-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Beom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Hong, Lino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Tessarollo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Diana C. Haines, Eileen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Southon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Vishal Patel, Peter Igarashi, W. Gregory Alvord, Robert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Leighty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Masahiro Yao, Marcelino Bernardo, Lilia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Ileva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Peter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Choyke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Michelle B. Warren,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Berton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Zbar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W. Marston Linehan, Laura S. Schmidt, Kidney-Targeted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Birt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-Hogg-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Dubé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Gene Inactivation in a Mouse Model: Erk1/2 and </w:t>
      </w:r>
      <w:proofErr w:type="spellStart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Akt</w:t>
      </w:r>
      <w:proofErr w:type="spellEnd"/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-mTOR Activation, Cell Hyperproliferation, and Polycystic Kidneys,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F36B8">
        <w:rPr>
          <w:rStyle w:val="Accentuation"/>
          <w:rFonts w:cstheme="minorHAnsi"/>
          <w:color w:val="000000" w:themeColor="text1"/>
          <w:sz w:val="28"/>
          <w:szCs w:val="28"/>
          <w:bdr w:val="none" w:sz="0" w:space="0" w:color="auto" w:frame="1"/>
          <w:lang w:val="en-US"/>
        </w:rPr>
        <w:t>JNCI: Journal of the National Cancer Institute</w:t>
      </w:r>
      <w:r w:rsidRPr="009F36B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 Volume 100, Issue 2, 16 January 2008, Pages 140–154,</w:t>
      </w:r>
      <w:r w:rsidRPr="009F36B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8" w:history="1">
        <w:r w:rsidRPr="009F36B8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https://doi.org/1</w:t>
        </w:r>
        <w:bookmarkStart w:id="0" w:name="_GoBack"/>
        <w:bookmarkEnd w:id="0"/>
        <w:r w:rsidRPr="009F36B8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0</w:t>
        </w:r>
        <w:r w:rsidRPr="009F36B8">
          <w:rPr>
            <w:rStyle w:val="Lienhypertexte"/>
            <w:rFonts w:cstheme="minorHAnsi"/>
            <w:color w:val="0070C0"/>
            <w:sz w:val="28"/>
            <w:szCs w:val="28"/>
            <w:bdr w:val="none" w:sz="0" w:space="0" w:color="auto" w:frame="1"/>
            <w:lang w:val="en-US"/>
          </w:rPr>
          <w:t>.1093/jnci/djm288</w:t>
        </w:r>
      </w:hyperlink>
    </w:p>
    <w:sectPr w:rsidR="0075692B" w:rsidRPr="009F36B8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77ED"/>
    <w:multiLevelType w:val="multilevel"/>
    <w:tmpl w:val="21A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D6"/>
    <w:rsid w:val="001D01C0"/>
    <w:rsid w:val="003866E9"/>
    <w:rsid w:val="00490D48"/>
    <w:rsid w:val="0075692B"/>
    <w:rsid w:val="0095541D"/>
    <w:rsid w:val="00963E60"/>
    <w:rsid w:val="009F36B8"/>
    <w:rsid w:val="00A033F9"/>
    <w:rsid w:val="00BF39C7"/>
    <w:rsid w:val="00E95CD6"/>
    <w:rsid w:val="00ED761D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EBE59"/>
  <w14:defaultImageDpi w14:val="32767"/>
  <w15:chartTrackingRefBased/>
  <w15:docId w15:val="{A2327D0B-1A1A-0A4F-A241-253FD5A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6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A66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66D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FA66D6"/>
  </w:style>
  <w:style w:type="character" w:styleId="Accentuation">
    <w:name w:val="Emphasis"/>
    <w:basedOn w:val="Policepardfaut"/>
    <w:uiPriority w:val="20"/>
    <w:qFormat/>
    <w:rsid w:val="0075692B"/>
    <w:rPr>
      <w:i/>
      <w:iCs/>
    </w:rPr>
  </w:style>
  <w:style w:type="character" w:customStyle="1" w:styleId="self-citation-authors">
    <w:name w:val="self-citation-authors"/>
    <w:basedOn w:val="Policepardfaut"/>
    <w:rsid w:val="0075692B"/>
  </w:style>
  <w:style w:type="character" w:customStyle="1" w:styleId="self-citation-year">
    <w:name w:val="self-citation-year"/>
    <w:basedOn w:val="Policepardfaut"/>
    <w:rsid w:val="0075692B"/>
  </w:style>
  <w:style w:type="character" w:customStyle="1" w:styleId="self-citation-title">
    <w:name w:val="self-citation-title"/>
    <w:basedOn w:val="Policepardfaut"/>
    <w:rsid w:val="0075692B"/>
  </w:style>
  <w:style w:type="character" w:customStyle="1" w:styleId="self-citation-journal">
    <w:name w:val="self-citation-journal"/>
    <w:basedOn w:val="Policepardfaut"/>
    <w:rsid w:val="0075692B"/>
  </w:style>
  <w:style w:type="character" w:customStyle="1" w:styleId="self-citation-volume">
    <w:name w:val="self-citation-volume"/>
    <w:basedOn w:val="Policepardfaut"/>
    <w:rsid w:val="0075692B"/>
  </w:style>
  <w:style w:type="character" w:customStyle="1" w:styleId="self-citation-elocation">
    <w:name w:val="self-citation-elocation"/>
    <w:basedOn w:val="Policepardfaut"/>
    <w:rsid w:val="0075692B"/>
  </w:style>
  <w:style w:type="character" w:customStyle="1" w:styleId="author">
    <w:name w:val="author"/>
    <w:basedOn w:val="Policepardfaut"/>
    <w:rsid w:val="00E95CD6"/>
  </w:style>
  <w:style w:type="character" w:customStyle="1" w:styleId="articletitle">
    <w:name w:val="articletitle"/>
    <w:basedOn w:val="Policepardfaut"/>
    <w:rsid w:val="00E95CD6"/>
  </w:style>
  <w:style w:type="character" w:customStyle="1" w:styleId="pubyear">
    <w:name w:val="pubyear"/>
    <w:basedOn w:val="Policepardfaut"/>
    <w:rsid w:val="00E95CD6"/>
  </w:style>
  <w:style w:type="character" w:customStyle="1" w:styleId="vol">
    <w:name w:val="vol"/>
    <w:basedOn w:val="Policepardfaut"/>
    <w:rsid w:val="00E95CD6"/>
  </w:style>
  <w:style w:type="character" w:customStyle="1" w:styleId="pagefirst">
    <w:name w:val="pagefirst"/>
    <w:basedOn w:val="Policepardfaut"/>
    <w:rsid w:val="00E95CD6"/>
  </w:style>
  <w:style w:type="character" w:customStyle="1" w:styleId="pagelast">
    <w:name w:val="pagelast"/>
    <w:basedOn w:val="Policepardfaut"/>
    <w:rsid w:val="00E95CD6"/>
  </w:style>
  <w:style w:type="character" w:styleId="lev">
    <w:name w:val="Strong"/>
    <w:basedOn w:val="Policepardfaut"/>
    <w:uiPriority w:val="22"/>
    <w:qFormat/>
    <w:rsid w:val="00E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20-75336-7" TargetMode="External"/><Relationship Id="rId13" Type="http://schemas.openxmlformats.org/officeDocument/2006/relationships/hyperlink" Target="https://doi.org/10.7717/peerj.5826" TargetMode="External"/><Relationship Id="rId18" Type="http://schemas.openxmlformats.org/officeDocument/2006/relationships/hyperlink" Target="https://doi.org/10.1093/jnci/djm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467-020-17041-7" TargetMode="External"/><Relationship Id="rId12" Type="http://schemas.openxmlformats.org/officeDocument/2006/relationships/hyperlink" Target="https://doi.org/10.4103/0971-4065.145095" TargetMode="External"/><Relationship Id="rId17" Type="http://schemas.openxmlformats.org/officeDocument/2006/relationships/hyperlink" Target="https://doi.org/10.1371/journal.pone.00825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path.53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2882-015-0105-6" TargetMode="External"/><Relationship Id="rId11" Type="http://schemas.openxmlformats.org/officeDocument/2006/relationships/hyperlink" Target="https://doi.org/10.1038/s41598-020-73403-7" TargetMode="External"/><Relationship Id="rId5" Type="http://schemas.openxmlformats.org/officeDocument/2006/relationships/hyperlink" Target="https://doi.org/10.37757/MR2014.V16.N2.3" TargetMode="External"/><Relationship Id="rId15" Type="http://schemas.openxmlformats.org/officeDocument/2006/relationships/hyperlink" Target="https://doi.org/10.1016/j.kint.2019.09.017" TargetMode="External"/><Relationship Id="rId10" Type="http://schemas.openxmlformats.org/officeDocument/2006/relationships/hyperlink" Target="https://doi.org/10.3945/jn.116.24285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0-18446-0" TargetMode="External"/><Relationship Id="rId14" Type="http://schemas.openxmlformats.org/officeDocument/2006/relationships/hyperlink" Target="https://doi.org/10.3389/fgene.2019.00453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2</cp:revision>
  <dcterms:created xsi:type="dcterms:W3CDTF">2020-11-24T14:00:00Z</dcterms:created>
  <dcterms:modified xsi:type="dcterms:W3CDTF">2020-11-24T15:48:00Z</dcterms:modified>
</cp:coreProperties>
</file>