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73C9" w:rsidRPr="00AA73C9" w:rsidRDefault="00AA73C9" w:rsidP="00AA73C9">
      <w:r w:rsidRPr="00AA73C9">
        <w:pict>
          <v:rect id="_x0000_i1043" style="width:0;height:1.5pt" o:hralign="center" o:hrstd="t" o:hr="t" fillcolor="#a0a0a0" stroked="f"/>
        </w:pict>
      </w:r>
    </w:p>
    <w:p w:rsidR="00AA73C9" w:rsidRPr="00AA73C9" w:rsidRDefault="00AA73C9" w:rsidP="00AA73C9">
      <w:pPr>
        <w:rPr>
          <w:b/>
          <w:bCs/>
        </w:rPr>
      </w:pPr>
      <w:r w:rsidRPr="00AA73C9">
        <w:rPr>
          <w:rFonts w:ascii="Segoe UI Emoji" w:hAnsi="Segoe UI Emoji" w:cs="Segoe UI Emoji"/>
          <w:b/>
          <w:bCs/>
        </w:rPr>
        <w:t>📊</w:t>
      </w:r>
      <w:r w:rsidRPr="00AA73C9">
        <w:rPr>
          <w:b/>
          <w:bCs/>
        </w:rPr>
        <w:t xml:space="preserve"> Relatório de Vendas – Insights</w:t>
      </w:r>
    </w:p>
    <w:p w:rsidR="00AA73C9" w:rsidRPr="00AA73C9" w:rsidRDefault="00AA73C9" w:rsidP="00AA73C9">
      <w:pPr>
        <w:rPr>
          <w:b/>
          <w:bCs/>
        </w:rPr>
      </w:pPr>
      <w:r w:rsidRPr="00AA73C9">
        <w:rPr>
          <w:b/>
          <w:bCs/>
        </w:rPr>
        <w:t xml:space="preserve"> Resumo Geral</w:t>
      </w:r>
    </w:p>
    <w:p w:rsidR="00AA73C9" w:rsidRPr="00AA73C9" w:rsidRDefault="00AA73C9" w:rsidP="00AA73C9">
      <w:pPr>
        <w:numPr>
          <w:ilvl w:val="0"/>
          <w:numId w:val="1"/>
        </w:numPr>
      </w:pPr>
      <w:r w:rsidRPr="00AA73C9">
        <w:rPr>
          <w:b/>
          <w:bCs/>
        </w:rPr>
        <w:t>Total de pedidos:</w:t>
      </w:r>
      <w:r w:rsidRPr="00AA73C9">
        <w:t xml:space="preserve"> 2.823</w:t>
      </w:r>
    </w:p>
    <w:p w:rsidR="00AA73C9" w:rsidRPr="00AA73C9" w:rsidRDefault="00AA73C9" w:rsidP="00AA73C9">
      <w:pPr>
        <w:numPr>
          <w:ilvl w:val="0"/>
          <w:numId w:val="1"/>
        </w:numPr>
      </w:pPr>
      <w:r w:rsidRPr="00AA73C9">
        <w:rPr>
          <w:b/>
          <w:bCs/>
        </w:rPr>
        <w:t>Receita total:</w:t>
      </w:r>
      <w:r w:rsidRPr="00AA73C9">
        <w:t xml:space="preserve"> R$ 10.032.628,85</w:t>
      </w:r>
    </w:p>
    <w:p w:rsidR="00AA73C9" w:rsidRPr="00AA73C9" w:rsidRDefault="00AA73C9" w:rsidP="00AA73C9">
      <w:pPr>
        <w:numPr>
          <w:ilvl w:val="0"/>
          <w:numId w:val="1"/>
        </w:numPr>
      </w:pPr>
      <w:r w:rsidRPr="00AA73C9">
        <w:rPr>
          <w:b/>
          <w:bCs/>
        </w:rPr>
        <w:t>Quantidade total vendida:</w:t>
      </w:r>
      <w:r w:rsidRPr="00AA73C9">
        <w:t xml:space="preserve"> 99.067 unidades</w:t>
      </w:r>
    </w:p>
    <w:p w:rsidR="00AA73C9" w:rsidRPr="00AA73C9" w:rsidRDefault="00AA73C9" w:rsidP="00AA73C9">
      <w:pPr>
        <w:numPr>
          <w:ilvl w:val="0"/>
          <w:numId w:val="1"/>
        </w:numPr>
      </w:pPr>
      <w:r w:rsidRPr="00AA73C9">
        <w:rPr>
          <w:b/>
          <w:bCs/>
        </w:rPr>
        <w:t>Anos analisados:</w:t>
      </w:r>
      <w:r w:rsidRPr="00AA73C9">
        <w:t xml:space="preserve"> 2003, 2004, 2005</w:t>
      </w:r>
    </w:p>
    <w:p w:rsidR="00AA73C9" w:rsidRPr="00AA73C9" w:rsidRDefault="00AA73C9" w:rsidP="00AA73C9">
      <w:pPr>
        <w:numPr>
          <w:ilvl w:val="0"/>
          <w:numId w:val="1"/>
        </w:numPr>
      </w:pPr>
      <w:r w:rsidRPr="00AA73C9">
        <w:rPr>
          <w:b/>
          <w:bCs/>
        </w:rPr>
        <w:t>Número de países atendidos:</w:t>
      </w:r>
      <w:r w:rsidRPr="00AA73C9">
        <w:t xml:space="preserve"> 19</w:t>
      </w:r>
    </w:p>
    <w:p w:rsidR="00AA73C9" w:rsidRPr="00AA73C9" w:rsidRDefault="00AA73C9" w:rsidP="00AA73C9">
      <w:r w:rsidRPr="00AA73C9">
        <w:rPr>
          <w:b/>
          <w:bCs/>
        </w:rPr>
        <w:t>Insight:</w:t>
      </w:r>
      <w:r w:rsidRPr="00AA73C9">
        <w:t xml:space="preserve"> A receita está concentrada nos anos de 2003 e 2004, representando quase 83% do total de vendas.</w:t>
      </w:r>
    </w:p>
    <w:p w:rsidR="00AA73C9" w:rsidRPr="00AA73C9" w:rsidRDefault="00AA73C9" w:rsidP="00AA73C9">
      <w:r w:rsidRPr="00AA73C9">
        <w:pict>
          <v:rect id="_x0000_i1044" style="width:0;height:1.5pt" o:hralign="center" o:hrstd="t" o:hr="t" fillcolor="#a0a0a0" stroked="f"/>
        </w:pict>
      </w:r>
    </w:p>
    <w:p w:rsidR="00AA73C9" w:rsidRDefault="00AA73C9" w:rsidP="00AA73C9">
      <w:pPr>
        <w:rPr>
          <w:b/>
          <w:bCs/>
        </w:rPr>
      </w:pPr>
    </w:p>
    <w:p w:rsidR="00AA73C9" w:rsidRPr="00AA73C9" w:rsidRDefault="00AA73C9" w:rsidP="00AA73C9">
      <w:pPr>
        <w:rPr>
          <w:b/>
          <w:bCs/>
        </w:rPr>
      </w:pPr>
      <w:r w:rsidRPr="00AA73C9">
        <w:rPr>
          <w:b/>
          <w:bCs/>
        </w:rPr>
        <w:t>Linhas de produto mais vendidas (por valor)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2445"/>
        <w:gridCol w:w="2012"/>
      </w:tblGrid>
      <w:tr w:rsidR="00AA73C9" w:rsidRPr="00AA73C9" w:rsidTr="00AA7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Linha de Produto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Valor Total de Vendas (R$)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% sobre Receita Total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Carros Clássicos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3.919.615,66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39%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Carros Vintage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1.903.150,84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19%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Motocicletas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1.166.388,34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12%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Caminhões e Ônibus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1.127.789,84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11%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Aviões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975.003,57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10%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Navios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714.437,13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7%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Trens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226.243,47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2%</w:t>
            </w:r>
          </w:p>
        </w:tc>
      </w:tr>
    </w:tbl>
    <w:p w:rsidR="00AA73C9" w:rsidRPr="00AA73C9" w:rsidRDefault="00AA73C9" w:rsidP="00AA73C9">
      <w:r w:rsidRPr="00AA73C9">
        <w:rPr>
          <w:b/>
          <w:bCs/>
        </w:rPr>
        <w:t>Insight:</w:t>
      </w:r>
      <w:r w:rsidRPr="00AA73C9">
        <w:t xml:space="preserve"> Carros Clássicos e Vintage juntos representam </w:t>
      </w:r>
      <w:r w:rsidRPr="00AA73C9">
        <w:rPr>
          <w:b/>
          <w:bCs/>
        </w:rPr>
        <w:t>58% da receita total</w:t>
      </w:r>
      <w:r w:rsidRPr="00AA73C9">
        <w:t>, mostrando que são os produtos mais estratégicos.</w:t>
      </w:r>
    </w:p>
    <w:p w:rsidR="00AA73C9" w:rsidRPr="00AA73C9" w:rsidRDefault="00AA73C9" w:rsidP="00AA73C9">
      <w:r w:rsidRPr="00AA73C9">
        <w:pict>
          <v:rect id="_x0000_i1045" style="width:0;height:1.5pt" o:hralign="center" o:hrstd="t" o:hr="t" fillcolor="#a0a0a0" stroked="f"/>
        </w:pict>
      </w:r>
    </w:p>
    <w:p w:rsidR="00AA73C9" w:rsidRDefault="00AA73C9" w:rsidP="00AA73C9">
      <w:pPr>
        <w:rPr>
          <w:b/>
          <w:bCs/>
        </w:rPr>
      </w:pPr>
    </w:p>
    <w:p w:rsidR="00AA73C9" w:rsidRDefault="00AA73C9" w:rsidP="00AA73C9">
      <w:pPr>
        <w:rPr>
          <w:b/>
          <w:bCs/>
        </w:rPr>
      </w:pPr>
    </w:p>
    <w:p w:rsidR="00AA73C9" w:rsidRDefault="00AA73C9" w:rsidP="00AA73C9">
      <w:pPr>
        <w:rPr>
          <w:b/>
          <w:bCs/>
        </w:rPr>
      </w:pPr>
    </w:p>
    <w:p w:rsidR="00AA73C9" w:rsidRDefault="00AA73C9" w:rsidP="00AA73C9">
      <w:pPr>
        <w:rPr>
          <w:b/>
          <w:bCs/>
        </w:rPr>
      </w:pPr>
    </w:p>
    <w:p w:rsidR="00AA73C9" w:rsidRDefault="00AA73C9" w:rsidP="00AA73C9">
      <w:pPr>
        <w:rPr>
          <w:b/>
          <w:bCs/>
        </w:rPr>
      </w:pPr>
    </w:p>
    <w:p w:rsidR="00AA73C9" w:rsidRDefault="00AA73C9" w:rsidP="00AA73C9">
      <w:pPr>
        <w:rPr>
          <w:b/>
          <w:bCs/>
        </w:rPr>
      </w:pPr>
    </w:p>
    <w:p w:rsidR="00AA73C9" w:rsidRDefault="00AA73C9" w:rsidP="00AA73C9">
      <w:pPr>
        <w:rPr>
          <w:b/>
          <w:bCs/>
        </w:rPr>
      </w:pPr>
    </w:p>
    <w:p w:rsidR="00AA73C9" w:rsidRPr="00AA73C9" w:rsidRDefault="00AA73C9" w:rsidP="00AA73C9">
      <w:pPr>
        <w:rPr>
          <w:b/>
          <w:bCs/>
        </w:rPr>
      </w:pPr>
      <w:r w:rsidRPr="00AA73C9">
        <w:rPr>
          <w:b/>
          <w:bCs/>
        </w:rPr>
        <w:lastRenderedPageBreak/>
        <w:t>Países que mais geraram vendas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445"/>
        <w:gridCol w:w="2012"/>
      </w:tblGrid>
      <w:tr w:rsidR="00AA73C9" w:rsidRPr="00AA73C9" w:rsidTr="00AA7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Valor Total de Vendas (R$)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% sobre Receita Total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EUA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3.627.982,83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36%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Spain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1.215.686,92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12%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França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1.110.916,52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11%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Austrália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630.623,10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6%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Reino Unido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478.880,46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5%</w:t>
            </w:r>
          </w:p>
        </w:tc>
      </w:tr>
    </w:tbl>
    <w:p w:rsidR="00AA73C9" w:rsidRPr="00AA73C9" w:rsidRDefault="00AA73C9" w:rsidP="00AA73C9">
      <w:r w:rsidRPr="00AA73C9">
        <w:rPr>
          <w:b/>
          <w:bCs/>
        </w:rPr>
        <w:t>Insight:</w:t>
      </w:r>
      <w:r w:rsidRPr="00AA73C9">
        <w:t xml:space="preserve"> O mercado norte-americano domina as vendas, contribuindo com mais de </w:t>
      </w:r>
      <w:r w:rsidRPr="00AA73C9">
        <w:rPr>
          <w:b/>
          <w:bCs/>
        </w:rPr>
        <w:t>1/3 da receita total</w:t>
      </w:r>
      <w:r w:rsidRPr="00AA73C9">
        <w:t>. Europa e Austrália seguem como mercados secundários.</w:t>
      </w:r>
    </w:p>
    <w:p w:rsidR="00AA73C9" w:rsidRPr="00AA73C9" w:rsidRDefault="00AA73C9" w:rsidP="00AA73C9">
      <w:r w:rsidRPr="00AA73C9">
        <w:pict>
          <v:rect id="_x0000_i1046" style="width:0;height:1.5pt" o:hralign="center" o:hrstd="t" o:hr="t" fillcolor="#a0a0a0" stroked="f"/>
        </w:pict>
      </w:r>
    </w:p>
    <w:p w:rsidR="00AA73C9" w:rsidRDefault="00AA73C9" w:rsidP="00AA73C9">
      <w:pPr>
        <w:rPr>
          <w:b/>
          <w:bCs/>
        </w:rPr>
      </w:pPr>
    </w:p>
    <w:p w:rsidR="00AA73C9" w:rsidRPr="00AA73C9" w:rsidRDefault="00AA73C9" w:rsidP="00AA73C9">
      <w:pPr>
        <w:rPr>
          <w:b/>
          <w:bCs/>
        </w:rPr>
      </w:pPr>
      <w:r w:rsidRPr="00AA73C9">
        <w:rPr>
          <w:b/>
          <w:bCs/>
        </w:rPr>
        <w:t>Distribuição de vendas por porte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445"/>
        <w:gridCol w:w="2012"/>
      </w:tblGrid>
      <w:tr w:rsidR="00AA73C9" w:rsidRPr="00AA73C9" w:rsidTr="00AA7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Porte de Negócio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Valor Total de Vendas (R$)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% sobre Receita Total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Médio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6.087.432,24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61%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Pequeno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2.643.077,35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26%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Grande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1.302.119,26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13%</w:t>
            </w:r>
          </w:p>
        </w:tc>
      </w:tr>
    </w:tbl>
    <w:p w:rsidR="00AA73C9" w:rsidRPr="00AA73C9" w:rsidRDefault="00AA73C9" w:rsidP="00AA73C9">
      <w:r w:rsidRPr="00AA73C9">
        <w:rPr>
          <w:b/>
          <w:bCs/>
        </w:rPr>
        <w:t>Insight:</w:t>
      </w:r>
      <w:r w:rsidRPr="00AA73C9">
        <w:t xml:space="preserve"> A maioria das vendas vem de empresas de porte médio, sendo o público-alvo mais importante para estratégias futuras.</w:t>
      </w:r>
    </w:p>
    <w:p w:rsidR="00AA73C9" w:rsidRPr="00AA73C9" w:rsidRDefault="00AA73C9" w:rsidP="00AA73C9">
      <w:r w:rsidRPr="00AA73C9">
        <w:pict>
          <v:rect id="_x0000_i1047" style="width:0;height:1.5pt" o:hralign="center" o:hrstd="t" o:hr="t" fillcolor="#a0a0a0" stroked="f"/>
        </w:pict>
      </w:r>
    </w:p>
    <w:p w:rsidR="00AA73C9" w:rsidRDefault="00AA73C9" w:rsidP="00AA73C9">
      <w:pPr>
        <w:rPr>
          <w:b/>
          <w:bCs/>
        </w:rPr>
      </w:pPr>
    </w:p>
    <w:p w:rsidR="00AA73C9" w:rsidRPr="00AA73C9" w:rsidRDefault="00AA73C9" w:rsidP="00AA73C9">
      <w:pPr>
        <w:rPr>
          <w:b/>
          <w:bCs/>
        </w:rPr>
      </w:pPr>
      <w:r w:rsidRPr="00AA73C9">
        <w:rPr>
          <w:b/>
          <w:bCs/>
        </w:rPr>
        <w:t>Produtos mais vendidos (por quantidade)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934"/>
        <w:gridCol w:w="2097"/>
      </w:tblGrid>
      <w:tr w:rsidR="00AA73C9" w:rsidRPr="00AA73C9" w:rsidTr="00AA7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Linha de Produto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Quantidade Vendida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% sobre Total Vendido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Carros Clássicos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33.992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34%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Carros Vintage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21.069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21%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Motocicletas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11.663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12%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Caminhões e Ônibus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10.777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11%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Aviões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10.727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11%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Navios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8.127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8%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Trens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2.712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3%</w:t>
            </w:r>
          </w:p>
        </w:tc>
      </w:tr>
    </w:tbl>
    <w:p w:rsidR="00AA73C9" w:rsidRPr="00AA73C9" w:rsidRDefault="00AA73C9" w:rsidP="00AA73C9">
      <w:r w:rsidRPr="00AA73C9">
        <w:rPr>
          <w:b/>
          <w:bCs/>
        </w:rPr>
        <w:lastRenderedPageBreak/>
        <w:t>Insight:</w:t>
      </w:r>
      <w:r w:rsidRPr="00AA73C9">
        <w:t xml:space="preserve"> Em quantidade, Carros Clássicos lideram, mas Motocicletas e Caminhões também têm participação significativa no volume de vendas.</w:t>
      </w:r>
    </w:p>
    <w:p w:rsidR="00AA73C9" w:rsidRPr="00AA73C9" w:rsidRDefault="00AA73C9" w:rsidP="00AA73C9">
      <w:r w:rsidRPr="00AA73C9">
        <w:pict>
          <v:rect id="_x0000_i1048" style="width:0;height:1.5pt" o:hralign="center" o:hrstd="t" o:hr="t" fillcolor="#a0a0a0" stroked="f"/>
        </w:pict>
      </w:r>
    </w:p>
    <w:p w:rsidR="00AA73C9" w:rsidRDefault="00AA73C9" w:rsidP="00AA73C9">
      <w:pPr>
        <w:rPr>
          <w:b/>
          <w:bCs/>
        </w:rPr>
      </w:pPr>
    </w:p>
    <w:p w:rsidR="00AA73C9" w:rsidRDefault="00AA73C9" w:rsidP="00AA73C9">
      <w:pPr>
        <w:rPr>
          <w:b/>
          <w:bCs/>
        </w:rPr>
      </w:pPr>
    </w:p>
    <w:p w:rsidR="00AA73C9" w:rsidRDefault="00AA73C9" w:rsidP="00AA73C9">
      <w:pPr>
        <w:rPr>
          <w:b/>
          <w:bCs/>
        </w:rPr>
      </w:pPr>
    </w:p>
    <w:p w:rsidR="00AA73C9" w:rsidRPr="00AA73C9" w:rsidRDefault="00AA73C9" w:rsidP="00AA73C9">
      <w:pPr>
        <w:rPr>
          <w:b/>
          <w:bCs/>
        </w:rPr>
      </w:pPr>
      <w:r w:rsidRPr="00AA73C9">
        <w:rPr>
          <w:b/>
          <w:bCs/>
        </w:rPr>
        <w:t>Vendas totais por ano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445"/>
        <w:gridCol w:w="2012"/>
      </w:tblGrid>
      <w:tr w:rsidR="00AA73C9" w:rsidRPr="00AA73C9" w:rsidTr="00AA7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Valor Total de Vendas (R$)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% sobre Receita Total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2004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4.724.162,60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47%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2003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3.516.979,54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35%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2005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1.791.486,71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18%</w:t>
            </w:r>
          </w:p>
        </w:tc>
      </w:tr>
    </w:tbl>
    <w:p w:rsidR="00AA73C9" w:rsidRPr="00AA73C9" w:rsidRDefault="00AA73C9" w:rsidP="00AA73C9">
      <w:r w:rsidRPr="00AA73C9">
        <w:rPr>
          <w:b/>
          <w:bCs/>
        </w:rPr>
        <w:t>Insight:</w:t>
      </w:r>
      <w:r w:rsidRPr="00AA73C9">
        <w:t xml:space="preserve"> O ano de 2004 foi o mais lucrativo, concentrando quase metade da receita total.</w:t>
      </w:r>
    </w:p>
    <w:p w:rsidR="00AA73C9" w:rsidRPr="00AA73C9" w:rsidRDefault="00AA73C9" w:rsidP="00AA73C9">
      <w:r w:rsidRPr="00AA73C9">
        <w:pict>
          <v:rect id="_x0000_i1049" style="width:0;height:1.5pt" o:hralign="center" o:hrstd="t" o:hr="t" fillcolor="#a0a0a0" stroked="f"/>
        </w:pict>
      </w:r>
    </w:p>
    <w:p w:rsidR="00AA73C9" w:rsidRPr="00AA73C9" w:rsidRDefault="00AA73C9" w:rsidP="00AA73C9">
      <w:pPr>
        <w:rPr>
          <w:b/>
          <w:bCs/>
        </w:rPr>
      </w:pPr>
      <w:r>
        <w:rPr>
          <w:b/>
          <w:bCs/>
        </w:rPr>
        <w:t xml:space="preserve"> </w:t>
      </w:r>
      <w:r w:rsidRPr="00AA73C9">
        <w:rPr>
          <w:b/>
          <w:bCs/>
        </w:rPr>
        <w:t>Vendas totais por mês (todos os anos)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445"/>
        <w:gridCol w:w="2012"/>
      </w:tblGrid>
      <w:tr w:rsidR="00AA73C9" w:rsidRPr="00AA73C9" w:rsidTr="00AA7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Valor Total de Vendas (R$)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pPr>
              <w:rPr>
                <w:b/>
                <w:bCs/>
              </w:rPr>
            </w:pPr>
            <w:r w:rsidRPr="00AA73C9">
              <w:rPr>
                <w:b/>
                <w:bCs/>
              </w:rPr>
              <w:t>% sobre Receita Total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Novembro (11)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2.118.885,67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21%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Outubro (10)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1.121.215,22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11%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Maio (5)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923.972,56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9%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Fevereiro (2)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810.441,90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8%</w:t>
            </w:r>
          </w:p>
        </w:tc>
      </w:tr>
      <w:tr w:rsidR="00AA73C9" w:rsidRPr="00AA73C9" w:rsidTr="00AA73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Janeiro (1)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785.874,44</w:t>
            </w:r>
          </w:p>
        </w:tc>
        <w:tc>
          <w:tcPr>
            <w:tcW w:w="0" w:type="auto"/>
            <w:vAlign w:val="center"/>
            <w:hideMark/>
          </w:tcPr>
          <w:p w:rsidR="00AA73C9" w:rsidRPr="00AA73C9" w:rsidRDefault="00AA73C9" w:rsidP="00AA73C9">
            <w:r w:rsidRPr="00AA73C9">
              <w:t>8%</w:t>
            </w:r>
          </w:p>
        </w:tc>
      </w:tr>
    </w:tbl>
    <w:p w:rsidR="00AA73C9" w:rsidRPr="00AA73C9" w:rsidRDefault="00AA73C9" w:rsidP="00AA73C9">
      <w:r w:rsidRPr="00AA73C9">
        <w:rPr>
          <w:b/>
          <w:bCs/>
        </w:rPr>
        <w:t>Insight:</w:t>
      </w:r>
      <w:r w:rsidRPr="00AA73C9">
        <w:t xml:space="preserve"> </w:t>
      </w:r>
      <w:proofErr w:type="gramStart"/>
      <w:r w:rsidRPr="00AA73C9">
        <w:t>Novembro</w:t>
      </w:r>
      <w:proofErr w:type="gramEnd"/>
      <w:r w:rsidRPr="00AA73C9">
        <w:t xml:space="preserve"> concentra o maior faturamento mensal, sendo crítico para estratégias de estoque e marketing.</w:t>
      </w:r>
    </w:p>
    <w:p w:rsidR="00FC540F" w:rsidRPr="00AA73C9" w:rsidRDefault="00AA73C9" w:rsidP="00F962A8">
      <w:r w:rsidRPr="00AA73C9">
        <w:pict>
          <v:rect id="_x0000_i1050" style="width:0;height:1.5pt" o:hralign="center" o:hrstd="t" o:hr="t" fillcolor="#a0a0a0" stroked="f"/>
        </w:pict>
      </w:r>
    </w:p>
    <w:p w:rsidR="00F962A8" w:rsidRDefault="00F962A8" w:rsidP="00F962A8"/>
    <w:p w:rsidR="00FC540F" w:rsidRDefault="00FC540F" w:rsidP="00F962A8"/>
    <w:p w:rsidR="00FC540F" w:rsidRDefault="00FC540F" w:rsidP="00F962A8"/>
    <w:p w:rsidR="00FC540F" w:rsidRDefault="00FC540F" w:rsidP="00F962A8"/>
    <w:p w:rsidR="00FC540F" w:rsidRDefault="00FC540F" w:rsidP="00F962A8"/>
    <w:p w:rsidR="00FC540F" w:rsidRDefault="00FC540F" w:rsidP="00F962A8"/>
    <w:p w:rsidR="00FC540F" w:rsidRPr="00FC540F" w:rsidRDefault="00FC540F" w:rsidP="00FC540F"/>
    <w:p w:rsidR="00FC540F" w:rsidRPr="00FC540F" w:rsidRDefault="00FC540F" w:rsidP="00FC540F">
      <w:pPr>
        <w:rPr>
          <w:b/>
          <w:bCs/>
          <w:sz w:val="44"/>
          <w:szCs w:val="44"/>
        </w:rPr>
      </w:pPr>
      <w:r w:rsidRPr="00FC540F">
        <w:rPr>
          <w:b/>
          <w:bCs/>
          <w:sz w:val="44"/>
          <w:szCs w:val="44"/>
        </w:rPr>
        <w:lastRenderedPageBreak/>
        <w:t>Próximos Passos Estratégicos para a Empresa</w:t>
      </w:r>
    </w:p>
    <w:p w:rsidR="00FC540F" w:rsidRPr="00FC540F" w:rsidRDefault="00FC540F" w:rsidP="00FC540F">
      <w:pPr>
        <w:numPr>
          <w:ilvl w:val="0"/>
          <w:numId w:val="2"/>
        </w:numPr>
      </w:pPr>
      <w:r w:rsidRPr="00FC540F">
        <w:rPr>
          <w:b/>
          <w:bCs/>
        </w:rPr>
        <w:t>Foco nas linhas de produto mais lucrativas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 xml:space="preserve">Carros Clássicos e Carros Vintage representam juntos </w:t>
      </w:r>
      <w:r w:rsidRPr="00FC540F">
        <w:rPr>
          <w:b/>
          <w:bCs/>
        </w:rPr>
        <w:t>58% da receita total</w:t>
      </w:r>
      <w:r w:rsidRPr="00FC540F">
        <w:t>. É recomendável direcionar campanhas de marketing, promoções e estoque prioritário para essas linhas.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 xml:space="preserve">Produtos com menor </w:t>
      </w:r>
      <w:proofErr w:type="gramStart"/>
      <w:r w:rsidRPr="00FC540F">
        <w:t>participação, como Trens e Navios, podem</w:t>
      </w:r>
      <w:proofErr w:type="gramEnd"/>
      <w:r w:rsidRPr="00FC540F">
        <w:t xml:space="preserve"> ser analisados para entender se há potencial de crescimento ou se devem receber menor investimento.</w:t>
      </w:r>
    </w:p>
    <w:p w:rsidR="00FC540F" w:rsidRPr="00FC540F" w:rsidRDefault="00FC540F" w:rsidP="00FC540F">
      <w:pPr>
        <w:numPr>
          <w:ilvl w:val="0"/>
          <w:numId w:val="2"/>
        </w:numPr>
      </w:pPr>
      <w:r w:rsidRPr="00FC540F">
        <w:rPr>
          <w:b/>
          <w:bCs/>
        </w:rPr>
        <w:t>Exploração de mercados internacionais-chave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 xml:space="preserve">Os EUA respondem por </w:t>
      </w:r>
      <w:r w:rsidRPr="00FC540F">
        <w:rPr>
          <w:b/>
          <w:bCs/>
        </w:rPr>
        <w:t>36% da receita total</w:t>
      </w:r>
      <w:r w:rsidRPr="00FC540F">
        <w:t>, seguidos de Espanha e França. A empresa deve intensificar ações nesses países, fortalecendo canais de vendas e logística.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É importante avaliar mercados secundários com potencial de crescimento, como Austrália e Reino Unido, para diversificar a receita.</w:t>
      </w:r>
    </w:p>
    <w:p w:rsidR="00FC540F" w:rsidRPr="00FC540F" w:rsidRDefault="00FC540F" w:rsidP="00FC540F">
      <w:pPr>
        <w:numPr>
          <w:ilvl w:val="0"/>
          <w:numId w:val="2"/>
        </w:numPr>
      </w:pPr>
      <w:r w:rsidRPr="00FC540F">
        <w:rPr>
          <w:b/>
          <w:bCs/>
        </w:rPr>
        <w:t>Segmentação por porte de cliente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 xml:space="preserve">Empresas de porte médio são responsáveis por </w:t>
      </w:r>
      <w:r w:rsidRPr="00FC540F">
        <w:rPr>
          <w:b/>
          <w:bCs/>
        </w:rPr>
        <w:t>61% das vendas</w:t>
      </w:r>
      <w:r w:rsidRPr="00FC540F">
        <w:t>. Estratégias de relacionamento, fidelização e ofertas especiais devem priorizar este segmento.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 xml:space="preserve">Pequenos clientes ainda representam </w:t>
      </w:r>
      <w:r w:rsidRPr="00FC540F">
        <w:rPr>
          <w:b/>
          <w:bCs/>
        </w:rPr>
        <w:t>26% da receita</w:t>
      </w:r>
      <w:r w:rsidRPr="00FC540F">
        <w:t>, podendo ser cultivados através de programas de fidelidade ou pacotes personalizados.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 xml:space="preserve">Grandes clientes, embora representem </w:t>
      </w:r>
      <w:r w:rsidRPr="00FC540F">
        <w:rPr>
          <w:b/>
          <w:bCs/>
        </w:rPr>
        <w:t>13%</w:t>
      </w:r>
      <w:r w:rsidRPr="00FC540F">
        <w:t>, podem ser alvo de vendas consultivas e contratos estratégicos de longo prazo.</w:t>
      </w:r>
    </w:p>
    <w:p w:rsidR="00FC540F" w:rsidRPr="00FC540F" w:rsidRDefault="00FC540F" w:rsidP="00FC540F">
      <w:pPr>
        <w:numPr>
          <w:ilvl w:val="0"/>
          <w:numId w:val="2"/>
        </w:numPr>
      </w:pPr>
      <w:r w:rsidRPr="00FC540F">
        <w:rPr>
          <w:b/>
          <w:bCs/>
        </w:rPr>
        <w:t>Planejamento de estoque e logística baseado em sazonalidade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Novembro apresenta o maior faturamento mensal (</w:t>
      </w:r>
      <w:r w:rsidRPr="00FC540F">
        <w:rPr>
          <w:b/>
          <w:bCs/>
        </w:rPr>
        <w:t>21% da receita</w:t>
      </w:r>
      <w:r w:rsidRPr="00FC540F">
        <w:t xml:space="preserve">), seguido de </w:t>
      </w:r>
      <w:proofErr w:type="gramStart"/>
      <w:r w:rsidRPr="00FC540F">
        <w:t>Outubro</w:t>
      </w:r>
      <w:proofErr w:type="gramEnd"/>
      <w:r w:rsidRPr="00FC540F">
        <w:t xml:space="preserve"> e Maio. A empresa deve preparar estoque suficiente para esses meses, evitando rupturas e aproveitando a alta demanda.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A análise da sazonalidade também pode orientar campanhas de marketing e promoções específicas.</w:t>
      </w:r>
    </w:p>
    <w:p w:rsidR="00FC540F" w:rsidRPr="00FC540F" w:rsidRDefault="00FC540F" w:rsidP="00FC540F">
      <w:pPr>
        <w:numPr>
          <w:ilvl w:val="0"/>
          <w:numId w:val="2"/>
        </w:numPr>
      </w:pPr>
      <w:r w:rsidRPr="00FC540F">
        <w:rPr>
          <w:b/>
          <w:bCs/>
        </w:rPr>
        <w:t>Investimento em produtos com alto volume de vendas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Carros Clássicos lideram em quantidade (</w:t>
      </w:r>
      <w:r w:rsidRPr="00FC540F">
        <w:rPr>
          <w:b/>
          <w:bCs/>
        </w:rPr>
        <w:t>34% do total vendido</w:t>
      </w:r>
      <w:r w:rsidRPr="00FC540F">
        <w:t>). Isso indica forte aceitação do mercado, justificando investimento contínuo em produção e marketing desses produtos.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Motocicletas, Caminhões e Aviões também possuem participação relevante em volume e valor, sendo produtos estratégicos para diversificação.</w:t>
      </w:r>
    </w:p>
    <w:p w:rsidR="00FC540F" w:rsidRPr="00FC540F" w:rsidRDefault="00FC540F" w:rsidP="00FC540F">
      <w:pPr>
        <w:numPr>
          <w:ilvl w:val="0"/>
          <w:numId w:val="2"/>
        </w:numPr>
      </w:pPr>
      <w:r w:rsidRPr="00FC540F">
        <w:rPr>
          <w:b/>
          <w:bCs/>
        </w:rPr>
        <w:t>Previsão de vendas e acompanhamento contínuo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Implementar modelos simples de previsão de vendas pode ajudar a antecipar demandas, planejar estoque e ajustar campanhas.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lastRenderedPageBreak/>
        <w:t>Recomenda-se criar um dashboard atualizado regularmente, integrando análise de receita, quantidade vendida, cliente, produto e mercado.</w:t>
      </w:r>
    </w:p>
    <w:p w:rsidR="00FC540F" w:rsidRPr="00FC540F" w:rsidRDefault="00FC540F" w:rsidP="00FC540F">
      <w:pPr>
        <w:numPr>
          <w:ilvl w:val="0"/>
          <w:numId w:val="2"/>
        </w:numPr>
      </w:pPr>
      <w:r w:rsidRPr="00FC540F">
        <w:rPr>
          <w:b/>
          <w:bCs/>
        </w:rPr>
        <w:t>Análise detalhada de clientes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 xml:space="preserve">Identificar os principais clientes, entender o comportamento de compra e oportunidades de </w:t>
      </w:r>
      <w:proofErr w:type="spellStart"/>
      <w:r w:rsidRPr="00FC540F">
        <w:t>cross-selling</w:t>
      </w:r>
      <w:proofErr w:type="spellEnd"/>
      <w:r w:rsidRPr="00FC540F">
        <w:t xml:space="preserve"> pode aumentar a receita.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Clientes estratégicos devem receber atenção personalizada, como ofertas exclusivas, descontos progressivos ou contratos de fornecimento.</w:t>
      </w:r>
    </w:p>
    <w:p w:rsidR="00FC540F" w:rsidRPr="00FC540F" w:rsidRDefault="00FC540F" w:rsidP="00FC540F">
      <w:pPr>
        <w:numPr>
          <w:ilvl w:val="0"/>
          <w:numId w:val="2"/>
        </w:numPr>
      </w:pPr>
      <w:r w:rsidRPr="00FC540F">
        <w:rPr>
          <w:b/>
          <w:bCs/>
        </w:rPr>
        <w:t>Monitoramento e melhoria contínua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Revisar periodicamente os dados de vendas, linha de produto, país e porte de cliente para identificar tendências, oportunidades e riscos.</w:t>
      </w:r>
    </w:p>
    <w:p w:rsidR="00FC540F" w:rsidRPr="00FC540F" w:rsidRDefault="00FC540F" w:rsidP="00FC540F">
      <w:pPr>
        <w:numPr>
          <w:ilvl w:val="1"/>
          <w:numId w:val="2"/>
        </w:numPr>
      </w:pPr>
      <w:r w:rsidRPr="00FC540F">
        <w:t>Implementar processos de coleta e análise de dados automatizados para facilitar decisões rápidas e embasadas.</w:t>
      </w:r>
    </w:p>
    <w:p w:rsidR="00FC540F" w:rsidRPr="00FC540F" w:rsidRDefault="00FC540F" w:rsidP="00FC540F">
      <w:r w:rsidRPr="00FC540F">
        <w:pict>
          <v:rect id="_x0000_i1061" style="width:0;height:1.5pt" o:hralign="center" o:hrstd="t" o:hr="t" fillcolor="#a0a0a0" stroked="f"/>
        </w:pict>
      </w:r>
    </w:p>
    <w:p w:rsidR="00FC540F" w:rsidRPr="00F962A8" w:rsidRDefault="00FC540F" w:rsidP="00F962A8"/>
    <w:sectPr w:rsidR="00FC540F" w:rsidRPr="00F962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B0220A"/>
    <w:multiLevelType w:val="multilevel"/>
    <w:tmpl w:val="225A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E2315"/>
    <w:multiLevelType w:val="multilevel"/>
    <w:tmpl w:val="436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02154">
    <w:abstractNumId w:val="1"/>
  </w:num>
  <w:num w:numId="2" w16cid:durableId="47102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A8"/>
    <w:rsid w:val="0063366A"/>
    <w:rsid w:val="006A03B9"/>
    <w:rsid w:val="006D3F23"/>
    <w:rsid w:val="00A172CB"/>
    <w:rsid w:val="00AA73C9"/>
    <w:rsid w:val="00DF447A"/>
    <w:rsid w:val="00E93D8F"/>
    <w:rsid w:val="00F962A8"/>
    <w:rsid w:val="00FC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4E6E1"/>
  <w15:chartTrackingRefBased/>
  <w15:docId w15:val="{1BFC40C1-59CC-49A7-9C18-8F5DA092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9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9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2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3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822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nascimento oliveira</dc:creator>
  <cp:keywords/>
  <dc:description/>
  <cp:lastModifiedBy>luiz nascimento oliveira</cp:lastModifiedBy>
  <cp:revision>3</cp:revision>
  <dcterms:created xsi:type="dcterms:W3CDTF">2025-10-10T17:02:00Z</dcterms:created>
  <dcterms:modified xsi:type="dcterms:W3CDTF">2025-10-29T15:04:00Z</dcterms:modified>
</cp:coreProperties>
</file>