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2BBAE4">
      <w:pPr>
        <w:ind w:firstLine="4498" w:firstLineChars="1600"/>
        <w:rPr>
          <w:b/>
          <w:sz w:val="28"/>
          <w:szCs w:val="28"/>
        </w:rPr>
      </w:pPr>
      <w:r>
        <w:rPr>
          <w:rFonts w:hint="eastAsia"/>
          <w:b/>
          <w:sz w:val="28"/>
          <w:szCs w:val="28"/>
        </w:rPr>
        <w:t xml:space="preserve">                </w:t>
      </w:r>
      <w:r>
        <w:rPr>
          <w:rStyle w:val="77"/>
          <w:rFonts w:hint="default"/>
        </w:rPr>
        <w:t>密级：公开</w:t>
      </w:r>
    </w:p>
    <w:p w14:paraId="79D44ECF">
      <w:pPr>
        <w:spacing w:line="240" w:lineRule="auto"/>
        <w:ind w:firstLine="0" w:firstLineChars="0"/>
        <w:jc w:val="center"/>
        <w:rPr>
          <w:sz w:val="21"/>
        </w:rPr>
      </w:pPr>
      <w:r>
        <w:rPr>
          <w:rFonts w:hint="eastAsia"/>
          <w:sz w:val="21"/>
        </w:rPr>
        <w:t xml:space="preserve"> </w:t>
      </w:r>
      <w:r>
        <w:rPr>
          <w:sz w:val="21"/>
        </w:rPr>
        <w:drawing>
          <wp:inline distT="0" distB="0" distL="114300" distR="114300">
            <wp:extent cx="4358005" cy="1289050"/>
            <wp:effectExtent l="0" t="0" r="0" b="0"/>
            <wp:docPr id="1" name="图片 7" descr="EE902059AE32E0E6325EFEE8F46_B2D41D06_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EE902059AE32E0E6325EFEE8F46_B2D41D06_CD58"/>
                    <pic:cNvPicPr>
                      <a:picLocks noChangeAspect="1"/>
                    </pic:cNvPicPr>
                  </pic:nvPicPr>
                  <pic:blipFill>
                    <a:blip r:embed="rId41">
                      <a:biLevel thresh="50000"/>
                      <a:grayscl/>
                    </a:blip>
                    <a:srcRect l="29224" b="22665"/>
                    <a:stretch>
                      <a:fillRect/>
                    </a:stretch>
                  </pic:blipFill>
                  <pic:spPr>
                    <a:xfrm>
                      <a:off x="0" y="0"/>
                      <a:ext cx="4358005" cy="1289050"/>
                    </a:xfrm>
                    <a:prstGeom prst="rect">
                      <a:avLst/>
                    </a:prstGeom>
                    <a:noFill/>
                    <a:ln>
                      <a:noFill/>
                    </a:ln>
                  </pic:spPr>
                </pic:pic>
              </a:graphicData>
            </a:graphic>
          </wp:inline>
        </w:drawing>
      </w:r>
    </w:p>
    <w:p w14:paraId="41827780">
      <w:pPr>
        <w:pStyle w:val="71"/>
      </w:pPr>
      <w:r>
        <w:t>硕士学位论文(学术学位)</w:t>
      </w:r>
    </w:p>
    <w:p w14:paraId="75B7258D">
      <w:pPr>
        <w:ind w:firstLine="480"/>
      </w:pPr>
    </w:p>
    <w:p w14:paraId="365C3FF7">
      <w:pPr>
        <w:spacing w:line="240" w:lineRule="auto"/>
        <w:ind w:firstLine="0" w:firstLineChars="0"/>
        <w:jc w:val="center"/>
        <w:rPr>
          <w:rFonts w:hint="eastAsia"/>
          <w:sz w:val="21"/>
        </w:rPr>
      </w:pPr>
      <w:r>
        <w:rPr>
          <w:rFonts w:hint="eastAsia"/>
          <w:sz w:val="21"/>
        </w:rPr>
        <w:drawing>
          <wp:inline distT="0" distB="0" distL="114300" distR="114300">
            <wp:extent cx="1238250" cy="1202690"/>
            <wp:effectExtent l="0" t="0" r="11430" b="1270"/>
            <wp:docPr id="2" name="图片 8"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xh"/>
                    <pic:cNvPicPr>
                      <a:picLocks noChangeAspect="1"/>
                    </pic:cNvPicPr>
                  </pic:nvPicPr>
                  <pic:blipFill>
                    <a:blip r:embed="rId42"/>
                    <a:stretch>
                      <a:fillRect/>
                    </a:stretch>
                  </pic:blipFill>
                  <pic:spPr>
                    <a:xfrm>
                      <a:off x="0" y="0"/>
                      <a:ext cx="1238250" cy="1202690"/>
                    </a:xfrm>
                    <a:prstGeom prst="rect">
                      <a:avLst/>
                    </a:prstGeom>
                    <a:noFill/>
                    <a:ln>
                      <a:noFill/>
                    </a:ln>
                  </pic:spPr>
                </pic:pic>
              </a:graphicData>
            </a:graphic>
          </wp:inline>
        </w:drawing>
      </w:r>
    </w:p>
    <w:p w14:paraId="446E3B68">
      <w:pPr>
        <w:keepNext/>
        <w:keepLines/>
        <w:spacing w:line="416" w:lineRule="auto"/>
        <w:ind w:firstLine="480"/>
      </w:pPr>
    </w:p>
    <w:p w14:paraId="60AF963A">
      <w:pPr>
        <w:pStyle w:val="72"/>
      </w:pPr>
      <w:r>
        <w:rPr>
          <w:rFonts w:hint="eastAsia"/>
        </w:rPr>
        <w:t>题目：</w:t>
      </w:r>
      <w:r>
        <w:rPr>
          <w:rFonts w:hint="eastAsia"/>
          <w:u w:val="single"/>
        </w:rPr>
        <w:t xml:space="preserve">   </w:t>
      </w:r>
      <w:r>
        <w:rPr>
          <w:rFonts w:hint="eastAsia"/>
          <w:u w:val="single"/>
          <w:lang w:val="en-US" w:eastAsia="zh-CN"/>
        </w:rPr>
        <w:t>面向电力场景RAG系统知识库</w:t>
      </w:r>
      <w:r>
        <w:rPr>
          <w:rFonts w:hint="eastAsia"/>
          <w:u w:val="single"/>
        </w:rPr>
        <w:t xml:space="preserve">  </w:t>
      </w:r>
    </w:p>
    <w:p w14:paraId="7E5A10AA">
      <w:pPr>
        <w:pStyle w:val="72"/>
        <w:rPr>
          <w:u w:val="single"/>
        </w:rPr>
      </w:pPr>
      <w:r>
        <w:t xml:space="preserve">  </w:t>
      </w:r>
      <w:r>
        <w:rPr>
          <w:rFonts w:hint="eastAsia"/>
        </w:rPr>
        <w:t xml:space="preserve">    </w:t>
      </w:r>
      <w:r>
        <w:rPr>
          <w:rFonts w:hint="eastAsia"/>
          <w:u w:val="single"/>
        </w:rPr>
        <w:t xml:space="preserve">   </w:t>
      </w:r>
      <w:r>
        <w:rPr>
          <w:u w:val="single"/>
        </w:rPr>
        <w:t xml:space="preserve">  </w:t>
      </w:r>
      <w:r>
        <w:rPr>
          <w:rFonts w:hint="eastAsia"/>
          <w:u w:val="single"/>
        </w:rPr>
        <w:t xml:space="preserve"> </w:t>
      </w:r>
      <w:r>
        <w:rPr>
          <w:rFonts w:hint="eastAsia"/>
          <w:u w:val="single"/>
          <w:lang w:val="en-US" w:eastAsia="zh-CN"/>
        </w:rPr>
        <w:t>毒化攻击与防御技术研究</w:t>
      </w:r>
      <w:r>
        <w:rPr>
          <w:rFonts w:hint="eastAsia"/>
          <w:u w:val="single"/>
        </w:rPr>
        <w:t xml:space="preserve">    </w:t>
      </w:r>
    </w:p>
    <w:p w14:paraId="19CA3444">
      <w:pPr>
        <w:ind w:firstLine="480"/>
      </w:pPr>
    </w:p>
    <w:p w14:paraId="4E93A733">
      <w:pPr>
        <w:pStyle w:val="74"/>
      </w:pPr>
      <w:r>
        <w:rPr>
          <w:rFonts w:hint="eastAsia"/>
        </w:rPr>
        <w:t>学    号：</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u w:val="single"/>
          <w:lang w:val="en-US" w:eastAsia="zh-CN"/>
        </w:rPr>
        <w:t>2023110910</w:t>
      </w:r>
      <w:r>
        <w:rPr>
          <w:rFonts w:hint="eastAsia"/>
          <w:u w:val="single"/>
        </w:rPr>
        <w:t xml:space="preserve">   </w:t>
      </w:r>
      <w:r>
        <w:rPr>
          <w:rFonts w:hint="eastAsia"/>
          <w:u w:val="single"/>
          <w:lang w:val="en-US" w:eastAsia="zh-CN"/>
        </w:rPr>
        <w:t xml:space="preserve"> </w:t>
      </w:r>
      <w:r>
        <w:rPr>
          <w:rFonts w:hint="eastAsia"/>
          <w:u w:val="single"/>
        </w:rPr>
        <w:t xml:space="preserve">  </w:t>
      </w:r>
    </w:p>
    <w:p w14:paraId="6DF33B12">
      <w:pPr>
        <w:pStyle w:val="74"/>
      </w:pPr>
      <w:r>
        <w:rPr>
          <w:rFonts w:hint="eastAsia"/>
        </w:rPr>
        <w:t>姓    名：</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u w:val="single"/>
          <w:lang w:val="en-US" w:eastAsia="zh-CN"/>
        </w:rPr>
        <w:t>逯昊倡</w:t>
      </w:r>
      <w:r>
        <w:rPr>
          <w:rFonts w:hint="eastAsia"/>
          <w:u w:val="single"/>
        </w:rPr>
        <w:t xml:space="preserve">    </w:t>
      </w:r>
      <w:r>
        <w:rPr>
          <w:rFonts w:hint="eastAsia"/>
          <w:u w:val="single"/>
          <w:lang w:val="en-US" w:eastAsia="zh-CN"/>
        </w:rPr>
        <w:t xml:space="preserve"> </w:t>
      </w:r>
      <w:r>
        <w:rPr>
          <w:rFonts w:hint="eastAsia"/>
          <w:u w:val="single"/>
        </w:rPr>
        <w:t xml:space="preserve">   </w:t>
      </w:r>
    </w:p>
    <w:p w14:paraId="50E25C4A">
      <w:pPr>
        <w:pStyle w:val="74"/>
        <w:rPr>
          <w:rFonts w:hint="eastAsia" w:eastAsia="宋体"/>
          <w:lang w:val="en-US" w:eastAsia="zh-CN"/>
        </w:rPr>
      </w:pPr>
      <w:r>
        <w:rPr>
          <w:rFonts w:hint="eastAsia"/>
        </w:rPr>
        <w:t>学科专业：</w:t>
      </w:r>
      <w:r>
        <w:rPr>
          <w:rFonts w:hint="eastAsia"/>
          <w:u w:val="single"/>
        </w:rPr>
        <w:t xml:space="preserve">  </w:t>
      </w:r>
      <w:r>
        <w:rPr>
          <w:rFonts w:hint="eastAsia"/>
          <w:u w:val="single"/>
          <w:lang w:val="en-US" w:eastAsia="zh-CN"/>
        </w:rPr>
        <w:t>计算机科学与技术</w:t>
      </w:r>
      <w:r>
        <w:rPr>
          <w:rFonts w:hint="eastAsia"/>
          <w:u w:val="single"/>
        </w:rPr>
        <w:t xml:space="preserve">  </w:t>
      </w:r>
      <w:r>
        <w:rPr>
          <w:rFonts w:hint="eastAsia"/>
          <w:u w:val="single"/>
          <w:lang w:val="en-US" w:eastAsia="zh-CN"/>
        </w:rPr>
        <w:t xml:space="preserve"> </w:t>
      </w:r>
    </w:p>
    <w:p w14:paraId="3B18265A">
      <w:pPr>
        <w:pStyle w:val="74"/>
      </w:pPr>
      <w:r>
        <w:rPr>
          <w:rFonts w:hint="eastAsia"/>
        </w:rPr>
        <w:t>学习方式：</w:t>
      </w:r>
      <w:r>
        <w:rPr>
          <w:rFonts w:hint="eastAsia"/>
          <w:u w:val="single"/>
        </w:rPr>
        <w:t xml:space="preserve">       </w:t>
      </w:r>
      <w:r>
        <w:rPr>
          <w:rFonts w:hint="eastAsia"/>
          <w:u w:val="single"/>
          <w:lang w:val="en-US" w:eastAsia="zh-CN"/>
        </w:rPr>
        <w:t>全日制</w:t>
      </w:r>
      <w:r>
        <w:rPr>
          <w:rFonts w:hint="eastAsia"/>
          <w:u w:val="single"/>
        </w:rPr>
        <w:t xml:space="preserve">        </w:t>
      </w:r>
    </w:p>
    <w:p w14:paraId="3CC948B3">
      <w:pPr>
        <w:pStyle w:val="74"/>
      </w:pPr>
      <w:r>
        <w:rPr>
          <w:rFonts w:hint="eastAsia"/>
        </w:rPr>
        <w:t>导    师：</w:t>
      </w:r>
      <w:r>
        <w:rPr>
          <w:rFonts w:hint="eastAsia"/>
          <w:u w:val="single"/>
        </w:rPr>
        <w:t xml:space="preserve">       </w:t>
      </w:r>
      <w:r>
        <w:rPr>
          <w:rFonts w:hint="eastAsia"/>
          <w:u w:val="single"/>
          <w:lang w:val="en-US" w:eastAsia="zh-CN"/>
        </w:rPr>
        <w:t>谢东亮</w:t>
      </w:r>
      <w:r>
        <w:rPr>
          <w:rFonts w:hint="eastAsia"/>
          <w:u w:val="single"/>
        </w:rPr>
        <w:t xml:space="preserve">        </w:t>
      </w:r>
    </w:p>
    <w:p w14:paraId="61E4AB67">
      <w:pPr>
        <w:pStyle w:val="74"/>
      </w:pPr>
      <w:r>
        <w:rPr>
          <w:rFonts w:hint="eastAsia"/>
        </w:rPr>
        <w:t>学    院：</w:t>
      </w:r>
      <w:r>
        <w:rPr>
          <w:rFonts w:hint="eastAsia"/>
          <w:u w:val="single"/>
          <w:lang w:val="en-US" w:eastAsia="zh-CN"/>
        </w:rPr>
        <w:t>计算机学院（国家示范性软件学院）</w:t>
      </w:r>
      <w:r>
        <w:rPr>
          <w:rFonts w:hint="eastAsia"/>
          <w:u w:val="single"/>
        </w:rPr>
        <w:t xml:space="preserve"> </w:t>
      </w:r>
      <w:r>
        <w:rPr>
          <w:rFonts w:hint="eastAsia"/>
        </w:rPr>
        <w:t xml:space="preserve">         </w:t>
      </w:r>
      <w:r>
        <w:t xml:space="preserve">    </w:t>
      </w:r>
      <w:r>
        <w:rPr>
          <w:rFonts w:hint="eastAsia"/>
        </w:rPr>
        <w:t xml:space="preserve">        </w:t>
      </w:r>
    </w:p>
    <w:p w14:paraId="3CBE79D5">
      <w:pPr>
        <w:jc w:val="right"/>
        <w:rPr>
          <w:b/>
          <w:sz w:val="28"/>
          <w:szCs w:val="28"/>
        </w:rPr>
      </w:pPr>
    </w:p>
    <w:p w14:paraId="007B5383">
      <w:pPr>
        <w:pStyle w:val="75"/>
        <w:rPr>
          <w:rFonts w:hint="default"/>
        </w:rPr>
      </w:pPr>
      <w:r>
        <w:rPr>
          <w:rFonts w:hint="eastAsia"/>
          <w:lang w:val="en-US" w:eastAsia="zh-CN"/>
        </w:rPr>
        <w:t>2026</w:t>
      </w:r>
      <w:r>
        <w:t>年</w:t>
      </w:r>
      <w:r>
        <w:rPr>
          <w:rFonts w:hint="eastAsia"/>
          <w:lang w:val="en-US" w:eastAsia="zh-CN"/>
        </w:rPr>
        <w:t>03</w:t>
      </w:r>
      <w:r>
        <w:t>月</w:t>
      </w:r>
      <w:r>
        <w:rPr>
          <w:rFonts w:hint="eastAsia"/>
          <w:lang w:val="en-US" w:eastAsia="zh-CN"/>
        </w:rPr>
        <w:t>11</w:t>
      </w:r>
      <w:r>
        <w:t>日</w:t>
      </w:r>
      <w:bookmarkStart w:id="0" w:name="_Toc16668"/>
    </w:p>
    <w:p w14:paraId="58C562B3">
      <w:pPr>
        <w:ind w:firstLine="480"/>
      </w:pPr>
    </w:p>
    <w:p w14:paraId="75033E86">
      <w:pPr>
        <w:ind w:firstLine="480"/>
        <w:jc w:val="center"/>
        <w:rPr>
          <w:rFonts w:hint="eastAsia"/>
        </w:rPr>
      </w:pPr>
    </w:p>
    <w:p w14:paraId="156233AE">
      <w:pPr>
        <w:ind w:firstLine="480"/>
        <w:jc w:val="center"/>
        <w:rPr>
          <w:rFonts w:hint="eastAsia"/>
        </w:rPr>
      </w:pPr>
    </w:p>
    <w:p w14:paraId="759F3757">
      <w:pPr>
        <w:ind w:firstLine="480"/>
        <w:jc w:val="center"/>
        <w:rPr>
          <w:rFonts w:ascii="黑体" w:eastAsia="黑体"/>
          <w:b/>
          <w:sz w:val="64"/>
          <w:szCs w:val="64"/>
        </w:rPr>
      </w:pPr>
      <w:r>
        <w:rPr>
          <w:rFonts w:hint="eastAsia"/>
        </w:rPr>
        <w:t xml:space="preserve"> </w:t>
      </w:r>
    </w:p>
    <w:tbl>
      <w:tblPr>
        <w:tblStyle w:val="30"/>
        <w:tblW w:w="8862" w:type="dxa"/>
        <w:jc w:val="center"/>
        <w:tblLayout w:type="fixed"/>
        <w:tblCellMar>
          <w:top w:w="0" w:type="dxa"/>
          <w:left w:w="108" w:type="dxa"/>
          <w:bottom w:w="0" w:type="dxa"/>
          <w:right w:w="108" w:type="dxa"/>
        </w:tblCellMar>
      </w:tblPr>
      <w:tblGrid>
        <w:gridCol w:w="2099"/>
        <w:gridCol w:w="6763"/>
      </w:tblGrid>
      <w:tr w14:paraId="79D7F03F">
        <w:tblPrEx>
          <w:tblCellMar>
            <w:top w:w="0" w:type="dxa"/>
            <w:left w:w="108" w:type="dxa"/>
            <w:bottom w:w="0" w:type="dxa"/>
            <w:right w:w="108" w:type="dxa"/>
          </w:tblCellMar>
        </w:tblPrEx>
        <w:trPr>
          <w:jc w:val="center"/>
        </w:trPr>
        <w:tc>
          <w:tcPr>
            <w:tcW w:w="2099" w:type="dxa"/>
            <w:vAlign w:val="center"/>
          </w:tcPr>
          <w:p w14:paraId="147A5954">
            <w:pPr>
              <w:spacing w:line="240" w:lineRule="auto"/>
              <w:ind w:firstLine="0" w:firstLineChars="0"/>
              <w:jc w:val="center"/>
              <w:rPr>
                <w:rFonts w:hint="eastAsia"/>
                <w:b/>
                <w:bCs/>
                <w:sz w:val="21"/>
              </w:rPr>
            </w:pPr>
            <w:r>
              <w:rPr>
                <w:rFonts w:hint="eastAsia"/>
                <w:b/>
                <w:bCs/>
                <w:sz w:val="21"/>
              </w:rPr>
              <w:drawing>
                <wp:inline distT="0" distB="0" distL="114300" distR="114300">
                  <wp:extent cx="1238250" cy="1202690"/>
                  <wp:effectExtent l="0" t="0" r="0" b="0"/>
                  <wp:docPr id="3" name="图片 27"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descr="xh"/>
                          <pic:cNvPicPr>
                            <a:picLocks noChangeAspect="1"/>
                          </pic:cNvPicPr>
                        </pic:nvPicPr>
                        <pic:blipFill>
                          <a:blip r:embed="rId42"/>
                          <a:stretch>
                            <a:fillRect/>
                          </a:stretch>
                        </pic:blipFill>
                        <pic:spPr>
                          <a:xfrm>
                            <a:off x="0" y="0"/>
                            <a:ext cx="1238250" cy="1202690"/>
                          </a:xfrm>
                          <a:prstGeom prst="rect">
                            <a:avLst/>
                          </a:prstGeom>
                          <a:noFill/>
                          <a:ln>
                            <a:noFill/>
                          </a:ln>
                        </pic:spPr>
                      </pic:pic>
                    </a:graphicData>
                  </a:graphic>
                </wp:inline>
              </w:drawing>
            </w:r>
          </w:p>
        </w:tc>
        <w:tc>
          <w:tcPr>
            <w:tcW w:w="6763" w:type="dxa"/>
            <w:vAlign w:val="center"/>
          </w:tcPr>
          <w:p w14:paraId="27905D8F">
            <w:pPr>
              <w:spacing w:line="240" w:lineRule="auto"/>
              <w:ind w:firstLine="0" w:firstLineChars="0"/>
              <w:jc w:val="center"/>
              <w:rPr>
                <w:rFonts w:hint="eastAsia"/>
                <w:b/>
                <w:bCs/>
                <w:sz w:val="52"/>
                <w:szCs w:val="52"/>
              </w:rPr>
            </w:pPr>
            <w:r>
              <w:rPr>
                <w:rFonts w:hint="eastAsia"/>
                <w:b/>
                <w:bCs/>
                <w:sz w:val="52"/>
                <w:szCs w:val="52"/>
              </w:rPr>
              <w:t>BEIJING UNIVERSITY OF</w:t>
            </w:r>
          </w:p>
          <w:p w14:paraId="65C16AC0">
            <w:pPr>
              <w:spacing w:line="240" w:lineRule="auto"/>
              <w:ind w:firstLine="0" w:firstLineChars="0"/>
              <w:jc w:val="center"/>
              <w:rPr>
                <w:rFonts w:hint="eastAsia"/>
                <w:b/>
                <w:bCs/>
                <w:sz w:val="52"/>
                <w:szCs w:val="52"/>
              </w:rPr>
            </w:pPr>
            <w:r>
              <w:rPr>
                <w:rFonts w:hint="eastAsia"/>
                <w:b/>
                <w:bCs/>
                <w:sz w:val="52"/>
                <w:szCs w:val="52"/>
              </w:rPr>
              <w:t>POSTS AND</w:t>
            </w:r>
          </w:p>
          <w:p w14:paraId="1D55C686">
            <w:pPr>
              <w:spacing w:line="240" w:lineRule="auto"/>
              <w:ind w:firstLine="0" w:firstLineChars="0"/>
              <w:jc w:val="center"/>
              <w:rPr>
                <w:rFonts w:hint="eastAsia"/>
                <w:b/>
                <w:bCs/>
                <w:sz w:val="21"/>
              </w:rPr>
            </w:pPr>
            <w:r>
              <w:rPr>
                <w:rFonts w:hint="eastAsia"/>
                <w:b/>
                <w:bCs/>
                <w:sz w:val="52"/>
                <w:szCs w:val="52"/>
              </w:rPr>
              <w:t>TELECOMMUNICATIONS</w:t>
            </w:r>
          </w:p>
        </w:tc>
      </w:tr>
    </w:tbl>
    <w:p w14:paraId="38443129">
      <w:pPr>
        <w:ind w:firstLine="480"/>
        <w:jc w:val="center"/>
      </w:pPr>
    </w:p>
    <w:p w14:paraId="0CD46D2F">
      <w:pPr>
        <w:ind w:firstLine="480"/>
        <w:jc w:val="center"/>
      </w:pPr>
    </w:p>
    <w:p w14:paraId="6DA149D3">
      <w:pPr>
        <w:pStyle w:val="78"/>
      </w:pPr>
      <w:r>
        <w:t>Master Thesis</w:t>
      </w:r>
    </w:p>
    <w:p w14:paraId="38A04D82">
      <w:pPr>
        <w:pStyle w:val="78"/>
        <w:rPr>
          <w:rFonts w:hint="eastAsia"/>
          <w:sz w:val="52"/>
          <w:szCs w:val="52"/>
        </w:rPr>
      </w:pPr>
    </w:p>
    <w:p w14:paraId="2722CA33">
      <w:pPr>
        <w:spacing w:line="240" w:lineRule="auto"/>
        <w:ind w:left="0" w:leftChars="0" w:firstLine="0" w:firstLineChars="0"/>
        <w:jc w:val="left"/>
        <w:rPr>
          <w:rFonts w:hint="eastAsia"/>
          <w:b/>
          <w:sz w:val="36"/>
          <w:szCs w:val="32"/>
          <w:u w:val="single"/>
        </w:rPr>
      </w:pPr>
      <w:r>
        <w:rPr>
          <w:rFonts w:hint="eastAsia"/>
          <w:b/>
          <w:sz w:val="36"/>
          <w:szCs w:val="32"/>
          <w:u w:val="single"/>
        </w:rPr>
        <w:t xml:space="preserve">Research on Knowledge Base Poisoning Attacks and Defense Methods for RAG Systems in Power </w:t>
      </w:r>
      <w:r>
        <w:rPr>
          <w:rFonts w:hint="eastAsia"/>
          <w:b/>
          <w:sz w:val="36"/>
          <w:szCs w:val="32"/>
          <w:u w:val="single"/>
          <w:lang w:val="en-US" w:eastAsia="zh-CN"/>
        </w:rPr>
        <w:t xml:space="preserve">      </w:t>
      </w:r>
      <w:r>
        <w:rPr>
          <w:rFonts w:hint="eastAsia"/>
          <w:b/>
          <w:sz w:val="36"/>
          <w:szCs w:val="32"/>
          <w:u w:val="single"/>
        </w:rPr>
        <w:t xml:space="preserve">Application Scenarios                </w:t>
      </w:r>
      <w:r>
        <w:rPr>
          <w:rFonts w:hint="eastAsia"/>
          <w:b/>
          <w:sz w:val="36"/>
          <w:szCs w:val="32"/>
          <w:u w:val="single"/>
          <w:lang w:val="en-US" w:eastAsia="zh-CN"/>
        </w:rPr>
        <w:t xml:space="preserve">        </w:t>
      </w:r>
      <w:r>
        <w:rPr>
          <w:rFonts w:hint="eastAsia"/>
          <w:b/>
          <w:sz w:val="36"/>
          <w:szCs w:val="32"/>
          <w:u w:val="single"/>
        </w:rPr>
        <w:t xml:space="preserve">  </w:t>
      </w:r>
    </w:p>
    <w:p w14:paraId="5D6F5858">
      <w:pPr>
        <w:ind w:left="1260"/>
        <w:rPr>
          <w:b/>
          <w:sz w:val="28"/>
          <w:szCs w:val="28"/>
        </w:rPr>
      </w:pPr>
    </w:p>
    <w:p w14:paraId="5178B540">
      <w:pPr>
        <w:ind w:left="1260"/>
        <w:rPr>
          <w:b/>
          <w:sz w:val="28"/>
          <w:szCs w:val="28"/>
        </w:rPr>
      </w:pPr>
    </w:p>
    <w:p w14:paraId="7980B8CC">
      <w:pPr>
        <w:spacing w:line="240" w:lineRule="auto"/>
        <w:ind w:left="1260" w:firstLine="420" w:firstLineChars="0"/>
        <w:rPr>
          <w:b/>
          <w:sz w:val="28"/>
          <w:szCs w:val="28"/>
          <w:u w:val="single"/>
        </w:rPr>
      </w:pPr>
      <w:r>
        <w:rPr>
          <w:b/>
          <w:sz w:val="28"/>
          <w:szCs w:val="28"/>
        </w:rPr>
        <w:t>Student ID</w:t>
      </w:r>
      <w:r>
        <w:rPr>
          <w:rFonts w:hint="eastAsia"/>
          <w:b/>
          <w:sz w:val="28"/>
          <w:szCs w:val="28"/>
        </w:rPr>
        <w:t>：</w:t>
      </w:r>
      <w:r>
        <w:rPr>
          <w:rFonts w:hint="eastAsia"/>
          <w:b/>
          <w:sz w:val="28"/>
          <w:szCs w:val="28"/>
          <w:u w:val="single"/>
        </w:rPr>
        <w:t xml:space="preserve">     </w:t>
      </w:r>
      <w:r>
        <w:rPr>
          <w:rFonts w:hint="eastAsia"/>
          <w:b/>
          <w:sz w:val="28"/>
          <w:szCs w:val="28"/>
          <w:u w:val="single"/>
          <w:lang w:val="en-US" w:eastAsia="zh-CN"/>
        </w:rPr>
        <w:t>2023110910</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7B1FAD91">
      <w:pPr>
        <w:spacing w:line="240" w:lineRule="auto"/>
        <w:ind w:left="1680" w:firstLine="420" w:firstLineChars="0"/>
        <w:rPr>
          <w:b/>
          <w:sz w:val="28"/>
          <w:szCs w:val="28"/>
          <w:u w:val="single"/>
        </w:rPr>
      </w:pPr>
      <w:r>
        <w:rPr>
          <w:b/>
          <w:sz w:val="28"/>
          <w:szCs w:val="28"/>
        </w:rPr>
        <w:t>Author</w:t>
      </w:r>
      <w:r>
        <w:rPr>
          <w:rFonts w:hint="eastAsia"/>
          <w:b/>
          <w:sz w:val="28"/>
          <w:szCs w:val="28"/>
        </w:rPr>
        <w:t>：</w:t>
      </w:r>
      <w:r>
        <w:rPr>
          <w:rFonts w:hint="eastAsia"/>
          <w:b/>
          <w:sz w:val="28"/>
          <w:szCs w:val="28"/>
          <w:u w:val="single"/>
        </w:rPr>
        <w:t xml:space="preserve">     </w:t>
      </w:r>
      <w:r>
        <w:rPr>
          <w:rFonts w:hint="eastAsia"/>
          <w:b/>
          <w:sz w:val="28"/>
          <w:szCs w:val="28"/>
          <w:u w:val="single"/>
          <w:lang w:val="en-US" w:eastAsia="zh-CN"/>
        </w:rPr>
        <w:t>Lu Haochang</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p>
    <w:p w14:paraId="0AFDE0CC">
      <w:pPr>
        <w:spacing w:line="240" w:lineRule="auto"/>
        <w:ind w:left="118" w:firstLine="1982" w:firstLineChars="705"/>
        <w:rPr>
          <w:b/>
          <w:sz w:val="28"/>
          <w:szCs w:val="28"/>
        </w:rPr>
      </w:pPr>
      <w:r>
        <w:rPr>
          <w:b/>
          <w:sz w:val="28"/>
          <w:szCs w:val="28"/>
        </w:rPr>
        <w:t>S</w:t>
      </w:r>
      <w:r>
        <w:rPr>
          <w:rFonts w:hint="eastAsia"/>
          <w:b/>
          <w:sz w:val="28"/>
          <w:szCs w:val="28"/>
        </w:rPr>
        <w:t>ubject：</w:t>
      </w:r>
      <w:r>
        <w:rPr>
          <w:rFonts w:hint="eastAsia"/>
          <w:b/>
          <w:sz w:val="28"/>
          <w:szCs w:val="28"/>
          <w:u w:val="single"/>
          <w:lang w:val="en-US" w:eastAsia="zh-CN"/>
        </w:rPr>
        <w:t>Computer Science and Technology</w:t>
      </w:r>
    </w:p>
    <w:p w14:paraId="1E7C6908">
      <w:pPr>
        <w:spacing w:line="240" w:lineRule="auto"/>
        <w:ind w:left="1281" w:firstLine="420" w:firstLineChars="0"/>
        <w:rPr>
          <w:b/>
          <w:sz w:val="28"/>
          <w:szCs w:val="28"/>
        </w:rPr>
      </w:pPr>
      <w:r>
        <w:rPr>
          <w:b/>
          <w:sz w:val="28"/>
          <w:szCs w:val="28"/>
        </w:rPr>
        <w:t>Supervisor</w:t>
      </w:r>
      <w:r>
        <w:rPr>
          <w:rFonts w:hint="eastAsia"/>
          <w:b/>
          <w:sz w:val="28"/>
          <w:szCs w:val="28"/>
        </w:rPr>
        <w:t>：</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u w:val="single"/>
          <w:lang w:val="en-US" w:eastAsia="zh-CN"/>
        </w:rPr>
        <w:t>Xie Dongliang</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p>
    <w:p w14:paraId="4391591F">
      <w:pPr>
        <w:keepNext w:val="0"/>
        <w:keepLines w:val="0"/>
        <w:pageBreakBefore w:val="0"/>
        <w:widowControl w:val="0"/>
        <w:kinsoku/>
        <w:wordWrap/>
        <w:overflowPunct/>
        <w:topLinePunct w:val="0"/>
        <w:autoSpaceDE/>
        <w:autoSpaceDN/>
        <w:bidi w:val="0"/>
        <w:adjustRightInd/>
        <w:snapToGrid/>
        <w:spacing w:before="260" w:after="260" w:line="416" w:lineRule="auto"/>
        <w:ind w:left="0" w:firstLine="1968" w:firstLineChars="700"/>
        <w:textAlignment w:val="auto"/>
        <w:rPr>
          <w:rFonts w:hint="eastAsia"/>
          <w:b/>
          <w:sz w:val="28"/>
          <w:szCs w:val="28"/>
          <w:lang w:val="en-US" w:eastAsia="zh-CN"/>
        </w:rPr>
      </w:pPr>
      <w:r>
        <w:rPr>
          <w:rFonts w:hint="eastAsia"/>
          <w:b/>
          <w:sz w:val="28"/>
          <w:szCs w:val="28"/>
          <w:lang w:val="en-US" w:eastAsia="zh-CN"/>
        </w:rPr>
        <w:t>Institute：</w:t>
      </w:r>
      <w:r>
        <w:rPr>
          <w:rFonts w:hint="eastAsia"/>
          <w:b/>
          <w:sz w:val="28"/>
          <w:szCs w:val="28"/>
          <w:u w:val="single"/>
          <w:lang w:val="en-US" w:eastAsia="zh-CN"/>
        </w:rPr>
        <w:t xml:space="preserve"> School of Computer Science</w:t>
      </w:r>
      <w:r>
        <w:rPr>
          <w:rFonts w:hint="eastAsia"/>
          <w:b/>
          <w:sz w:val="28"/>
          <w:szCs w:val="28"/>
          <w:lang w:val="en-US" w:eastAsia="zh-CN"/>
        </w:rPr>
        <w:t xml:space="preserve"> </w:t>
      </w:r>
    </w:p>
    <w:p w14:paraId="66A2FA63">
      <w:pPr>
        <w:keepNext w:val="0"/>
        <w:keepLines w:val="0"/>
        <w:pageBreakBefore w:val="0"/>
        <w:widowControl w:val="0"/>
        <w:kinsoku/>
        <w:wordWrap/>
        <w:overflowPunct/>
        <w:topLinePunct w:val="0"/>
        <w:autoSpaceDE/>
        <w:autoSpaceDN/>
        <w:bidi w:val="0"/>
        <w:adjustRightInd/>
        <w:snapToGrid/>
        <w:spacing w:before="260" w:after="260" w:line="416" w:lineRule="auto"/>
        <w:ind w:firstLine="1968" w:firstLineChars="700"/>
        <w:textAlignment w:val="auto"/>
        <w:rPr>
          <w:rFonts w:hint="eastAsia"/>
          <w:b/>
          <w:sz w:val="28"/>
          <w:szCs w:val="28"/>
        </w:rPr>
      </w:pPr>
      <w:r>
        <w:rPr>
          <w:rFonts w:hint="eastAsia"/>
          <w:b/>
          <w:sz w:val="28"/>
          <w:szCs w:val="28"/>
          <w:u w:val="single"/>
          <w:lang w:val="en-US" w:eastAsia="zh-CN"/>
        </w:rPr>
        <w:t xml:space="preserve"> (National Pilot Software Engineering School)</w:t>
      </w:r>
      <w:r>
        <w:rPr>
          <w:rFonts w:hint="eastAsia"/>
          <w:b/>
          <w:sz w:val="28"/>
          <w:szCs w:val="28"/>
          <w:lang w:val="en-US" w:eastAsia="zh-CN"/>
        </w:rPr>
        <w:t xml:space="preserve">    </w:t>
      </w:r>
      <w:r>
        <w:rPr>
          <w:rFonts w:hint="eastAsia"/>
          <w:b/>
          <w:sz w:val="28"/>
          <w:szCs w:val="28"/>
        </w:rPr>
        <w:t xml:space="preserve">              </w:t>
      </w:r>
    </w:p>
    <w:p w14:paraId="68C1EED3">
      <w:pPr>
        <w:bidi w:val="0"/>
        <w:rPr>
          <w:rFonts w:hint="eastAsia"/>
        </w:rPr>
      </w:pPr>
    </w:p>
    <w:p w14:paraId="05CB2694">
      <w:pPr>
        <w:ind w:left="0" w:leftChars="0" w:firstLine="0" w:firstLineChars="0"/>
        <w:jc w:val="center"/>
        <w:rPr>
          <w:b/>
          <w:bCs/>
          <w:kern w:val="0"/>
          <w:sz w:val="28"/>
          <w:szCs w:val="28"/>
        </w:rPr>
        <w:sectPr>
          <w:headerReference r:id="rId5" w:type="default"/>
          <w:headerReference r:id="rId6" w:type="even"/>
          <w:footerReference r:id="rId7" w:type="even"/>
          <w:pgSz w:w="11906" w:h="16838"/>
          <w:pgMar w:top="1440" w:right="1797" w:bottom="1440" w:left="1797" w:header="850" w:footer="992" w:gutter="0"/>
          <w:pgNumType w:fmt="upperRoman" w:start="1"/>
          <w:cols w:space="720" w:num="1"/>
          <w:docGrid w:type="lines" w:linePitch="313" w:charSpace="0"/>
        </w:sectPr>
      </w:pPr>
      <w:r>
        <w:rPr>
          <w:rFonts w:hint="eastAsia"/>
          <w:b/>
          <w:bCs/>
          <w:kern w:val="0"/>
          <w:sz w:val="28"/>
          <w:szCs w:val="28"/>
          <w:lang w:val="en-US" w:eastAsia="zh-CN"/>
        </w:rPr>
        <w:t>March 11, 2026</w:t>
      </w:r>
    </w:p>
    <w:p w14:paraId="1E3270AD">
      <w:pPr>
        <w:spacing w:line="240" w:lineRule="auto"/>
        <w:ind w:firstLine="0" w:firstLineChars="0"/>
        <w:jc w:val="both"/>
        <w:rPr>
          <w:rFonts w:hint="eastAsia" w:ascii="黑体" w:hAnsi="黑体" w:eastAsia="黑体"/>
          <w:bCs/>
          <w:sz w:val="32"/>
          <w:szCs w:val="32"/>
        </w:rPr>
      </w:pPr>
    </w:p>
    <w:p w14:paraId="320D23D5">
      <w:pPr>
        <w:spacing w:line="240" w:lineRule="auto"/>
        <w:ind w:firstLine="0" w:firstLineChars="0"/>
        <w:jc w:val="center"/>
        <w:rPr>
          <w:rFonts w:hint="eastAsia" w:ascii="黑体" w:hAnsi="黑体" w:eastAsia="黑体"/>
          <w:bCs/>
          <w:sz w:val="32"/>
          <w:szCs w:val="32"/>
        </w:rPr>
      </w:pPr>
      <w:r>
        <w:rPr>
          <w:rFonts w:hint="eastAsia" w:ascii="黑体" w:hAnsi="黑体" w:eastAsia="黑体"/>
          <w:bCs/>
          <w:sz w:val="32"/>
          <w:szCs w:val="32"/>
        </w:rPr>
        <w:t>答辩委员会名单</w:t>
      </w:r>
    </w:p>
    <w:tbl>
      <w:tblPr>
        <w:tblStyle w:val="3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76"/>
        <w:gridCol w:w="1559"/>
        <w:gridCol w:w="4395"/>
      </w:tblGrid>
      <w:tr w14:paraId="347F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67E0E994">
            <w:pPr>
              <w:spacing w:line="240" w:lineRule="auto"/>
              <w:ind w:firstLine="0" w:firstLineChars="0"/>
              <w:jc w:val="center"/>
              <w:rPr>
                <w:rFonts w:hint="eastAsia"/>
                <w:sz w:val="24"/>
              </w:rPr>
            </w:pPr>
            <w:r>
              <w:rPr>
                <w:rFonts w:hint="eastAsia"/>
                <w:sz w:val="24"/>
              </w:rPr>
              <w:t>职务</w:t>
            </w:r>
          </w:p>
        </w:tc>
        <w:tc>
          <w:tcPr>
            <w:tcW w:w="1276" w:type="dxa"/>
            <w:vAlign w:val="center"/>
          </w:tcPr>
          <w:p w14:paraId="1B2D48D3">
            <w:pPr>
              <w:spacing w:line="240" w:lineRule="auto"/>
              <w:ind w:firstLine="0" w:firstLineChars="0"/>
              <w:jc w:val="center"/>
              <w:rPr>
                <w:rFonts w:hint="eastAsia"/>
                <w:sz w:val="24"/>
              </w:rPr>
            </w:pPr>
            <w:r>
              <w:rPr>
                <w:rFonts w:hint="eastAsia"/>
                <w:sz w:val="24"/>
              </w:rPr>
              <w:t>姓  名</w:t>
            </w:r>
          </w:p>
        </w:tc>
        <w:tc>
          <w:tcPr>
            <w:tcW w:w="1559" w:type="dxa"/>
            <w:vAlign w:val="center"/>
          </w:tcPr>
          <w:p w14:paraId="0ECDE4E3">
            <w:pPr>
              <w:spacing w:line="240" w:lineRule="auto"/>
              <w:ind w:firstLine="0" w:firstLineChars="0"/>
              <w:jc w:val="center"/>
              <w:rPr>
                <w:rFonts w:hint="eastAsia"/>
                <w:sz w:val="24"/>
              </w:rPr>
            </w:pPr>
            <w:r>
              <w:rPr>
                <w:rFonts w:hint="eastAsia"/>
                <w:sz w:val="24"/>
              </w:rPr>
              <w:t>职  称</w:t>
            </w:r>
          </w:p>
        </w:tc>
        <w:tc>
          <w:tcPr>
            <w:tcW w:w="4395" w:type="dxa"/>
            <w:vAlign w:val="center"/>
          </w:tcPr>
          <w:p w14:paraId="50936586">
            <w:pPr>
              <w:spacing w:line="240" w:lineRule="auto"/>
              <w:ind w:firstLine="0" w:firstLineChars="0"/>
              <w:jc w:val="center"/>
              <w:rPr>
                <w:rFonts w:hint="eastAsia"/>
                <w:sz w:val="24"/>
              </w:rPr>
            </w:pPr>
            <w:r>
              <w:rPr>
                <w:rFonts w:hint="eastAsia"/>
                <w:sz w:val="24"/>
              </w:rPr>
              <w:t>工   作   单   位</w:t>
            </w:r>
          </w:p>
        </w:tc>
      </w:tr>
      <w:tr w14:paraId="1F9F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71E079C7">
            <w:pPr>
              <w:spacing w:line="240" w:lineRule="auto"/>
              <w:ind w:firstLine="0" w:firstLineChars="0"/>
              <w:jc w:val="center"/>
              <w:rPr>
                <w:rFonts w:hint="eastAsia"/>
                <w:sz w:val="24"/>
              </w:rPr>
            </w:pPr>
            <w:r>
              <w:rPr>
                <w:rFonts w:hint="eastAsia"/>
                <w:sz w:val="24"/>
              </w:rPr>
              <w:t>主席</w:t>
            </w:r>
          </w:p>
        </w:tc>
        <w:tc>
          <w:tcPr>
            <w:tcW w:w="1276" w:type="dxa"/>
            <w:vAlign w:val="center"/>
          </w:tcPr>
          <w:p w14:paraId="0526B9D1">
            <w:pPr>
              <w:spacing w:line="240" w:lineRule="auto"/>
              <w:ind w:firstLine="0" w:firstLineChars="0"/>
              <w:jc w:val="center"/>
              <w:rPr>
                <w:rFonts w:hint="eastAsia"/>
                <w:sz w:val="24"/>
              </w:rPr>
            </w:pPr>
          </w:p>
        </w:tc>
        <w:tc>
          <w:tcPr>
            <w:tcW w:w="1559" w:type="dxa"/>
            <w:vAlign w:val="center"/>
          </w:tcPr>
          <w:p w14:paraId="2786767C">
            <w:pPr>
              <w:spacing w:line="240" w:lineRule="auto"/>
              <w:ind w:firstLine="0" w:firstLineChars="0"/>
              <w:jc w:val="center"/>
              <w:rPr>
                <w:rFonts w:hint="eastAsia"/>
                <w:sz w:val="24"/>
              </w:rPr>
            </w:pPr>
          </w:p>
        </w:tc>
        <w:tc>
          <w:tcPr>
            <w:tcW w:w="4395" w:type="dxa"/>
            <w:vAlign w:val="center"/>
          </w:tcPr>
          <w:p w14:paraId="72514C42">
            <w:pPr>
              <w:spacing w:line="240" w:lineRule="auto"/>
              <w:ind w:firstLine="0" w:firstLineChars="0"/>
              <w:jc w:val="center"/>
              <w:rPr>
                <w:rFonts w:hint="eastAsia"/>
                <w:sz w:val="24"/>
              </w:rPr>
            </w:pPr>
          </w:p>
        </w:tc>
      </w:tr>
      <w:tr w14:paraId="7BD2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023354B2">
            <w:pPr>
              <w:spacing w:line="240" w:lineRule="auto"/>
              <w:ind w:firstLine="0" w:firstLineChars="0"/>
              <w:jc w:val="center"/>
              <w:rPr>
                <w:rFonts w:hint="eastAsia"/>
                <w:sz w:val="24"/>
              </w:rPr>
            </w:pPr>
            <w:r>
              <w:rPr>
                <w:rFonts w:hint="eastAsia"/>
                <w:sz w:val="24"/>
              </w:rPr>
              <w:t>委员</w:t>
            </w:r>
          </w:p>
        </w:tc>
        <w:tc>
          <w:tcPr>
            <w:tcW w:w="1276" w:type="dxa"/>
            <w:vAlign w:val="center"/>
          </w:tcPr>
          <w:p w14:paraId="5BD47A20">
            <w:pPr>
              <w:spacing w:line="240" w:lineRule="auto"/>
              <w:ind w:firstLine="0" w:firstLineChars="0"/>
              <w:jc w:val="center"/>
              <w:rPr>
                <w:rFonts w:hint="eastAsia"/>
                <w:sz w:val="24"/>
              </w:rPr>
            </w:pPr>
          </w:p>
        </w:tc>
        <w:tc>
          <w:tcPr>
            <w:tcW w:w="1559" w:type="dxa"/>
            <w:vAlign w:val="center"/>
          </w:tcPr>
          <w:p w14:paraId="59971807">
            <w:pPr>
              <w:spacing w:line="240" w:lineRule="auto"/>
              <w:ind w:firstLine="0" w:firstLineChars="0"/>
              <w:jc w:val="center"/>
              <w:rPr>
                <w:rFonts w:hint="eastAsia"/>
                <w:sz w:val="24"/>
              </w:rPr>
            </w:pPr>
          </w:p>
        </w:tc>
        <w:tc>
          <w:tcPr>
            <w:tcW w:w="4395" w:type="dxa"/>
            <w:vAlign w:val="center"/>
          </w:tcPr>
          <w:p w14:paraId="17F038DC">
            <w:pPr>
              <w:spacing w:line="240" w:lineRule="auto"/>
              <w:ind w:firstLine="0" w:firstLineChars="0"/>
              <w:jc w:val="center"/>
              <w:rPr>
                <w:rFonts w:hint="eastAsia"/>
                <w:sz w:val="24"/>
              </w:rPr>
            </w:pPr>
          </w:p>
        </w:tc>
      </w:tr>
      <w:tr w14:paraId="1974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387582B3">
            <w:pPr>
              <w:spacing w:line="240" w:lineRule="auto"/>
              <w:ind w:firstLine="0" w:firstLineChars="0"/>
              <w:jc w:val="center"/>
              <w:rPr>
                <w:rFonts w:hint="eastAsia"/>
                <w:sz w:val="24"/>
              </w:rPr>
            </w:pPr>
            <w:r>
              <w:rPr>
                <w:rFonts w:hint="eastAsia"/>
                <w:sz w:val="24"/>
              </w:rPr>
              <w:t>委员</w:t>
            </w:r>
          </w:p>
        </w:tc>
        <w:tc>
          <w:tcPr>
            <w:tcW w:w="1276" w:type="dxa"/>
            <w:vAlign w:val="center"/>
          </w:tcPr>
          <w:p w14:paraId="35755241">
            <w:pPr>
              <w:spacing w:line="240" w:lineRule="auto"/>
              <w:ind w:firstLine="0" w:firstLineChars="0"/>
              <w:jc w:val="center"/>
              <w:rPr>
                <w:rFonts w:hint="eastAsia"/>
                <w:sz w:val="24"/>
              </w:rPr>
            </w:pPr>
          </w:p>
        </w:tc>
        <w:tc>
          <w:tcPr>
            <w:tcW w:w="1559" w:type="dxa"/>
            <w:vAlign w:val="center"/>
          </w:tcPr>
          <w:p w14:paraId="7438370D">
            <w:pPr>
              <w:spacing w:line="240" w:lineRule="auto"/>
              <w:ind w:firstLine="0" w:firstLineChars="0"/>
              <w:jc w:val="center"/>
              <w:rPr>
                <w:rFonts w:hint="eastAsia"/>
                <w:sz w:val="24"/>
              </w:rPr>
            </w:pPr>
          </w:p>
        </w:tc>
        <w:tc>
          <w:tcPr>
            <w:tcW w:w="4395" w:type="dxa"/>
            <w:vAlign w:val="center"/>
          </w:tcPr>
          <w:p w14:paraId="4885B624">
            <w:pPr>
              <w:spacing w:line="240" w:lineRule="auto"/>
              <w:ind w:firstLine="0" w:firstLineChars="0"/>
              <w:jc w:val="center"/>
              <w:rPr>
                <w:rFonts w:hint="eastAsia"/>
                <w:sz w:val="24"/>
              </w:rPr>
            </w:pPr>
          </w:p>
        </w:tc>
      </w:tr>
      <w:tr w14:paraId="10B0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16923117">
            <w:pPr>
              <w:spacing w:line="240" w:lineRule="auto"/>
              <w:ind w:firstLine="0" w:firstLineChars="0"/>
              <w:jc w:val="center"/>
              <w:rPr>
                <w:rFonts w:hint="eastAsia"/>
                <w:sz w:val="24"/>
              </w:rPr>
            </w:pPr>
            <w:r>
              <w:rPr>
                <w:rFonts w:hint="eastAsia"/>
                <w:sz w:val="24"/>
              </w:rPr>
              <w:t>委员</w:t>
            </w:r>
          </w:p>
        </w:tc>
        <w:tc>
          <w:tcPr>
            <w:tcW w:w="1276" w:type="dxa"/>
            <w:vAlign w:val="center"/>
          </w:tcPr>
          <w:p w14:paraId="1D91DF52">
            <w:pPr>
              <w:spacing w:line="240" w:lineRule="auto"/>
              <w:ind w:firstLine="0" w:firstLineChars="0"/>
              <w:jc w:val="center"/>
              <w:rPr>
                <w:rFonts w:hint="eastAsia"/>
                <w:sz w:val="24"/>
              </w:rPr>
            </w:pPr>
          </w:p>
        </w:tc>
        <w:tc>
          <w:tcPr>
            <w:tcW w:w="1559" w:type="dxa"/>
            <w:vAlign w:val="center"/>
          </w:tcPr>
          <w:p w14:paraId="5160867B">
            <w:pPr>
              <w:spacing w:line="240" w:lineRule="auto"/>
              <w:ind w:firstLine="0" w:firstLineChars="0"/>
              <w:jc w:val="center"/>
              <w:rPr>
                <w:rFonts w:hint="eastAsia"/>
                <w:sz w:val="24"/>
              </w:rPr>
            </w:pPr>
          </w:p>
        </w:tc>
        <w:tc>
          <w:tcPr>
            <w:tcW w:w="4395" w:type="dxa"/>
            <w:vAlign w:val="center"/>
          </w:tcPr>
          <w:p w14:paraId="4FB612A6">
            <w:pPr>
              <w:spacing w:line="240" w:lineRule="auto"/>
              <w:ind w:firstLine="0" w:firstLineChars="0"/>
              <w:jc w:val="center"/>
              <w:rPr>
                <w:rFonts w:hint="eastAsia"/>
                <w:sz w:val="24"/>
              </w:rPr>
            </w:pPr>
          </w:p>
        </w:tc>
      </w:tr>
      <w:tr w14:paraId="6130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4574B965">
            <w:pPr>
              <w:spacing w:line="240" w:lineRule="auto"/>
              <w:ind w:firstLine="0" w:firstLineChars="0"/>
              <w:jc w:val="center"/>
              <w:rPr>
                <w:rFonts w:hint="eastAsia"/>
                <w:sz w:val="24"/>
              </w:rPr>
            </w:pPr>
            <w:r>
              <w:rPr>
                <w:rFonts w:hint="eastAsia"/>
                <w:sz w:val="24"/>
              </w:rPr>
              <w:t>委员</w:t>
            </w:r>
          </w:p>
        </w:tc>
        <w:tc>
          <w:tcPr>
            <w:tcW w:w="1276" w:type="dxa"/>
            <w:vAlign w:val="center"/>
          </w:tcPr>
          <w:p w14:paraId="66C3526F">
            <w:pPr>
              <w:spacing w:line="240" w:lineRule="auto"/>
              <w:ind w:firstLine="0" w:firstLineChars="0"/>
              <w:jc w:val="center"/>
              <w:rPr>
                <w:rFonts w:hint="eastAsia"/>
                <w:sz w:val="24"/>
              </w:rPr>
            </w:pPr>
          </w:p>
        </w:tc>
        <w:tc>
          <w:tcPr>
            <w:tcW w:w="1559" w:type="dxa"/>
            <w:vAlign w:val="center"/>
          </w:tcPr>
          <w:p w14:paraId="66C3CCA3">
            <w:pPr>
              <w:spacing w:line="240" w:lineRule="auto"/>
              <w:ind w:firstLine="0" w:firstLineChars="0"/>
              <w:jc w:val="center"/>
              <w:rPr>
                <w:rFonts w:hint="eastAsia"/>
                <w:sz w:val="24"/>
              </w:rPr>
            </w:pPr>
          </w:p>
        </w:tc>
        <w:tc>
          <w:tcPr>
            <w:tcW w:w="4395" w:type="dxa"/>
            <w:vAlign w:val="center"/>
          </w:tcPr>
          <w:p w14:paraId="55D4B693">
            <w:pPr>
              <w:spacing w:line="240" w:lineRule="auto"/>
              <w:ind w:firstLine="0" w:firstLineChars="0"/>
              <w:jc w:val="center"/>
              <w:rPr>
                <w:rFonts w:hint="eastAsia"/>
                <w:sz w:val="24"/>
              </w:rPr>
            </w:pPr>
          </w:p>
        </w:tc>
      </w:tr>
      <w:tr w14:paraId="429F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26777182">
            <w:pPr>
              <w:spacing w:line="240" w:lineRule="auto"/>
              <w:ind w:firstLine="0" w:firstLineChars="0"/>
              <w:jc w:val="center"/>
              <w:rPr>
                <w:rFonts w:hint="eastAsia"/>
                <w:sz w:val="24"/>
              </w:rPr>
            </w:pPr>
            <w:r>
              <w:rPr>
                <w:rFonts w:hint="eastAsia"/>
                <w:sz w:val="24"/>
              </w:rPr>
              <w:t>秘书</w:t>
            </w:r>
          </w:p>
        </w:tc>
        <w:tc>
          <w:tcPr>
            <w:tcW w:w="1276" w:type="dxa"/>
            <w:vAlign w:val="center"/>
          </w:tcPr>
          <w:p w14:paraId="41417C5A">
            <w:pPr>
              <w:spacing w:line="240" w:lineRule="auto"/>
              <w:ind w:firstLine="0" w:firstLineChars="0"/>
              <w:jc w:val="center"/>
              <w:rPr>
                <w:rFonts w:hint="eastAsia"/>
                <w:sz w:val="24"/>
              </w:rPr>
            </w:pPr>
          </w:p>
        </w:tc>
        <w:tc>
          <w:tcPr>
            <w:tcW w:w="1559" w:type="dxa"/>
            <w:vAlign w:val="center"/>
          </w:tcPr>
          <w:p w14:paraId="0706FBFD">
            <w:pPr>
              <w:spacing w:line="240" w:lineRule="auto"/>
              <w:ind w:firstLine="0" w:firstLineChars="0"/>
              <w:jc w:val="center"/>
              <w:rPr>
                <w:rFonts w:hint="eastAsia"/>
                <w:sz w:val="24"/>
              </w:rPr>
            </w:pPr>
          </w:p>
        </w:tc>
        <w:tc>
          <w:tcPr>
            <w:tcW w:w="4395" w:type="dxa"/>
            <w:vAlign w:val="center"/>
          </w:tcPr>
          <w:p w14:paraId="204141B1">
            <w:pPr>
              <w:spacing w:line="240" w:lineRule="auto"/>
              <w:ind w:firstLine="0" w:firstLineChars="0"/>
              <w:jc w:val="center"/>
              <w:rPr>
                <w:rFonts w:hint="eastAsia"/>
                <w:sz w:val="24"/>
              </w:rPr>
            </w:pPr>
          </w:p>
        </w:tc>
      </w:tr>
      <w:tr w14:paraId="6125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242" w:type="dxa"/>
            <w:vAlign w:val="center"/>
          </w:tcPr>
          <w:p w14:paraId="6C691FEF">
            <w:pPr>
              <w:spacing w:line="240" w:lineRule="auto"/>
              <w:ind w:firstLine="0" w:firstLineChars="0"/>
              <w:jc w:val="center"/>
              <w:rPr>
                <w:rFonts w:hint="eastAsia"/>
                <w:sz w:val="24"/>
              </w:rPr>
            </w:pPr>
            <w:r>
              <w:rPr>
                <w:rFonts w:hint="eastAsia"/>
                <w:sz w:val="24"/>
              </w:rPr>
              <w:t>答辩日期</w:t>
            </w:r>
          </w:p>
        </w:tc>
        <w:tc>
          <w:tcPr>
            <w:tcW w:w="7230" w:type="dxa"/>
            <w:gridSpan w:val="3"/>
            <w:vAlign w:val="center"/>
          </w:tcPr>
          <w:p w14:paraId="1F2827FC">
            <w:pPr>
              <w:spacing w:line="240" w:lineRule="auto"/>
              <w:ind w:firstLine="0" w:firstLineChars="0"/>
              <w:jc w:val="center"/>
              <w:rPr>
                <w:rFonts w:hint="eastAsia"/>
                <w:sz w:val="24"/>
              </w:rPr>
            </w:pPr>
          </w:p>
        </w:tc>
      </w:tr>
    </w:tbl>
    <w:p w14:paraId="3F4AC7C2">
      <w:pPr>
        <w:ind w:firstLine="640"/>
        <w:jc w:val="center"/>
        <w:rPr>
          <w:rFonts w:hint="eastAsia" w:ascii="黑体" w:hAnsi="黑体" w:eastAsia="黑体"/>
          <w:bCs/>
          <w:sz w:val="32"/>
          <w:szCs w:val="32"/>
        </w:rPr>
        <w:sectPr>
          <w:pgSz w:w="11906" w:h="16838"/>
          <w:pgMar w:top="1440" w:right="1797" w:bottom="1440" w:left="1797" w:header="850" w:footer="992" w:gutter="0"/>
          <w:pgNumType w:fmt="upperRoman" w:start="1"/>
          <w:cols w:space="720" w:num="1"/>
          <w:docGrid w:type="lines" w:linePitch="326" w:charSpace="0"/>
        </w:sectPr>
      </w:pPr>
    </w:p>
    <w:p w14:paraId="6AA211F6">
      <w:pPr>
        <w:pStyle w:val="80"/>
      </w:pPr>
      <w:r>
        <w:t>独创性（或创新性）声明</w:t>
      </w:r>
    </w:p>
    <w:p w14:paraId="546595C6">
      <w:pPr>
        <w:pStyle w:val="11"/>
        <w:ind w:firstLine="480"/>
        <w:jc w:val="both"/>
      </w:pPr>
      <w:r>
        <w:rPr>
          <w:rFonts w:hint="eastAsia"/>
        </w:rPr>
        <w:t>本人声明所呈交的论文是本人在导师指导下进行的研究工作及取得的研究成果。尽我所知，除了文中特别加以标注和致谢中所罗列的内容以外，论文中不包含其他人已经发表或撰写过的研究成果，也不包含为获得北京邮电大学或其他教育机构的学位或证书而使用过的材料。与我一同工作的同志对本研究所做的任何贡献均已在论文中作了明确的说明并表示了谢意。</w:t>
      </w:r>
    </w:p>
    <w:p w14:paraId="21366681">
      <w:pPr>
        <w:ind w:firstLine="480"/>
      </w:pPr>
      <w:r>
        <w:rPr>
          <w:rFonts w:hint="eastAsia"/>
        </w:rPr>
        <w:t>申请学位论文与资料若有不实之处，本人承担一切相关责任。</w:t>
      </w:r>
    </w:p>
    <w:p w14:paraId="0CB4B0AA">
      <w:pPr>
        <w:ind w:firstLine="480"/>
      </w:pPr>
      <w:r>
        <w:rPr>
          <w:rFonts w:hint="eastAsia"/>
        </w:rPr>
        <w:t>本人签名：</w:t>
      </w:r>
      <w:r>
        <w:rPr>
          <w:rFonts w:hint="eastAsia"/>
          <w:u w:val="single"/>
        </w:rPr>
        <w:t xml:space="preserve">                  </w:t>
      </w:r>
      <w:r>
        <w:rPr>
          <w:rFonts w:hint="eastAsia"/>
        </w:rPr>
        <w:t xml:space="preserve">    日期：</w:t>
      </w:r>
      <w:r>
        <w:rPr>
          <w:rFonts w:hint="eastAsia"/>
          <w:u w:val="single"/>
        </w:rPr>
        <w:t xml:space="preserve">                    </w:t>
      </w:r>
    </w:p>
    <w:p w14:paraId="5E1CCE0E">
      <w:pPr>
        <w:pStyle w:val="11"/>
        <w:ind w:firstLine="480"/>
        <w:jc w:val="both"/>
      </w:pPr>
    </w:p>
    <w:p w14:paraId="0968FDC9">
      <w:pPr>
        <w:pStyle w:val="11"/>
        <w:ind w:firstLine="480"/>
        <w:jc w:val="both"/>
      </w:pPr>
    </w:p>
    <w:p w14:paraId="4DF0F6A0">
      <w:pPr>
        <w:pStyle w:val="80"/>
      </w:pPr>
      <w:r>
        <w:t>关于论文使用授权的说明</w:t>
      </w:r>
    </w:p>
    <w:p w14:paraId="7AFEDB67">
      <w:pPr>
        <w:pStyle w:val="11"/>
        <w:ind w:firstLine="480"/>
        <w:jc w:val="both"/>
      </w:pPr>
      <w:r>
        <w:rPr>
          <w:rFonts w:hint="eastAsia"/>
        </w:rPr>
        <w:t>本人</w:t>
      </w:r>
      <w:r>
        <w:t>完全了解</w:t>
      </w:r>
      <w:r>
        <w:rPr>
          <w:rFonts w:hint="eastAsia"/>
        </w:rPr>
        <w:t>并同意北京邮电</w:t>
      </w:r>
      <w:r>
        <w:t>大学有关保留、</w:t>
      </w:r>
      <w:r>
        <w:rPr>
          <w:rFonts w:hint="eastAsia"/>
        </w:rPr>
        <w:t>使用</w:t>
      </w:r>
      <w:r>
        <w:t>学位论文的规定，即：</w:t>
      </w:r>
      <w:r>
        <w:rPr>
          <w:rFonts w:hint="eastAsia"/>
        </w:rPr>
        <w:t>北京邮电</w:t>
      </w:r>
      <w:r>
        <w:t>大学拥有以下关于学位论文</w:t>
      </w:r>
      <w:r>
        <w:rPr>
          <w:rFonts w:hint="eastAsia"/>
        </w:rPr>
        <w:t>的无偿</w:t>
      </w:r>
      <w:r>
        <w:t>使用</w:t>
      </w:r>
      <w:r>
        <w:rPr>
          <w:rFonts w:hint="eastAsia"/>
        </w:rPr>
        <w:t>权</w:t>
      </w:r>
      <w:r>
        <w:t>，具体包括：</w:t>
      </w:r>
      <w:r>
        <w:rPr>
          <w:rFonts w:hint="eastAsia"/>
        </w:rPr>
        <w:t>学校有权保留并向国家有关部门或机构送交学位论文，有权允许学位论文被查阅和借阅；学校可以公布学位论文的全部或部分内容，</w:t>
      </w:r>
      <w:r>
        <w:t>有权</w:t>
      </w:r>
      <w:r>
        <w:rPr>
          <w:rFonts w:hint="eastAsia"/>
        </w:rPr>
        <w:t>允许采用影印、缩印或其它复制手段保存、汇编学位论文，将学位论文的全部或部分内容编入有关数据库进行检索。（保密的学位论文在解密后遵守此规定）</w:t>
      </w:r>
    </w:p>
    <w:p w14:paraId="3B9968A7">
      <w:pPr>
        <w:ind w:firstLine="480"/>
      </w:pPr>
      <w:r>
        <w:rPr>
          <w:rFonts w:hint="eastAsia"/>
        </w:rPr>
        <w:t>本人签名：</w:t>
      </w:r>
      <w:r>
        <w:rPr>
          <w:rFonts w:hint="eastAsia"/>
          <w:u w:val="single"/>
        </w:rPr>
        <w:t xml:space="preserve">                  </w:t>
      </w:r>
      <w:r>
        <w:rPr>
          <w:rFonts w:hint="eastAsia"/>
        </w:rPr>
        <w:t xml:space="preserve">    日期：</w:t>
      </w:r>
      <w:r>
        <w:rPr>
          <w:rFonts w:hint="eastAsia"/>
          <w:u w:val="single"/>
        </w:rPr>
        <w:t xml:space="preserve">                    </w:t>
      </w:r>
    </w:p>
    <w:p w14:paraId="526F9557">
      <w:pPr>
        <w:ind w:firstLine="480"/>
      </w:pPr>
      <w:r>
        <w:rPr>
          <w:rFonts w:hint="eastAsia"/>
        </w:rPr>
        <w:t>导师签名：</w:t>
      </w:r>
      <w:r>
        <w:rPr>
          <w:rFonts w:hint="eastAsia"/>
          <w:u w:val="single"/>
        </w:rPr>
        <w:t xml:space="preserve">                  </w:t>
      </w:r>
      <w:r>
        <w:rPr>
          <w:rFonts w:hint="eastAsia"/>
        </w:rPr>
        <w:t xml:space="preserve">    日期：</w:t>
      </w:r>
      <w:r>
        <w:rPr>
          <w:rFonts w:hint="eastAsia"/>
          <w:u w:val="single"/>
        </w:rPr>
        <w:t xml:space="preserve">                    </w:t>
      </w:r>
    </w:p>
    <w:p w14:paraId="09D3EF31">
      <w:pPr>
        <w:snapToGrid w:val="0"/>
        <w:ind w:firstLine="480"/>
        <w:rPr>
          <w:snapToGrid w:val="0"/>
        </w:rPr>
        <w:sectPr>
          <w:pgSz w:w="11906" w:h="16838"/>
          <w:pgMar w:top="1440" w:right="1797" w:bottom="1440" w:left="1797" w:header="850" w:footer="992" w:gutter="0"/>
          <w:pgNumType w:fmt="upperRoman" w:start="1"/>
          <w:cols w:space="720" w:num="1"/>
          <w:docGrid w:type="lines" w:linePitch="326" w:charSpace="0"/>
        </w:sectPr>
      </w:pPr>
    </w:p>
    <w:p w14:paraId="5D16E945">
      <w:pPr>
        <w:pStyle w:val="61"/>
        <w:spacing w:after="326"/>
      </w:pPr>
      <w:bookmarkStart w:id="1" w:name="_Toc25500"/>
      <w:bookmarkStart w:id="2" w:name="_Toc28390"/>
      <w:bookmarkStart w:id="3" w:name="_Toc29376"/>
      <w:bookmarkStart w:id="4" w:name="_Toc25728"/>
      <w:r>
        <w:t>摘  要</w:t>
      </w:r>
      <w:bookmarkEnd w:id="1"/>
      <w:bookmarkEnd w:id="2"/>
      <w:bookmarkEnd w:id="3"/>
      <w:bookmarkEnd w:id="4"/>
    </w:p>
    <w:bookmarkEnd w:id="0"/>
    <w:p w14:paraId="7E4B5AED">
      <w:pPr>
        <w:pStyle w:val="63"/>
        <w:bidi w:val="0"/>
      </w:pPr>
      <w:r>
        <w:rPr>
          <w:rFonts w:hint="eastAsia"/>
        </w:rPr>
        <w:t>随着大语言模型与检索增强生成技术在电力调度、设备运维和智能问答等场景中的持续应用，RAG 通过引入外部知识库提升了系统的知识时效性与回答可解释性，但同时也带来了知识库投毒等新的安全风险。攻击者可通过向知识库注入伪装性恶意文本，诱导系统检索错误证据并误导生成结果，从而影响电力人工智能应用的可信性与安全性</w:t>
      </w:r>
      <w:r>
        <w:t>。</w:t>
      </w:r>
    </w:p>
    <w:p w14:paraId="26F2DB27">
      <w:pPr>
        <w:pStyle w:val="63"/>
        <w:bidi w:val="0"/>
      </w:pPr>
      <w:r>
        <w:t>然而，现有相关研究仍面临若干挑战：一方面，部分知识库投毒攻击方法依赖检索器结构、提示模板或内部反馈等先验信息，难以贴近真实黑盒部署场景；另一方面，现有防御方法多聚焦于单一环节，难以同时兼顾污染证据检测能力、正常问答能力保持以及工程部署可行性。此外，已有研究大多停留在算法验证层面，缺乏面向行业应用的统一集成平台对攻防过程进行展示、验证与闭环评估。</w:t>
      </w:r>
    </w:p>
    <w:p w14:paraId="481F4263">
      <w:pPr>
        <w:pStyle w:val="63"/>
        <w:bidi w:val="0"/>
      </w:pPr>
      <w:r>
        <w:t>针对上述问题，本文的主要工作内容如下：</w:t>
      </w:r>
    </w:p>
    <w:p w14:paraId="6FCA6302">
      <w:pPr>
        <w:pStyle w:val="63"/>
        <w:numPr>
          <w:ilvl w:val="0"/>
          <w:numId w:val="1"/>
        </w:numPr>
        <w:bidi w:val="0"/>
      </w:pPr>
      <w:r>
        <w:t>面向电力人工智能应用场景，构建了基于数字孪生的 AI 模型训推一体可视化平台，实现了算力资源、数据资产、模型资产与业务流程的统一映射和可视化管理，并搭建了电力调度 RAG 应用环境，为知识库投毒攻防研究提供了统一实验载体。</w:t>
      </w:r>
    </w:p>
    <w:p w14:paraId="437E7725">
      <w:pPr>
        <w:pStyle w:val="63"/>
        <w:numPr>
          <w:ilvl w:val="0"/>
          <w:numId w:val="1"/>
        </w:numPr>
        <w:bidi w:val="0"/>
      </w:pPr>
      <w:r>
        <w:t>针对现有投毒攻击方法黑盒适应性不足的问题，提出了基于双目标遗传优化的 RAG 系统知识库毒化攻击方法，将毒化文档生成建模为兼顾检索命中能力与语义隐蔽性的双目标优化问题，并通过种群初始化、交叉、动态重要性引导变异和种群更新等步骤生成高隐蔽、高命中的毒化文档。</w:t>
      </w:r>
    </w:p>
    <w:p w14:paraId="5B956D59">
      <w:pPr>
        <w:pStyle w:val="63"/>
        <w:numPr>
          <w:ilvl w:val="0"/>
          <w:numId w:val="1"/>
        </w:numPr>
        <w:bidi w:val="0"/>
      </w:pPr>
      <w:r>
        <w:t>针对现有防御方法全链路协同性不足的问题，提出了融合检索护栏、输入护栏与输出护栏的组合式防御框架，其中检索护栏由检索扩展、嵌入空间异常检测和句子级困惑度异常检测构成，可实现对污染证据的前置识别、过滤与抑制。</w:t>
      </w:r>
    </w:p>
    <w:p w14:paraId="067E83FE">
      <w:pPr>
        <w:pStyle w:val="63"/>
        <w:numPr>
          <w:ilvl w:val="0"/>
          <w:numId w:val="1"/>
        </w:numPr>
        <w:bidi w:val="0"/>
      </w:pPr>
      <w:r>
        <w:rPr>
          <w:rFonts w:hint="eastAsia"/>
        </w:rPr>
        <w:t>设计并实现了电力人工智能应用安全靶场系统，完成了需求分析、总体架构设计、功能模块设计、详细实现、系统部署与测试，集成靶标环境管理、红方攻击、蓝方防御、态势感知与预案生成、演练导调与评估等功能，实现了对知识库投毒安全问题的闭环验证与展示应用。实验与测试结果表明，本文提出的方法和系统具备较好的有效性、可用性与工程应用价值。</w:t>
      </w:r>
    </w:p>
    <w:p w14:paraId="1DC8872E">
      <w:pPr>
        <w:snapToGrid w:val="0"/>
        <w:spacing w:before="326" w:beforeLines="100"/>
        <w:ind w:firstLine="560"/>
        <w:rPr>
          <w:rStyle w:val="37"/>
          <w:snapToGrid w:val="0"/>
          <w:sz w:val="28"/>
          <w:szCs w:val="28"/>
        </w:rPr>
      </w:pPr>
      <w:r>
        <w:rPr>
          <w:rStyle w:val="65"/>
          <w:rFonts w:hint="eastAsia"/>
        </w:rPr>
        <w:t>关键词：</w:t>
      </w:r>
      <w:r>
        <w:rPr>
          <w:rStyle w:val="67"/>
          <w:rFonts w:hint="default"/>
        </w:rPr>
        <w:t>检索增强生成</w:t>
      </w:r>
      <w:r>
        <w:rPr>
          <w:rStyle w:val="67"/>
          <w:rFonts w:hint="eastAsia"/>
          <w:lang w:eastAsia="zh-CN"/>
        </w:rPr>
        <w:t>；</w:t>
      </w:r>
      <w:r>
        <w:rPr>
          <w:rStyle w:val="67"/>
          <w:rFonts w:hint="default"/>
        </w:rPr>
        <w:t>投毒攻击</w:t>
      </w:r>
      <w:r>
        <w:rPr>
          <w:rStyle w:val="67"/>
          <w:rFonts w:hint="eastAsia"/>
          <w:lang w:eastAsia="zh-CN"/>
        </w:rPr>
        <w:t>；</w:t>
      </w:r>
      <w:r>
        <w:rPr>
          <w:rStyle w:val="67"/>
          <w:rFonts w:hint="default"/>
        </w:rPr>
        <w:t>遗传算法</w:t>
      </w:r>
      <w:r>
        <w:rPr>
          <w:rStyle w:val="67"/>
          <w:rFonts w:hint="eastAsia"/>
          <w:lang w:eastAsia="zh-CN"/>
        </w:rPr>
        <w:t>；</w:t>
      </w:r>
      <w:r>
        <w:rPr>
          <w:rStyle w:val="67"/>
          <w:rFonts w:hint="default"/>
        </w:rPr>
        <w:t>异常检测</w:t>
      </w:r>
    </w:p>
    <w:p w14:paraId="237BC695">
      <w:pPr>
        <w:ind w:firstLine="480"/>
      </w:pPr>
    </w:p>
    <w:p w14:paraId="548A90FA">
      <w:pPr>
        <w:ind w:firstLine="480"/>
        <w:sectPr>
          <w:headerReference r:id="rId8" w:type="default"/>
          <w:footerReference r:id="rId10" w:type="default"/>
          <w:headerReference r:id="rId9" w:type="even"/>
          <w:footerReference r:id="rId11" w:type="even"/>
          <w:pgSz w:w="11906" w:h="16838"/>
          <w:pgMar w:top="1440" w:right="1797" w:bottom="1440" w:left="1797" w:header="850" w:footer="992" w:gutter="0"/>
          <w:pgNumType w:fmt="upperRoman" w:start="1"/>
          <w:cols w:space="720" w:num="1"/>
          <w:docGrid w:type="lines" w:linePitch="326" w:charSpace="0"/>
        </w:sectPr>
      </w:pPr>
    </w:p>
    <w:p w14:paraId="2486C326">
      <w:pPr>
        <w:pStyle w:val="62"/>
        <w:spacing w:after="652"/>
      </w:pPr>
      <w:bookmarkStart w:id="5" w:name="_Toc23930"/>
      <w:bookmarkStart w:id="6" w:name="_Toc29386"/>
      <w:bookmarkStart w:id="7" w:name="_Toc24768"/>
      <w:bookmarkStart w:id="8" w:name="_Toc17386"/>
      <w:r>
        <w:t>A</w:t>
      </w:r>
      <w:r>
        <w:rPr>
          <w:rFonts w:hint="eastAsia"/>
        </w:rPr>
        <w:t>BSTRACT</w:t>
      </w:r>
      <w:bookmarkEnd w:id="5"/>
      <w:bookmarkEnd w:id="6"/>
      <w:bookmarkEnd w:id="7"/>
      <w:bookmarkEnd w:id="8"/>
    </w:p>
    <w:p w14:paraId="4774322B">
      <w:pPr>
        <w:pStyle w:val="63"/>
        <w:bidi w:val="0"/>
      </w:pPr>
      <w:r>
        <w:t>With the continuous application of large language models and retrieval-augmented generation technology in scenarios such as power dispatching, equipment operation and maintenance, and intelligent question answering, RAG improves the timeliness of system knowledge and the interpretability of responses by introducing external knowledge bases, but it also brings new security risks such as knowledge base poisoning. Attackers can inject disguised malicious texts into the knowledge base to induce the system to retrieve incorrect evidence and mislead the generated results, thereby affecting the trustworthiness and security of AI applications in the power sector.</w:t>
      </w:r>
    </w:p>
    <w:p w14:paraId="120C3DFC">
      <w:pPr>
        <w:pStyle w:val="63"/>
      </w:pPr>
      <w:r>
        <w:rPr>
          <w:rFonts w:hint="eastAsia"/>
        </w:rPr>
        <w:t>However, existing related studies still face several challenges. On the one hand, some knowledge base poisoning attack methods rely on prior information such as retriever structures, prompt templates, or internal feedback, making them difficult to align with real black-box deployment scenarios. On the other hand, existing defense methods mostly focus on a single stage, making it difficult to simultaneously take into account contaminated evidence detection capability, preservation of normal question-answering capability, and feasibility of engineering deployment. In addition, most existing studies remain at the algorithm validation level and lack a unified integrated platform for industry-oriented applications to demonstrate, verify, and conduct closed-loop evaluation of the attack and defense process</w:t>
      </w:r>
      <w:r>
        <w:t>.</w:t>
      </w:r>
    </w:p>
    <w:p w14:paraId="29A92379">
      <w:pPr>
        <w:pStyle w:val="63"/>
        <w:rPr>
          <w:rFonts w:hint="eastAsia"/>
        </w:rPr>
      </w:pPr>
      <w:r>
        <w:rPr>
          <w:rFonts w:hint="eastAsia"/>
        </w:rPr>
        <w:t>To address the above issues, the main work of this thesis is as follows:</w:t>
      </w:r>
    </w:p>
    <w:p w14:paraId="6EE55CD7">
      <w:pPr>
        <w:pStyle w:val="63"/>
        <w:rPr>
          <w:rFonts w:hint="eastAsia"/>
        </w:rPr>
      </w:pPr>
      <w:r>
        <w:rPr>
          <w:rFonts w:hint="eastAsia"/>
        </w:rPr>
        <w:t>(1) For AI application scenarios in the power sector, a digital-twin-based integrated visualization platform for AI model training and inference was constructed, realizing the unified mapping and visualized management of computing resources, data assets, model assets, and business processes. A power dispatching RAG application environment was also established, providing a unified experimental carrier for research on knowledge base poisoning attacks and defenses.</w:t>
      </w:r>
    </w:p>
    <w:p w14:paraId="08EE2860">
      <w:pPr>
        <w:pStyle w:val="63"/>
        <w:rPr>
          <w:rFonts w:hint="eastAsia"/>
        </w:rPr>
      </w:pPr>
      <w:r>
        <w:rPr>
          <w:rFonts w:hint="eastAsia"/>
        </w:rPr>
        <w:t>(2) To address the insufficient black-box adaptability of existing poisoning attack methods, a knowledge base poisoning attack method for RAG systems based on bi-objective genetic optimization was proposed. It models poisoned document generation as a bi-objective optimization problem that balances retrieval hit capability and semantic stealthiness, and generates highly stealthy and high-hit poisoned documents through population initialization, crossover, dynamic importance-guided mutation, and population update.</w:t>
      </w:r>
    </w:p>
    <w:p w14:paraId="1A762688">
      <w:pPr>
        <w:pStyle w:val="63"/>
        <w:rPr>
          <w:rFonts w:hint="eastAsia"/>
        </w:rPr>
      </w:pPr>
      <w:r>
        <w:rPr>
          <w:rFonts w:hint="eastAsia"/>
        </w:rPr>
        <w:t>(3) To address the insufficient full-chain collaboration of existing defense methods, a combined defense framework integrating retrieval guardrails, input guardrails, and output guardrails was proposed. Among them, the retrieval guardrail consists of retrieval expansion, anomaly detection in the embedding space, and sentence-level perplexity anomaly detection, which can realize the early identification, filtering, and suppression of contaminated evidence.</w:t>
      </w:r>
    </w:p>
    <w:p w14:paraId="29A13039">
      <w:pPr>
        <w:pStyle w:val="63"/>
      </w:pPr>
      <w:r>
        <w:rPr>
          <w:rFonts w:hint="eastAsia"/>
        </w:rPr>
        <w:t>(4) A security cyber range system for power AI applications was designed and implemented. Requirement analysis, overall architecture design, functional module design, detailed implementation, system deployment, and testing were completed. Functions including target environment management, red-team attack, blue-team defense, situational awareness and contingency plan generation, exercise orchestration and evaluation were integrated, thereby realizing the closed-loop validation and demonstration application of knowledge base poisoning security issues. Experimental and test results show that the methods and system proposed in this thesis have good effectiveness, usability, and engineering application value.</w:t>
      </w:r>
    </w:p>
    <w:p w14:paraId="372E75CE">
      <w:pPr>
        <w:snapToGrid w:val="0"/>
        <w:spacing w:before="652" w:beforeLines="200"/>
        <w:rPr>
          <w:rStyle w:val="37"/>
          <w:rFonts w:hint="default"/>
          <w:snapToGrid w:val="0"/>
          <w:sz w:val="28"/>
          <w:szCs w:val="28"/>
          <w:lang w:val="en-US"/>
        </w:rPr>
      </w:pPr>
      <w:r>
        <w:rPr>
          <w:rStyle w:val="69"/>
        </w:rPr>
        <w:t>KEY WORDS:</w:t>
      </w:r>
      <w:r>
        <w:rPr>
          <w:rStyle w:val="69"/>
          <w:rFonts w:hint="eastAsia"/>
        </w:rPr>
        <w:t xml:space="preserve"> </w:t>
      </w:r>
      <w:r>
        <w:rPr>
          <w:rStyle w:val="93"/>
          <w:rFonts w:hint="eastAsia"/>
          <w:lang w:val="en-US"/>
        </w:rPr>
        <w:t>Retrieval-Augmented Generation</w:t>
      </w:r>
      <w:r>
        <w:rPr>
          <w:rStyle w:val="93"/>
          <w:rFonts w:hint="eastAsia"/>
        </w:rPr>
        <w:t>;</w:t>
      </w:r>
      <w:r>
        <w:rPr>
          <w:rStyle w:val="93"/>
        </w:rPr>
        <w:t xml:space="preserve"> </w:t>
      </w:r>
      <w:r>
        <w:rPr>
          <w:rStyle w:val="93"/>
          <w:rFonts w:hint="eastAsia"/>
          <w:lang w:val="en-US"/>
        </w:rPr>
        <w:t>poisoning attack</w:t>
      </w:r>
      <w:r>
        <w:rPr>
          <w:rStyle w:val="93"/>
          <w:rFonts w:hint="eastAsia"/>
        </w:rPr>
        <w:t>;</w:t>
      </w:r>
      <w:r>
        <w:rPr>
          <w:rStyle w:val="93"/>
        </w:rPr>
        <w:t xml:space="preserve"> </w:t>
      </w:r>
      <w:r>
        <w:rPr>
          <w:rStyle w:val="93"/>
          <w:rFonts w:hint="eastAsia"/>
          <w:lang w:val="en-US"/>
        </w:rPr>
        <w:t>genetic algorithm</w:t>
      </w:r>
      <w:r>
        <w:rPr>
          <w:rStyle w:val="93"/>
          <w:rFonts w:hint="eastAsia"/>
        </w:rPr>
        <w:t>;</w:t>
      </w:r>
      <w:r>
        <w:rPr>
          <w:rStyle w:val="93"/>
        </w:rPr>
        <w:t xml:space="preserve"> </w:t>
      </w:r>
      <w:r>
        <w:rPr>
          <w:rStyle w:val="93"/>
          <w:rFonts w:hint="eastAsia"/>
          <w:lang w:val="en-US"/>
        </w:rPr>
        <w:t>anomaly detection</w:t>
      </w:r>
    </w:p>
    <w:p w14:paraId="4E1700F1">
      <w:pPr>
        <w:snapToGrid w:val="0"/>
        <w:ind w:firstLine="480"/>
        <w:rPr>
          <w:snapToGrid w:val="0"/>
        </w:rPr>
      </w:pPr>
    </w:p>
    <w:p w14:paraId="7CC9C658">
      <w:pPr>
        <w:snapToGrid w:val="0"/>
        <w:ind w:firstLine="480"/>
        <w:rPr>
          <w:snapToGrid w:val="0"/>
        </w:rPr>
        <w:sectPr>
          <w:headerReference r:id="rId12" w:type="default"/>
          <w:headerReference r:id="rId13" w:type="even"/>
          <w:pgSz w:w="11906" w:h="16838"/>
          <w:pgMar w:top="1440" w:right="1797" w:bottom="1440" w:left="1797" w:header="850" w:footer="992" w:gutter="0"/>
          <w:pgNumType w:fmt="upperRoman"/>
          <w:cols w:space="720" w:num="1"/>
          <w:docGrid w:type="lines" w:linePitch="326" w:charSpace="0"/>
        </w:sectPr>
      </w:pPr>
    </w:p>
    <w:p w14:paraId="1BE1B659">
      <w:pPr>
        <w:pStyle w:val="82"/>
        <w:keepNext w:val="0"/>
        <w:keepLines w:val="0"/>
        <w:pageBreakBefore w:val="0"/>
        <w:widowControl/>
        <w:kinsoku/>
        <w:wordWrap/>
        <w:overflowPunct/>
        <w:topLinePunct w:val="0"/>
        <w:autoSpaceDE/>
        <w:autoSpaceDN/>
        <w:bidi w:val="0"/>
        <w:adjustRightInd/>
        <w:snapToGrid w:val="0"/>
        <w:textAlignment w:val="auto"/>
        <w:rPr>
          <w:rFonts w:hint="eastAsia"/>
        </w:rPr>
      </w:pPr>
      <w:r>
        <w:rPr>
          <w:rFonts w:hint="eastAsia"/>
        </w:rPr>
        <w:t>目  录</w:t>
      </w:r>
    </w:p>
    <w:p w14:paraId="7321CE3E">
      <w:pPr>
        <w:pStyle w:val="20"/>
        <w:tabs>
          <w:tab w:val="right" w:leader="dot" w:pos="8312"/>
        </w:tabs>
      </w:pPr>
      <w:bookmarkStart w:id="9" w:name="_Toc17858"/>
      <w:r>
        <w:rPr>
          <w:snapToGrid w:val="0"/>
        </w:rPr>
        <w:fldChar w:fldCharType="begin"/>
      </w:r>
      <w:r>
        <w:rPr>
          <w:snapToGrid w:val="0"/>
        </w:rPr>
        <w:instrText xml:space="preserve">TOC \o "1-3" \h \u </w:instrText>
      </w:r>
      <w:r>
        <w:rPr>
          <w:snapToGrid w:val="0"/>
        </w:rPr>
        <w:fldChar w:fldCharType="separate"/>
      </w:r>
      <w:r>
        <w:rPr>
          <w:snapToGrid w:val="0"/>
        </w:rPr>
        <w:fldChar w:fldCharType="begin"/>
      </w:r>
      <w:r>
        <w:rPr>
          <w:snapToGrid w:val="0"/>
        </w:rPr>
        <w:instrText xml:space="preserve"> HYPERLINK \l _Toc29376 </w:instrText>
      </w:r>
      <w:r>
        <w:rPr>
          <w:snapToGrid w:val="0"/>
        </w:rPr>
        <w:fldChar w:fldCharType="separate"/>
      </w:r>
      <w:r>
        <w:t>摘  要</w:t>
      </w:r>
      <w:r>
        <w:tab/>
      </w:r>
      <w:r>
        <w:fldChar w:fldCharType="begin"/>
      </w:r>
      <w:r>
        <w:instrText xml:space="preserve"> PAGEREF _Toc29376 \h </w:instrText>
      </w:r>
      <w:r>
        <w:fldChar w:fldCharType="separate"/>
      </w:r>
      <w:r>
        <w:t>I</w:t>
      </w:r>
      <w:r>
        <w:fldChar w:fldCharType="end"/>
      </w:r>
      <w:r>
        <w:rPr>
          <w:snapToGrid w:val="0"/>
        </w:rPr>
        <w:fldChar w:fldCharType="end"/>
      </w:r>
    </w:p>
    <w:p w14:paraId="74457DAB">
      <w:pPr>
        <w:pStyle w:val="20"/>
        <w:tabs>
          <w:tab w:val="right" w:leader="dot" w:pos="8312"/>
        </w:tabs>
      </w:pPr>
      <w:r>
        <w:rPr>
          <w:snapToGrid w:val="0"/>
        </w:rPr>
        <w:fldChar w:fldCharType="begin"/>
      </w:r>
      <w:r>
        <w:rPr>
          <w:snapToGrid w:val="0"/>
        </w:rPr>
        <w:instrText xml:space="preserve"> HYPERLINK \l _Toc23930 </w:instrText>
      </w:r>
      <w:r>
        <w:rPr>
          <w:snapToGrid w:val="0"/>
        </w:rPr>
        <w:fldChar w:fldCharType="separate"/>
      </w:r>
      <w:r>
        <w:t>A</w:t>
      </w:r>
      <w:r>
        <w:rPr>
          <w:rFonts w:hint="eastAsia"/>
        </w:rPr>
        <w:t>BSTRACT</w:t>
      </w:r>
      <w:r>
        <w:tab/>
      </w:r>
      <w:r>
        <w:fldChar w:fldCharType="begin"/>
      </w:r>
      <w:r>
        <w:instrText xml:space="preserve"> PAGEREF _Toc23930 \h </w:instrText>
      </w:r>
      <w:r>
        <w:fldChar w:fldCharType="separate"/>
      </w:r>
      <w:r>
        <w:t>III</w:t>
      </w:r>
      <w:r>
        <w:fldChar w:fldCharType="end"/>
      </w:r>
      <w:r>
        <w:rPr>
          <w:snapToGrid w:val="0"/>
        </w:rPr>
        <w:fldChar w:fldCharType="end"/>
      </w:r>
    </w:p>
    <w:p w14:paraId="4700F10D">
      <w:pPr>
        <w:pStyle w:val="20"/>
        <w:tabs>
          <w:tab w:val="right" w:leader="dot" w:pos="8312"/>
        </w:tabs>
      </w:pPr>
      <w:r>
        <w:rPr>
          <w:snapToGrid w:val="0"/>
        </w:rPr>
        <w:fldChar w:fldCharType="begin"/>
      </w:r>
      <w:r>
        <w:rPr>
          <w:snapToGrid w:val="0"/>
        </w:rPr>
        <w:instrText xml:space="preserve"> HYPERLINK \l _Toc29754 </w:instrText>
      </w:r>
      <w:r>
        <w:rPr>
          <w:snapToGrid w:val="0"/>
        </w:rPr>
        <w:fldChar w:fldCharType="separate"/>
      </w:r>
      <w:r>
        <w:rPr>
          <w:rFonts w:hint="eastAsia"/>
        </w:rPr>
        <w:t>第一章  绪论</w:t>
      </w:r>
      <w:r>
        <w:tab/>
      </w:r>
      <w:r>
        <w:fldChar w:fldCharType="begin"/>
      </w:r>
      <w:r>
        <w:instrText xml:space="preserve"> PAGEREF _Toc29754 \h </w:instrText>
      </w:r>
      <w:r>
        <w:fldChar w:fldCharType="separate"/>
      </w:r>
      <w:r>
        <w:t>1</w:t>
      </w:r>
      <w:r>
        <w:fldChar w:fldCharType="end"/>
      </w:r>
      <w:r>
        <w:rPr>
          <w:snapToGrid w:val="0"/>
        </w:rPr>
        <w:fldChar w:fldCharType="end"/>
      </w:r>
    </w:p>
    <w:p w14:paraId="69996BBB">
      <w:pPr>
        <w:pStyle w:val="24"/>
        <w:tabs>
          <w:tab w:val="right" w:leader="dot" w:pos="8312"/>
        </w:tabs>
      </w:pPr>
      <w:r>
        <w:rPr>
          <w:snapToGrid w:val="0"/>
        </w:rPr>
        <w:fldChar w:fldCharType="begin"/>
      </w:r>
      <w:r>
        <w:rPr>
          <w:snapToGrid w:val="0"/>
        </w:rPr>
        <w:instrText xml:space="preserve"> HYPERLINK \l _Toc6687 </w:instrText>
      </w:r>
      <w:r>
        <w:rPr>
          <w:snapToGrid w:val="0"/>
        </w:rPr>
        <w:fldChar w:fldCharType="separate"/>
      </w:r>
      <w:r>
        <w:t>1.1</w:t>
      </w:r>
      <w:r>
        <w:rPr>
          <w:rFonts w:hint="eastAsia"/>
        </w:rPr>
        <w:t xml:space="preserve">  研究背景与意义</w:t>
      </w:r>
      <w:r>
        <w:tab/>
      </w:r>
      <w:r>
        <w:fldChar w:fldCharType="begin"/>
      </w:r>
      <w:r>
        <w:instrText xml:space="preserve"> PAGEREF _Toc6687 \h </w:instrText>
      </w:r>
      <w:r>
        <w:fldChar w:fldCharType="separate"/>
      </w:r>
      <w:r>
        <w:t>1</w:t>
      </w:r>
      <w:r>
        <w:fldChar w:fldCharType="end"/>
      </w:r>
      <w:r>
        <w:rPr>
          <w:snapToGrid w:val="0"/>
        </w:rPr>
        <w:fldChar w:fldCharType="end"/>
      </w:r>
    </w:p>
    <w:p w14:paraId="4CED0971">
      <w:pPr>
        <w:pStyle w:val="24"/>
        <w:tabs>
          <w:tab w:val="right" w:leader="dot" w:pos="8312"/>
        </w:tabs>
      </w:pPr>
      <w:r>
        <w:rPr>
          <w:snapToGrid w:val="0"/>
        </w:rPr>
        <w:fldChar w:fldCharType="begin"/>
      </w:r>
      <w:r>
        <w:rPr>
          <w:snapToGrid w:val="0"/>
        </w:rPr>
        <w:instrText xml:space="preserve"> HYPERLINK \l _Toc23862 </w:instrText>
      </w:r>
      <w:r>
        <w:rPr>
          <w:snapToGrid w:val="0"/>
        </w:rPr>
        <w:fldChar w:fldCharType="separate"/>
      </w:r>
      <w:r>
        <w:t>1.2</w:t>
      </w:r>
      <w:r>
        <w:rPr>
          <w:rFonts w:hint="eastAsia"/>
        </w:rPr>
        <w:t xml:space="preserve">  国内外研究现状</w:t>
      </w:r>
      <w:r>
        <w:tab/>
      </w:r>
      <w:r>
        <w:fldChar w:fldCharType="begin"/>
      </w:r>
      <w:r>
        <w:instrText xml:space="preserve"> PAGEREF _Toc23862 \h </w:instrText>
      </w:r>
      <w:r>
        <w:fldChar w:fldCharType="separate"/>
      </w:r>
      <w:r>
        <w:t>2</w:t>
      </w:r>
      <w:r>
        <w:fldChar w:fldCharType="end"/>
      </w:r>
      <w:r>
        <w:rPr>
          <w:snapToGrid w:val="0"/>
        </w:rPr>
        <w:fldChar w:fldCharType="end"/>
      </w:r>
    </w:p>
    <w:p w14:paraId="32AB0A7F">
      <w:pPr>
        <w:pStyle w:val="13"/>
        <w:tabs>
          <w:tab w:val="right" w:leader="dot" w:pos="8312"/>
        </w:tabs>
      </w:pPr>
      <w:r>
        <w:rPr>
          <w:snapToGrid w:val="0"/>
        </w:rPr>
        <w:fldChar w:fldCharType="begin"/>
      </w:r>
      <w:r>
        <w:rPr>
          <w:snapToGrid w:val="0"/>
        </w:rPr>
        <w:instrText xml:space="preserve"> HYPERLINK \l _Toc23565 </w:instrText>
      </w:r>
      <w:r>
        <w:rPr>
          <w:snapToGrid w:val="0"/>
        </w:rPr>
        <w:fldChar w:fldCharType="separate"/>
      </w:r>
      <w:r>
        <w:rPr>
          <w:rFonts w:hint="eastAsia"/>
        </w:rPr>
        <w:t>1.2.1  RAG技术</w:t>
      </w:r>
      <w:r>
        <w:tab/>
      </w:r>
      <w:r>
        <w:fldChar w:fldCharType="begin"/>
      </w:r>
      <w:r>
        <w:instrText xml:space="preserve"> PAGEREF _Toc23565 \h </w:instrText>
      </w:r>
      <w:r>
        <w:fldChar w:fldCharType="separate"/>
      </w:r>
      <w:r>
        <w:t>2</w:t>
      </w:r>
      <w:r>
        <w:fldChar w:fldCharType="end"/>
      </w:r>
      <w:r>
        <w:rPr>
          <w:snapToGrid w:val="0"/>
        </w:rPr>
        <w:fldChar w:fldCharType="end"/>
      </w:r>
    </w:p>
    <w:p w14:paraId="59096B12">
      <w:pPr>
        <w:pStyle w:val="13"/>
        <w:tabs>
          <w:tab w:val="right" w:leader="dot" w:pos="8312"/>
        </w:tabs>
      </w:pPr>
      <w:r>
        <w:rPr>
          <w:snapToGrid w:val="0"/>
        </w:rPr>
        <w:fldChar w:fldCharType="begin"/>
      </w:r>
      <w:r>
        <w:rPr>
          <w:snapToGrid w:val="0"/>
        </w:rPr>
        <w:instrText xml:space="preserve"> HYPERLINK \l _Toc5092 </w:instrText>
      </w:r>
      <w:r>
        <w:rPr>
          <w:snapToGrid w:val="0"/>
        </w:rPr>
        <w:fldChar w:fldCharType="separate"/>
      </w:r>
      <w:r>
        <w:rPr>
          <w:rFonts w:hint="eastAsia"/>
        </w:rPr>
        <w:t>1.2.2  RAG投毒攻击</w:t>
      </w:r>
      <w:r>
        <w:tab/>
      </w:r>
      <w:r>
        <w:fldChar w:fldCharType="begin"/>
      </w:r>
      <w:r>
        <w:instrText xml:space="preserve"> PAGEREF _Toc5092 \h </w:instrText>
      </w:r>
      <w:r>
        <w:fldChar w:fldCharType="separate"/>
      </w:r>
      <w:r>
        <w:t>3</w:t>
      </w:r>
      <w:r>
        <w:fldChar w:fldCharType="end"/>
      </w:r>
      <w:r>
        <w:rPr>
          <w:snapToGrid w:val="0"/>
        </w:rPr>
        <w:fldChar w:fldCharType="end"/>
      </w:r>
    </w:p>
    <w:p w14:paraId="7EEC5DF4">
      <w:pPr>
        <w:pStyle w:val="13"/>
        <w:tabs>
          <w:tab w:val="right" w:leader="dot" w:pos="8312"/>
        </w:tabs>
      </w:pPr>
      <w:r>
        <w:rPr>
          <w:snapToGrid w:val="0"/>
        </w:rPr>
        <w:fldChar w:fldCharType="begin"/>
      </w:r>
      <w:r>
        <w:rPr>
          <w:snapToGrid w:val="0"/>
        </w:rPr>
        <w:instrText xml:space="preserve"> HYPERLINK \l _Toc26935 </w:instrText>
      </w:r>
      <w:r>
        <w:rPr>
          <w:snapToGrid w:val="0"/>
        </w:rPr>
        <w:fldChar w:fldCharType="separate"/>
      </w:r>
      <w:r>
        <w:rPr>
          <w:rFonts w:hint="eastAsia"/>
        </w:rPr>
        <w:t>1.2.3  RAG投毒防御</w:t>
      </w:r>
      <w:r>
        <w:tab/>
      </w:r>
      <w:r>
        <w:fldChar w:fldCharType="begin"/>
      </w:r>
      <w:r>
        <w:instrText xml:space="preserve"> PAGEREF _Toc26935 \h </w:instrText>
      </w:r>
      <w:r>
        <w:fldChar w:fldCharType="separate"/>
      </w:r>
      <w:r>
        <w:t>4</w:t>
      </w:r>
      <w:r>
        <w:fldChar w:fldCharType="end"/>
      </w:r>
      <w:r>
        <w:rPr>
          <w:snapToGrid w:val="0"/>
        </w:rPr>
        <w:fldChar w:fldCharType="end"/>
      </w:r>
    </w:p>
    <w:p w14:paraId="6F9E297A">
      <w:pPr>
        <w:pStyle w:val="24"/>
        <w:tabs>
          <w:tab w:val="right" w:leader="dot" w:pos="8312"/>
        </w:tabs>
      </w:pPr>
      <w:r>
        <w:rPr>
          <w:snapToGrid w:val="0"/>
        </w:rPr>
        <w:fldChar w:fldCharType="begin"/>
      </w:r>
      <w:r>
        <w:rPr>
          <w:snapToGrid w:val="0"/>
        </w:rPr>
        <w:instrText xml:space="preserve"> HYPERLINK \l _Toc25835 </w:instrText>
      </w:r>
      <w:r>
        <w:rPr>
          <w:snapToGrid w:val="0"/>
        </w:rPr>
        <w:fldChar w:fldCharType="separate"/>
      </w:r>
      <w:r>
        <w:t>1.3</w:t>
      </w:r>
      <w:r>
        <w:rPr>
          <w:rFonts w:hint="eastAsia"/>
        </w:rPr>
        <w:t xml:space="preserve">  本文主要工作及创新点</w:t>
      </w:r>
      <w:r>
        <w:tab/>
      </w:r>
      <w:r>
        <w:fldChar w:fldCharType="begin"/>
      </w:r>
      <w:r>
        <w:instrText xml:space="preserve"> PAGEREF _Toc25835 \h </w:instrText>
      </w:r>
      <w:r>
        <w:fldChar w:fldCharType="separate"/>
      </w:r>
      <w:r>
        <w:t>5</w:t>
      </w:r>
      <w:r>
        <w:fldChar w:fldCharType="end"/>
      </w:r>
      <w:r>
        <w:rPr>
          <w:snapToGrid w:val="0"/>
        </w:rPr>
        <w:fldChar w:fldCharType="end"/>
      </w:r>
    </w:p>
    <w:p w14:paraId="2F79A2E5">
      <w:pPr>
        <w:pStyle w:val="24"/>
        <w:tabs>
          <w:tab w:val="right" w:leader="dot" w:pos="8312"/>
        </w:tabs>
      </w:pPr>
      <w:r>
        <w:rPr>
          <w:snapToGrid w:val="0"/>
        </w:rPr>
        <w:fldChar w:fldCharType="begin"/>
      </w:r>
      <w:r>
        <w:rPr>
          <w:snapToGrid w:val="0"/>
        </w:rPr>
        <w:instrText xml:space="preserve"> HYPERLINK \l _Toc26683 </w:instrText>
      </w:r>
      <w:r>
        <w:rPr>
          <w:snapToGrid w:val="0"/>
        </w:rPr>
        <w:fldChar w:fldCharType="separate"/>
      </w:r>
      <w:r>
        <w:t>1.</w:t>
      </w:r>
      <w:r>
        <w:rPr>
          <w:rFonts w:hint="eastAsia"/>
        </w:rPr>
        <w:t>4  本文结构安排</w:t>
      </w:r>
      <w:r>
        <w:tab/>
      </w:r>
      <w:r>
        <w:fldChar w:fldCharType="begin"/>
      </w:r>
      <w:r>
        <w:instrText xml:space="preserve"> PAGEREF _Toc26683 \h </w:instrText>
      </w:r>
      <w:r>
        <w:fldChar w:fldCharType="separate"/>
      </w:r>
      <w:r>
        <w:t>6</w:t>
      </w:r>
      <w:r>
        <w:fldChar w:fldCharType="end"/>
      </w:r>
      <w:r>
        <w:rPr>
          <w:snapToGrid w:val="0"/>
        </w:rPr>
        <w:fldChar w:fldCharType="end"/>
      </w:r>
    </w:p>
    <w:p w14:paraId="0662985E">
      <w:pPr>
        <w:pStyle w:val="20"/>
        <w:tabs>
          <w:tab w:val="right" w:leader="dot" w:pos="8312"/>
        </w:tabs>
      </w:pPr>
      <w:r>
        <w:rPr>
          <w:snapToGrid w:val="0"/>
        </w:rPr>
        <w:fldChar w:fldCharType="begin"/>
      </w:r>
      <w:r>
        <w:rPr>
          <w:snapToGrid w:val="0"/>
        </w:rPr>
        <w:instrText xml:space="preserve"> HYPERLINK \l _Toc32436 </w:instrText>
      </w:r>
      <w:r>
        <w:rPr>
          <w:snapToGrid w:val="0"/>
        </w:rPr>
        <w:fldChar w:fldCharType="separate"/>
      </w:r>
      <w:r>
        <w:rPr>
          <w:rFonts w:hint="eastAsia"/>
        </w:rPr>
        <w:t>第二章  相关理论及背景知识</w:t>
      </w:r>
      <w:r>
        <w:tab/>
      </w:r>
      <w:r>
        <w:fldChar w:fldCharType="begin"/>
      </w:r>
      <w:r>
        <w:instrText xml:space="preserve"> PAGEREF _Toc32436 \h </w:instrText>
      </w:r>
      <w:r>
        <w:fldChar w:fldCharType="separate"/>
      </w:r>
      <w:r>
        <w:t>9</w:t>
      </w:r>
      <w:r>
        <w:fldChar w:fldCharType="end"/>
      </w:r>
      <w:r>
        <w:rPr>
          <w:snapToGrid w:val="0"/>
        </w:rPr>
        <w:fldChar w:fldCharType="end"/>
      </w:r>
    </w:p>
    <w:p w14:paraId="42B0B7B9">
      <w:pPr>
        <w:pStyle w:val="24"/>
        <w:tabs>
          <w:tab w:val="right" w:leader="dot" w:pos="8312"/>
        </w:tabs>
      </w:pPr>
      <w:r>
        <w:rPr>
          <w:snapToGrid w:val="0"/>
        </w:rPr>
        <w:fldChar w:fldCharType="begin"/>
      </w:r>
      <w:r>
        <w:rPr>
          <w:snapToGrid w:val="0"/>
        </w:rPr>
        <w:instrText xml:space="preserve"> HYPERLINK \l _Toc3838 </w:instrText>
      </w:r>
      <w:r>
        <w:rPr>
          <w:snapToGrid w:val="0"/>
        </w:rPr>
        <w:fldChar w:fldCharType="separate"/>
      </w:r>
      <w:r>
        <w:t>2.</w:t>
      </w:r>
      <w:r>
        <w:rPr>
          <w:rFonts w:hint="eastAsia"/>
        </w:rPr>
        <w:t>1  数字孪生理论</w:t>
      </w:r>
      <w:r>
        <w:tab/>
      </w:r>
      <w:r>
        <w:fldChar w:fldCharType="begin"/>
      </w:r>
      <w:r>
        <w:instrText xml:space="preserve"> PAGEREF _Toc3838 \h </w:instrText>
      </w:r>
      <w:r>
        <w:fldChar w:fldCharType="separate"/>
      </w:r>
      <w:r>
        <w:t>9</w:t>
      </w:r>
      <w:r>
        <w:fldChar w:fldCharType="end"/>
      </w:r>
      <w:r>
        <w:rPr>
          <w:snapToGrid w:val="0"/>
        </w:rPr>
        <w:fldChar w:fldCharType="end"/>
      </w:r>
    </w:p>
    <w:p w14:paraId="40F67C84">
      <w:pPr>
        <w:pStyle w:val="13"/>
        <w:tabs>
          <w:tab w:val="right" w:leader="dot" w:pos="8312"/>
        </w:tabs>
      </w:pPr>
      <w:r>
        <w:rPr>
          <w:snapToGrid w:val="0"/>
        </w:rPr>
        <w:fldChar w:fldCharType="begin"/>
      </w:r>
      <w:r>
        <w:rPr>
          <w:snapToGrid w:val="0"/>
        </w:rPr>
        <w:instrText xml:space="preserve"> HYPERLINK \l _Toc1069 </w:instrText>
      </w:r>
      <w:r>
        <w:rPr>
          <w:snapToGrid w:val="0"/>
        </w:rPr>
        <w:fldChar w:fldCharType="separate"/>
      </w:r>
      <w:r>
        <w:t>2.</w:t>
      </w:r>
      <w:r>
        <w:rPr>
          <w:rFonts w:hint="eastAsia"/>
        </w:rPr>
        <w:t>1</w:t>
      </w:r>
      <w:r>
        <w:t>.1</w:t>
      </w:r>
      <w:r>
        <w:rPr>
          <w:rFonts w:hint="eastAsia"/>
        </w:rPr>
        <w:t xml:space="preserve">  数字孪生概念与体系架构</w:t>
      </w:r>
      <w:r>
        <w:tab/>
      </w:r>
      <w:r>
        <w:fldChar w:fldCharType="begin"/>
      </w:r>
      <w:r>
        <w:instrText xml:space="preserve"> PAGEREF _Toc1069 \h </w:instrText>
      </w:r>
      <w:r>
        <w:fldChar w:fldCharType="separate"/>
      </w:r>
      <w:r>
        <w:t>9</w:t>
      </w:r>
      <w:r>
        <w:fldChar w:fldCharType="end"/>
      </w:r>
      <w:r>
        <w:rPr>
          <w:snapToGrid w:val="0"/>
        </w:rPr>
        <w:fldChar w:fldCharType="end"/>
      </w:r>
    </w:p>
    <w:p w14:paraId="67A5663E">
      <w:pPr>
        <w:pStyle w:val="13"/>
        <w:tabs>
          <w:tab w:val="right" w:leader="dot" w:pos="8312"/>
        </w:tabs>
      </w:pPr>
      <w:r>
        <w:rPr>
          <w:snapToGrid w:val="0"/>
        </w:rPr>
        <w:fldChar w:fldCharType="begin"/>
      </w:r>
      <w:r>
        <w:rPr>
          <w:snapToGrid w:val="0"/>
        </w:rPr>
        <w:instrText xml:space="preserve"> HYPERLINK \l _Toc3820 </w:instrText>
      </w:r>
      <w:r>
        <w:rPr>
          <w:snapToGrid w:val="0"/>
        </w:rPr>
        <w:fldChar w:fldCharType="separate"/>
      </w:r>
      <w:r>
        <w:t>2.</w:t>
      </w:r>
      <w:r>
        <w:rPr>
          <w:rFonts w:hint="eastAsia"/>
        </w:rPr>
        <w:t>1</w:t>
      </w:r>
      <w:r>
        <w:t>.</w:t>
      </w:r>
      <w:r>
        <w:rPr>
          <w:rFonts w:hint="eastAsia"/>
        </w:rPr>
        <w:t>2  面向AI训推场景的数字孪生应用</w:t>
      </w:r>
      <w:r>
        <w:tab/>
      </w:r>
      <w:r>
        <w:fldChar w:fldCharType="begin"/>
      </w:r>
      <w:r>
        <w:instrText xml:space="preserve"> PAGEREF _Toc3820 \h </w:instrText>
      </w:r>
      <w:r>
        <w:fldChar w:fldCharType="separate"/>
      </w:r>
      <w:r>
        <w:t>10</w:t>
      </w:r>
      <w:r>
        <w:fldChar w:fldCharType="end"/>
      </w:r>
      <w:r>
        <w:rPr>
          <w:snapToGrid w:val="0"/>
        </w:rPr>
        <w:fldChar w:fldCharType="end"/>
      </w:r>
    </w:p>
    <w:p w14:paraId="43C7B5D3">
      <w:pPr>
        <w:pStyle w:val="24"/>
        <w:tabs>
          <w:tab w:val="right" w:leader="dot" w:pos="8312"/>
        </w:tabs>
      </w:pPr>
      <w:r>
        <w:rPr>
          <w:snapToGrid w:val="0"/>
        </w:rPr>
        <w:fldChar w:fldCharType="begin"/>
      </w:r>
      <w:r>
        <w:rPr>
          <w:snapToGrid w:val="0"/>
        </w:rPr>
        <w:instrText xml:space="preserve"> HYPERLINK \l _Toc23164 </w:instrText>
      </w:r>
      <w:r>
        <w:rPr>
          <w:snapToGrid w:val="0"/>
        </w:rPr>
        <w:fldChar w:fldCharType="separate"/>
      </w:r>
      <w:r>
        <w:t>2.</w:t>
      </w:r>
      <w:r>
        <w:rPr>
          <w:rFonts w:hint="eastAsia"/>
        </w:rPr>
        <w:t>2  大语言模型与检索增强生成</w:t>
      </w:r>
      <w:r>
        <w:tab/>
      </w:r>
      <w:r>
        <w:fldChar w:fldCharType="begin"/>
      </w:r>
      <w:r>
        <w:instrText xml:space="preserve"> PAGEREF _Toc23164 \h </w:instrText>
      </w:r>
      <w:r>
        <w:fldChar w:fldCharType="separate"/>
      </w:r>
      <w:r>
        <w:t>10</w:t>
      </w:r>
      <w:r>
        <w:fldChar w:fldCharType="end"/>
      </w:r>
      <w:r>
        <w:rPr>
          <w:snapToGrid w:val="0"/>
        </w:rPr>
        <w:fldChar w:fldCharType="end"/>
      </w:r>
    </w:p>
    <w:p w14:paraId="3CCA5D4D">
      <w:pPr>
        <w:pStyle w:val="13"/>
        <w:tabs>
          <w:tab w:val="right" w:leader="dot" w:pos="8312"/>
        </w:tabs>
      </w:pPr>
      <w:r>
        <w:rPr>
          <w:snapToGrid w:val="0"/>
        </w:rPr>
        <w:fldChar w:fldCharType="begin"/>
      </w:r>
      <w:r>
        <w:rPr>
          <w:snapToGrid w:val="0"/>
        </w:rPr>
        <w:instrText xml:space="preserve"> HYPERLINK \l _Toc29775 </w:instrText>
      </w:r>
      <w:r>
        <w:rPr>
          <w:snapToGrid w:val="0"/>
        </w:rPr>
        <w:fldChar w:fldCharType="separate"/>
      </w:r>
      <w:r>
        <w:t>2.</w:t>
      </w:r>
      <w:r>
        <w:rPr>
          <w:rFonts w:hint="eastAsia"/>
        </w:rPr>
        <w:t>2</w:t>
      </w:r>
      <w:r>
        <w:t>.1</w:t>
      </w:r>
      <w:r>
        <w:rPr>
          <w:rFonts w:hint="eastAsia"/>
        </w:rPr>
        <w:t xml:space="preserve">  大语言模型基本原理</w:t>
      </w:r>
      <w:r>
        <w:tab/>
      </w:r>
      <w:r>
        <w:fldChar w:fldCharType="begin"/>
      </w:r>
      <w:r>
        <w:instrText xml:space="preserve"> PAGEREF _Toc29775 \h </w:instrText>
      </w:r>
      <w:r>
        <w:fldChar w:fldCharType="separate"/>
      </w:r>
      <w:r>
        <w:t>10</w:t>
      </w:r>
      <w:r>
        <w:fldChar w:fldCharType="end"/>
      </w:r>
      <w:r>
        <w:rPr>
          <w:snapToGrid w:val="0"/>
        </w:rPr>
        <w:fldChar w:fldCharType="end"/>
      </w:r>
    </w:p>
    <w:p w14:paraId="141C2EB1">
      <w:pPr>
        <w:pStyle w:val="13"/>
        <w:tabs>
          <w:tab w:val="right" w:leader="dot" w:pos="8312"/>
        </w:tabs>
      </w:pPr>
      <w:r>
        <w:rPr>
          <w:snapToGrid w:val="0"/>
        </w:rPr>
        <w:fldChar w:fldCharType="begin"/>
      </w:r>
      <w:r>
        <w:rPr>
          <w:snapToGrid w:val="0"/>
        </w:rPr>
        <w:instrText xml:space="preserve"> HYPERLINK \l _Toc12671 </w:instrText>
      </w:r>
      <w:r>
        <w:rPr>
          <w:snapToGrid w:val="0"/>
        </w:rPr>
        <w:fldChar w:fldCharType="separate"/>
      </w:r>
      <w:r>
        <w:rPr>
          <w:rFonts w:hint="eastAsia"/>
        </w:rPr>
        <w:t>2.2.2  RAG系统架构</w:t>
      </w:r>
      <w:r>
        <w:tab/>
      </w:r>
      <w:r>
        <w:fldChar w:fldCharType="begin"/>
      </w:r>
      <w:r>
        <w:instrText xml:space="preserve"> PAGEREF _Toc12671 \h </w:instrText>
      </w:r>
      <w:r>
        <w:fldChar w:fldCharType="separate"/>
      </w:r>
      <w:r>
        <w:t>12</w:t>
      </w:r>
      <w:r>
        <w:fldChar w:fldCharType="end"/>
      </w:r>
      <w:r>
        <w:rPr>
          <w:snapToGrid w:val="0"/>
        </w:rPr>
        <w:fldChar w:fldCharType="end"/>
      </w:r>
    </w:p>
    <w:p w14:paraId="0DF561EF">
      <w:pPr>
        <w:pStyle w:val="13"/>
        <w:tabs>
          <w:tab w:val="right" w:leader="dot" w:pos="8312"/>
        </w:tabs>
      </w:pPr>
      <w:r>
        <w:rPr>
          <w:snapToGrid w:val="0"/>
        </w:rPr>
        <w:fldChar w:fldCharType="begin"/>
      </w:r>
      <w:r>
        <w:rPr>
          <w:snapToGrid w:val="0"/>
        </w:rPr>
        <w:instrText xml:space="preserve"> HYPERLINK \l _Toc6500 </w:instrText>
      </w:r>
      <w:r>
        <w:rPr>
          <w:snapToGrid w:val="0"/>
        </w:rPr>
        <w:fldChar w:fldCharType="separate"/>
      </w:r>
      <w:r>
        <w:rPr>
          <w:rFonts w:hint="eastAsia"/>
        </w:rPr>
        <w:t>2.2.3  文本向量化与检索</w:t>
      </w:r>
      <w:r>
        <w:tab/>
      </w:r>
      <w:r>
        <w:fldChar w:fldCharType="begin"/>
      </w:r>
      <w:r>
        <w:instrText xml:space="preserve"> PAGEREF _Toc6500 \h </w:instrText>
      </w:r>
      <w:r>
        <w:fldChar w:fldCharType="separate"/>
      </w:r>
      <w:r>
        <w:t>13</w:t>
      </w:r>
      <w:r>
        <w:fldChar w:fldCharType="end"/>
      </w:r>
      <w:r>
        <w:rPr>
          <w:snapToGrid w:val="0"/>
        </w:rPr>
        <w:fldChar w:fldCharType="end"/>
      </w:r>
    </w:p>
    <w:p w14:paraId="2C871CF1">
      <w:pPr>
        <w:pStyle w:val="24"/>
        <w:tabs>
          <w:tab w:val="right" w:leader="dot" w:pos="8312"/>
        </w:tabs>
      </w:pPr>
      <w:r>
        <w:rPr>
          <w:snapToGrid w:val="0"/>
        </w:rPr>
        <w:fldChar w:fldCharType="begin"/>
      </w:r>
      <w:r>
        <w:rPr>
          <w:snapToGrid w:val="0"/>
        </w:rPr>
        <w:instrText xml:space="preserve"> HYPERLINK \l _Toc1289 </w:instrText>
      </w:r>
      <w:r>
        <w:rPr>
          <w:snapToGrid w:val="0"/>
        </w:rPr>
        <w:fldChar w:fldCharType="separate"/>
      </w:r>
      <w:r>
        <w:t>2.</w:t>
      </w:r>
      <w:r>
        <w:rPr>
          <w:rFonts w:hint="eastAsia"/>
        </w:rPr>
        <w:t>3  多目标遗传优化理论</w:t>
      </w:r>
      <w:r>
        <w:tab/>
      </w:r>
      <w:r>
        <w:fldChar w:fldCharType="begin"/>
      </w:r>
      <w:r>
        <w:instrText xml:space="preserve"> PAGEREF _Toc1289 \h </w:instrText>
      </w:r>
      <w:r>
        <w:fldChar w:fldCharType="separate"/>
      </w:r>
      <w:r>
        <w:t>14</w:t>
      </w:r>
      <w:r>
        <w:fldChar w:fldCharType="end"/>
      </w:r>
      <w:r>
        <w:rPr>
          <w:snapToGrid w:val="0"/>
        </w:rPr>
        <w:fldChar w:fldCharType="end"/>
      </w:r>
    </w:p>
    <w:p w14:paraId="34A8BF27">
      <w:pPr>
        <w:pStyle w:val="13"/>
        <w:tabs>
          <w:tab w:val="right" w:leader="dot" w:pos="8312"/>
        </w:tabs>
      </w:pPr>
      <w:r>
        <w:rPr>
          <w:snapToGrid w:val="0"/>
        </w:rPr>
        <w:fldChar w:fldCharType="begin"/>
      </w:r>
      <w:r>
        <w:rPr>
          <w:snapToGrid w:val="0"/>
        </w:rPr>
        <w:instrText xml:space="preserve"> HYPERLINK \l _Toc4884 </w:instrText>
      </w:r>
      <w:r>
        <w:rPr>
          <w:snapToGrid w:val="0"/>
        </w:rPr>
        <w:fldChar w:fldCharType="separate"/>
      </w:r>
      <w:r>
        <w:rPr>
          <w:rFonts w:hint="eastAsia"/>
        </w:rPr>
        <w:t>2.3.1  遗传算法基本原理</w:t>
      </w:r>
      <w:r>
        <w:tab/>
      </w:r>
      <w:r>
        <w:fldChar w:fldCharType="begin"/>
      </w:r>
      <w:r>
        <w:instrText xml:space="preserve"> PAGEREF _Toc4884 \h </w:instrText>
      </w:r>
      <w:r>
        <w:fldChar w:fldCharType="separate"/>
      </w:r>
      <w:r>
        <w:t>14</w:t>
      </w:r>
      <w:r>
        <w:fldChar w:fldCharType="end"/>
      </w:r>
      <w:r>
        <w:rPr>
          <w:snapToGrid w:val="0"/>
        </w:rPr>
        <w:fldChar w:fldCharType="end"/>
      </w:r>
    </w:p>
    <w:p w14:paraId="68EA8D05">
      <w:pPr>
        <w:pStyle w:val="13"/>
        <w:tabs>
          <w:tab w:val="right" w:leader="dot" w:pos="8312"/>
        </w:tabs>
      </w:pPr>
      <w:r>
        <w:rPr>
          <w:snapToGrid w:val="0"/>
        </w:rPr>
        <w:fldChar w:fldCharType="begin"/>
      </w:r>
      <w:r>
        <w:rPr>
          <w:snapToGrid w:val="0"/>
        </w:rPr>
        <w:instrText xml:space="preserve"> HYPERLINK \l _Toc1332 </w:instrText>
      </w:r>
      <w:r>
        <w:rPr>
          <w:snapToGrid w:val="0"/>
        </w:rPr>
        <w:fldChar w:fldCharType="separate"/>
      </w:r>
      <w:r>
        <w:rPr>
          <w:rFonts w:hint="eastAsia"/>
        </w:rPr>
        <w:t>2.3.2  NSGA-II多目标优化</w:t>
      </w:r>
      <w:r>
        <w:tab/>
      </w:r>
      <w:r>
        <w:fldChar w:fldCharType="begin"/>
      </w:r>
      <w:r>
        <w:instrText xml:space="preserve"> PAGEREF _Toc1332 \h </w:instrText>
      </w:r>
      <w:r>
        <w:fldChar w:fldCharType="separate"/>
      </w:r>
      <w:r>
        <w:t>14</w:t>
      </w:r>
      <w:r>
        <w:fldChar w:fldCharType="end"/>
      </w:r>
      <w:r>
        <w:rPr>
          <w:snapToGrid w:val="0"/>
        </w:rPr>
        <w:fldChar w:fldCharType="end"/>
      </w:r>
    </w:p>
    <w:p w14:paraId="48B4F118">
      <w:pPr>
        <w:pStyle w:val="24"/>
        <w:tabs>
          <w:tab w:val="right" w:leader="dot" w:pos="8312"/>
        </w:tabs>
      </w:pPr>
      <w:r>
        <w:rPr>
          <w:snapToGrid w:val="0"/>
        </w:rPr>
        <w:fldChar w:fldCharType="begin"/>
      </w:r>
      <w:r>
        <w:rPr>
          <w:snapToGrid w:val="0"/>
        </w:rPr>
        <w:instrText xml:space="preserve"> HYPERLINK \l _Toc27773 </w:instrText>
      </w:r>
      <w:r>
        <w:rPr>
          <w:snapToGrid w:val="0"/>
        </w:rPr>
        <w:fldChar w:fldCharType="separate"/>
      </w:r>
      <w:r>
        <w:t>2.</w:t>
      </w:r>
      <w:r>
        <w:rPr>
          <w:rFonts w:hint="eastAsia"/>
        </w:rPr>
        <w:t>4  RAG知识库投毒攻防相关技术</w:t>
      </w:r>
      <w:r>
        <w:tab/>
      </w:r>
      <w:r>
        <w:fldChar w:fldCharType="begin"/>
      </w:r>
      <w:r>
        <w:instrText xml:space="preserve"> PAGEREF _Toc27773 \h </w:instrText>
      </w:r>
      <w:r>
        <w:fldChar w:fldCharType="separate"/>
      </w:r>
      <w:r>
        <w:t>15</w:t>
      </w:r>
      <w:r>
        <w:fldChar w:fldCharType="end"/>
      </w:r>
      <w:r>
        <w:rPr>
          <w:snapToGrid w:val="0"/>
        </w:rPr>
        <w:fldChar w:fldCharType="end"/>
      </w:r>
    </w:p>
    <w:p w14:paraId="36CBBBEC">
      <w:pPr>
        <w:pStyle w:val="13"/>
        <w:tabs>
          <w:tab w:val="right" w:leader="dot" w:pos="8312"/>
        </w:tabs>
      </w:pPr>
      <w:r>
        <w:rPr>
          <w:snapToGrid w:val="0"/>
        </w:rPr>
        <w:fldChar w:fldCharType="begin"/>
      </w:r>
      <w:r>
        <w:rPr>
          <w:snapToGrid w:val="0"/>
        </w:rPr>
        <w:instrText xml:space="preserve"> HYPERLINK \l _Toc1620 </w:instrText>
      </w:r>
      <w:r>
        <w:rPr>
          <w:snapToGrid w:val="0"/>
        </w:rPr>
        <w:fldChar w:fldCharType="separate"/>
      </w:r>
      <w:r>
        <w:rPr>
          <w:rFonts w:hint="eastAsia"/>
        </w:rPr>
        <w:t>2.4.1  知识库白盒投毒攻击</w:t>
      </w:r>
      <w:r>
        <w:tab/>
      </w:r>
      <w:r>
        <w:fldChar w:fldCharType="begin"/>
      </w:r>
      <w:r>
        <w:instrText xml:space="preserve"> PAGEREF _Toc1620 \h </w:instrText>
      </w:r>
      <w:r>
        <w:fldChar w:fldCharType="separate"/>
      </w:r>
      <w:r>
        <w:t>15</w:t>
      </w:r>
      <w:r>
        <w:fldChar w:fldCharType="end"/>
      </w:r>
      <w:r>
        <w:rPr>
          <w:snapToGrid w:val="0"/>
        </w:rPr>
        <w:fldChar w:fldCharType="end"/>
      </w:r>
    </w:p>
    <w:p w14:paraId="34D7927B">
      <w:pPr>
        <w:pStyle w:val="13"/>
        <w:tabs>
          <w:tab w:val="right" w:leader="dot" w:pos="8312"/>
        </w:tabs>
      </w:pPr>
      <w:r>
        <w:rPr>
          <w:snapToGrid w:val="0"/>
        </w:rPr>
        <w:fldChar w:fldCharType="begin"/>
      </w:r>
      <w:r>
        <w:rPr>
          <w:snapToGrid w:val="0"/>
        </w:rPr>
        <w:instrText xml:space="preserve"> HYPERLINK \l _Toc28587 </w:instrText>
      </w:r>
      <w:r>
        <w:rPr>
          <w:snapToGrid w:val="0"/>
        </w:rPr>
        <w:fldChar w:fldCharType="separate"/>
      </w:r>
      <w:r>
        <w:rPr>
          <w:rFonts w:hint="eastAsia"/>
        </w:rPr>
        <w:t>2.4.2  知识库黑盒投毒攻击</w:t>
      </w:r>
      <w:r>
        <w:tab/>
      </w:r>
      <w:r>
        <w:fldChar w:fldCharType="begin"/>
      </w:r>
      <w:r>
        <w:instrText xml:space="preserve"> PAGEREF _Toc28587 \h </w:instrText>
      </w:r>
      <w:r>
        <w:fldChar w:fldCharType="separate"/>
      </w:r>
      <w:r>
        <w:t>16</w:t>
      </w:r>
      <w:r>
        <w:fldChar w:fldCharType="end"/>
      </w:r>
      <w:r>
        <w:rPr>
          <w:snapToGrid w:val="0"/>
        </w:rPr>
        <w:fldChar w:fldCharType="end"/>
      </w:r>
    </w:p>
    <w:p w14:paraId="6B18C9DF">
      <w:pPr>
        <w:pStyle w:val="13"/>
        <w:tabs>
          <w:tab w:val="right" w:leader="dot" w:pos="8312"/>
        </w:tabs>
      </w:pPr>
      <w:r>
        <w:rPr>
          <w:snapToGrid w:val="0"/>
        </w:rPr>
        <w:fldChar w:fldCharType="begin"/>
      </w:r>
      <w:r>
        <w:rPr>
          <w:snapToGrid w:val="0"/>
        </w:rPr>
        <w:instrText xml:space="preserve"> HYPERLINK \l _Toc23869 </w:instrText>
      </w:r>
      <w:r>
        <w:rPr>
          <w:snapToGrid w:val="0"/>
        </w:rPr>
        <w:fldChar w:fldCharType="separate"/>
      </w:r>
      <w:r>
        <w:rPr>
          <w:rFonts w:hint="eastAsia"/>
        </w:rPr>
        <w:t>2.4.3  知识库投毒防御</w:t>
      </w:r>
      <w:r>
        <w:tab/>
      </w:r>
      <w:r>
        <w:fldChar w:fldCharType="begin"/>
      </w:r>
      <w:r>
        <w:instrText xml:space="preserve"> PAGEREF _Toc23869 \h </w:instrText>
      </w:r>
      <w:r>
        <w:fldChar w:fldCharType="separate"/>
      </w:r>
      <w:r>
        <w:t>16</w:t>
      </w:r>
      <w:r>
        <w:fldChar w:fldCharType="end"/>
      </w:r>
      <w:r>
        <w:rPr>
          <w:snapToGrid w:val="0"/>
        </w:rPr>
        <w:fldChar w:fldCharType="end"/>
      </w:r>
    </w:p>
    <w:p w14:paraId="419A871F">
      <w:pPr>
        <w:pStyle w:val="24"/>
        <w:tabs>
          <w:tab w:val="right" w:leader="dot" w:pos="8312"/>
        </w:tabs>
      </w:pPr>
      <w:r>
        <w:rPr>
          <w:snapToGrid w:val="0"/>
        </w:rPr>
        <w:fldChar w:fldCharType="begin"/>
      </w:r>
      <w:r>
        <w:rPr>
          <w:snapToGrid w:val="0"/>
        </w:rPr>
        <w:instrText xml:space="preserve"> HYPERLINK \l _Toc27955 </w:instrText>
      </w:r>
      <w:r>
        <w:rPr>
          <w:snapToGrid w:val="0"/>
        </w:rPr>
        <w:fldChar w:fldCharType="separate"/>
      </w:r>
      <w:r>
        <w:t>2.</w:t>
      </w:r>
      <w:r>
        <w:rPr>
          <w:rFonts w:hint="eastAsia"/>
        </w:rPr>
        <w:t>5  本章小结</w:t>
      </w:r>
      <w:r>
        <w:tab/>
      </w:r>
      <w:r>
        <w:fldChar w:fldCharType="begin"/>
      </w:r>
      <w:r>
        <w:instrText xml:space="preserve"> PAGEREF _Toc27955 \h </w:instrText>
      </w:r>
      <w:r>
        <w:fldChar w:fldCharType="separate"/>
      </w:r>
      <w:r>
        <w:t>17</w:t>
      </w:r>
      <w:r>
        <w:fldChar w:fldCharType="end"/>
      </w:r>
      <w:r>
        <w:rPr>
          <w:snapToGrid w:val="0"/>
        </w:rPr>
        <w:fldChar w:fldCharType="end"/>
      </w:r>
    </w:p>
    <w:p w14:paraId="7F080A01">
      <w:pPr>
        <w:pStyle w:val="20"/>
        <w:tabs>
          <w:tab w:val="right" w:leader="dot" w:pos="8312"/>
        </w:tabs>
      </w:pPr>
      <w:r>
        <w:rPr>
          <w:snapToGrid w:val="0"/>
        </w:rPr>
        <w:fldChar w:fldCharType="begin"/>
      </w:r>
      <w:r>
        <w:rPr>
          <w:snapToGrid w:val="0"/>
        </w:rPr>
        <w:instrText xml:space="preserve"> HYPERLINK \l _Toc29436 </w:instrText>
      </w:r>
      <w:r>
        <w:rPr>
          <w:snapToGrid w:val="0"/>
        </w:rPr>
        <w:fldChar w:fldCharType="separate"/>
      </w:r>
      <w:r>
        <w:t xml:space="preserve">第三章 </w:t>
      </w:r>
      <w:r>
        <w:rPr>
          <w:rFonts w:hint="eastAsia"/>
          <w:lang w:val="en-US" w:eastAsia="zh-CN"/>
        </w:rPr>
        <w:t xml:space="preserve"> 面向电力场景可信训推与RAG安全研究的孪生可视平台研发</w:t>
      </w:r>
      <w:r>
        <w:tab/>
      </w:r>
      <w:r>
        <w:fldChar w:fldCharType="begin"/>
      </w:r>
      <w:r>
        <w:instrText xml:space="preserve"> PAGEREF _Toc29436 \h </w:instrText>
      </w:r>
      <w:r>
        <w:fldChar w:fldCharType="separate"/>
      </w:r>
      <w:r>
        <w:t>19</w:t>
      </w:r>
      <w:r>
        <w:fldChar w:fldCharType="end"/>
      </w:r>
      <w:r>
        <w:rPr>
          <w:snapToGrid w:val="0"/>
        </w:rPr>
        <w:fldChar w:fldCharType="end"/>
      </w:r>
    </w:p>
    <w:p w14:paraId="3C6A4689">
      <w:pPr>
        <w:pStyle w:val="24"/>
        <w:tabs>
          <w:tab w:val="right" w:leader="dot" w:pos="8312"/>
        </w:tabs>
      </w:pPr>
      <w:r>
        <w:rPr>
          <w:snapToGrid w:val="0"/>
        </w:rPr>
        <w:fldChar w:fldCharType="begin"/>
      </w:r>
      <w:r>
        <w:rPr>
          <w:snapToGrid w:val="0"/>
        </w:rPr>
        <w:instrText xml:space="preserve"> HYPERLINK \l _Toc16783 </w:instrText>
      </w:r>
      <w:r>
        <w:rPr>
          <w:snapToGrid w:val="0"/>
        </w:rPr>
        <w:fldChar w:fldCharType="separate"/>
      </w:r>
      <w:r>
        <w:t>3.1</w:t>
      </w:r>
      <w:r>
        <w:rPr>
          <w:rFonts w:hint="eastAsia"/>
        </w:rPr>
        <w:t xml:space="preserve">  </w:t>
      </w:r>
      <w:r>
        <w:t>平台总体设计</w:t>
      </w:r>
      <w:r>
        <w:tab/>
      </w:r>
      <w:r>
        <w:fldChar w:fldCharType="begin"/>
      </w:r>
      <w:r>
        <w:instrText xml:space="preserve"> PAGEREF _Toc16783 \h </w:instrText>
      </w:r>
      <w:r>
        <w:fldChar w:fldCharType="separate"/>
      </w:r>
      <w:r>
        <w:t>19</w:t>
      </w:r>
      <w:r>
        <w:fldChar w:fldCharType="end"/>
      </w:r>
      <w:r>
        <w:rPr>
          <w:snapToGrid w:val="0"/>
        </w:rPr>
        <w:fldChar w:fldCharType="end"/>
      </w:r>
    </w:p>
    <w:p w14:paraId="6933B1C0">
      <w:pPr>
        <w:pStyle w:val="13"/>
        <w:tabs>
          <w:tab w:val="right" w:leader="dot" w:pos="8312"/>
        </w:tabs>
      </w:pPr>
      <w:r>
        <w:rPr>
          <w:snapToGrid w:val="0"/>
        </w:rPr>
        <w:fldChar w:fldCharType="begin"/>
      </w:r>
      <w:r>
        <w:rPr>
          <w:snapToGrid w:val="0"/>
        </w:rPr>
        <w:instrText xml:space="preserve"> HYPERLINK \l _Toc29504 </w:instrText>
      </w:r>
      <w:r>
        <w:rPr>
          <w:snapToGrid w:val="0"/>
        </w:rPr>
        <w:fldChar w:fldCharType="separate"/>
      </w:r>
      <w:r>
        <w:t>3.1.1</w:t>
      </w:r>
      <w:r>
        <w:rPr>
          <w:rFonts w:hint="eastAsia"/>
        </w:rPr>
        <w:t xml:space="preserve">  </w:t>
      </w:r>
      <w:r>
        <w:t>架构设计</w:t>
      </w:r>
      <w:r>
        <w:tab/>
      </w:r>
      <w:r>
        <w:fldChar w:fldCharType="begin"/>
      </w:r>
      <w:r>
        <w:instrText xml:space="preserve"> PAGEREF _Toc29504 \h </w:instrText>
      </w:r>
      <w:r>
        <w:fldChar w:fldCharType="separate"/>
      </w:r>
      <w:r>
        <w:t>19</w:t>
      </w:r>
      <w:r>
        <w:fldChar w:fldCharType="end"/>
      </w:r>
      <w:r>
        <w:rPr>
          <w:snapToGrid w:val="0"/>
        </w:rPr>
        <w:fldChar w:fldCharType="end"/>
      </w:r>
    </w:p>
    <w:p w14:paraId="654DD22D">
      <w:pPr>
        <w:pStyle w:val="13"/>
        <w:tabs>
          <w:tab w:val="right" w:leader="dot" w:pos="8312"/>
        </w:tabs>
      </w:pPr>
      <w:r>
        <w:rPr>
          <w:snapToGrid w:val="0"/>
        </w:rPr>
        <w:fldChar w:fldCharType="begin"/>
      </w:r>
      <w:r>
        <w:rPr>
          <w:snapToGrid w:val="0"/>
        </w:rPr>
        <w:instrText xml:space="preserve"> HYPERLINK \l _Toc3686 </w:instrText>
      </w:r>
      <w:r>
        <w:rPr>
          <w:snapToGrid w:val="0"/>
        </w:rPr>
        <w:fldChar w:fldCharType="separate"/>
      </w:r>
      <w:r>
        <w:t xml:space="preserve">3.1.2  </w:t>
      </w:r>
      <w:r>
        <w:rPr>
          <w:rFonts w:hint="eastAsia"/>
          <w:lang w:val="en-US" w:eastAsia="zh-CN"/>
        </w:rPr>
        <w:t>平台功能设计</w:t>
      </w:r>
      <w:r>
        <w:tab/>
      </w:r>
      <w:r>
        <w:fldChar w:fldCharType="begin"/>
      </w:r>
      <w:r>
        <w:instrText xml:space="preserve"> PAGEREF _Toc3686 \h </w:instrText>
      </w:r>
      <w:r>
        <w:fldChar w:fldCharType="separate"/>
      </w:r>
      <w:r>
        <w:t>20</w:t>
      </w:r>
      <w:r>
        <w:fldChar w:fldCharType="end"/>
      </w:r>
      <w:r>
        <w:rPr>
          <w:snapToGrid w:val="0"/>
        </w:rPr>
        <w:fldChar w:fldCharType="end"/>
      </w:r>
    </w:p>
    <w:p w14:paraId="32F59B53">
      <w:pPr>
        <w:pStyle w:val="13"/>
        <w:tabs>
          <w:tab w:val="right" w:leader="dot" w:pos="8312"/>
        </w:tabs>
      </w:pPr>
      <w:r>
        <w:rPr>
          <w:snapToGrid w:val="0"/>
        </w:rPr>
        <w:fldChar w:fldCharType="begin"/>
      </w:r>
      <w:r>
        <w:rPr>
          <w:snapToGrid w:val="0"/>
        </w:rPr>
        <w:instrText xml:space="preserve"> HYPERLINK \l _Toc21236 </w:instrText>
      </w:r>
      <w:r>
        <w:rPr>
          <w:snapToGrid w:val="0"/>
        </w:rPr>
        <w:fldChar w:fldCharType="separate"/>
      </w:r>
      <w:r>
        <w:t>3.1.3</w:t>
      </w:r>
      <w:r>
        <w:rPr>
          <w:rFonts w:hint="eastAsia"/>
        </w:rPr>
        <w:t xml:space="preserve">  </w:t>
      </w:r>
      <w:r>
        <w:rPr>
          <w:rFonts w:hint="eastAsia"/>
          <w:lang w:val="en-US" w:eastAsia="zh-CN"/>
        </w:rPr>
        <w:t>数字孪生</w:t>
      </w:r>
      <w:r>
        <w:tab/>
      </w:r>
      <w:r>
        <w:fldChar w:fldCharType="begin"/>
      </w:r>
      <w:r>
        <w:instrText xml:space="preserve"> PAGEREF _Toc21236 \h </w:instrText>
      </w:r>
      <w:r>
        <w:fldChar w:fldCharType="separate"/>
      </w:r>
      <w:r>
        <w:t>21</w:t>
      </w:r>
      <w:r>
        <w:fldChar w:fldCharType="end"/>
      </w:r>
      <w:r>
        <w:rPr>
          <w:snapToGrid w:val="0"/>
        </w:rPr>
        <w:fldChar w:fldCharType="end"/>
      </w:r>
    </w:p>
    <w:p w14:paraId="73C16538">
      <w:pPr>
        <w:pStyle w:val="24"/>
        <w:tabs>
          <w:tab w:val="right" w:leader="dot" w:pos="8312"/>
        </w:tabs>
      </w:pPr>
      <w:r>
        <w:rPr>
          <w:snapToGrid w:val="0"/>
        </w:rPr>
        <w:fldChar w:fldCharType="begin"/>
      </w:r>
      <w:r>
        <w:rPr>
          <w:snapToGrid w:val="0"/>
        </w:rPr>
        <w:instrText xml:space="preserve"> HYPERLINK \l _Toc3892 </w:instrText>
      </w:r>
      <w:r>
        <w:rPr>
          <w:snapToGrid w:val="0"/>
        </w:rPr>
        <w:fldChar w:fldCharType="separate"/>
      </w:r>
      <w:r>
        <w:t>3.2  数据管理与知识库构建</w:t>
      </w:r>
      <w:r>
        <w:tab/>
      </w:r>
      <w:r>
        <w:fldChar w:fldCharType="begin"/>
      </w:r>
      <w:r>
        <w:instrText xml:space="preserve"> PAGEREF _Toc3892 \h </w:instrText>
      </w:r>
      <w:r>
        <w:fldChar w:fldCharType="separate"/>
      </w:r>
      <w:r>
        <w:t>22</w:t>
      </w:r>
      <w:r>
        <w:fldChar w:fldCharType="end"/>
      </w:r>
      <w:r>
        <w:rPr>
          <w:snapToGrid w:val="0"/>
        </w:rPr>
        <w:fldChar w:fldCharType="end"/>
      </w:r>
    </w:p>
    <w:p w14:paraId="24D193DD">
      <w:pPr>
        <w:pStyle w:val="13"/>
        <w:tabs>
          <w:tab w:val="right" w:leader="dot" w:pos="8312"/>
        </w:tabs>
      </w:pPr>
      <w:r>
        <w:rPr>
          <w:snapToGrid w:val="0"/>
        </w:rPr>
        <w:fldChar w:fldCharType="begin"/>
      </w:r>
      <w:r>
        <w:rPr>
          <w:snapToGrid w:val="0"/>
        </w:rPr>
        <w:instrText xml:space="preserve"> HYPERLINK \l _Toc6378 </w:instrText>
      </w:r>
      <w:r>
        <w:rPr>
          <w:snapToGrid w:val="0"/>
        </w:rPr>
        <w:fldChar w:fldCharType="separate"/>
      </w:r>
      <w:r>
        <w:t>3.2.1  数据</w:t>
      </w:r>
      <w:r>
        <w:rPr>
          <w:rFonts w:hint="eastAsia"/>
          <w:lang w:val="en-US" w:eastAsia="zh-CN"/>
        </w:rPr>
        <w:t>采集与清洗</w:t>
      </w:r>
      <w:r>
        <w:tab/>
      </w:r>
      <w:r>
        <w:fldChar w:fldCharType="begin"/>
      </w:r>
      <w:r>
        <w:instrText xml:space="preserve"> PAGEREF _Toc6378 \h </w:instrText>
      </w:r>
      <w:r>
        <w:fldChar w:fldCharType="separate"/>
      </w:r>
      <w:r>
        <w:t>22</w:t>
      </w:r>
      <w:r>
        <w:fldChar w:fldCharType="end"/>
      </w:r>
      <w:r>
        <w:rPr>
          <w:snapToGrid w:val="0"/>
        </w:rPr>
        <w:fldChar w:fldCharType="end"/>
      </w:r>
    </w:p>
    <w:p w14:paraId="7C4ABA50">
      <w:pPr>
        <w:pStyle w:val="13"/>
        <w:tabs>
          <w:tab w:val="right" w:leader="dot" w:pos="8312"/>
        </w:tabs>
      </w:pPr>
      <w:r>
        <w:rPr>
          <w:snapToGrid w:val="0"/>
        </w:rPr>
        <w:fldChar w:fldCharType="begin"/>
      </w:r>
      <w:r>
        <w:rPr>
          <w:snapToGrid w:val="0"/>
        </w:rPr>
        <w:instrText xml:space="preserve"> HYPERLINK \l _Toc27612 </w:instrText>
      </w:r>
      <w:r>
        <w:rPr>
          <w:snapToGrid w:val="0"/>
        </w:rPr>
        <w:fldChar w:fldCharType="separate"/>
      </w:r>
      <w:r>
        <w:t>3.2.2  数据</w:t>
      </w:r>
      <w:r>
        <w:rPr>
          <w:rFonts w:hint="eastAsia"/>
        </w:rPr>
        <w:t>集管理与数据标注</w:t>
      </w:r>
      <w:r>
        <w:tab/>
      </w:r>
      <w:r>
        <w:fldChar w:fldCharType="begin"/>
      </w:r>
      <w:r>
        <w:instrText xml:space="preserve"> PAGEREF _Toc27612 \h </w:instrText>
      </w:r>
      <w:r>
        <w:fldChar w:fldCharType="separate"/>
      </w:r>
      <w:r>
        <w:t>23</w:t>
      </w:r>
      <w:r>
        <w:fldChar w:fldCharType="end"/>
      </w:r>
      <w:r>
        <w:rPr>
          <w:snapToGrid w:val="0"/>
        </w:rPr>
        <w:fldChar w:fldCharType="end"/>
      </w:r>
    </w:p>
    <w:p w14:paraId="3F0A1E84">
      <w:pPr>
        <w:pStyle w:val="13"/>
        <w:tabs>
          <w:tab w:val="right" w:leader="dot" w:pos="8312"/>
        </w:tabs>
      </w:pPr>
      <w:r>
        <w:rPr>
          <w:snapToGrid w:val="0"/>
        </w:rPr>
        <w:fldChar w:fldCharType="begin"/>
      </w:r>
      <w:r>
        <w:rPr>
          <w:snapToGrid w:val="0"/>
        </w:rPr>
        <w:instrText xml:space="preserve"> HYPERLINK \l _Toc24697 </w:instrText>
      </w:r>
      <w:r>
        <w:rPr>
          <w:snapToGrid w:val="0"/>
        </w:rPr>
        <w:fldChar w:fldCharType="separate"/>
      </w:r>
      <w:r>
        <w:t>3.2.</w:t>
      </w:r>
      <w:r>
        <w:rPr>
          <w:rFonts w:hint="eastAsia"/>
        </w:rPr>
        <w:t>3</w:t>
      </w:r>
      <w:r>
        <w:t xml:space="preserve">  </w:t>
      </w:r>
      <w:r>
        <w:rPr>
          <w:rFonts w:hint="eastAsia"/>
          <w:lang w:val="en-US" w:eastAsia="zh-CN"/>
        </w:rPr>
        <w:t>数据资产管理</w:t>
      </w:r>
      <w:r>
        <w:tab/>
      </w:r>
      <w:r>
        <w:fldChar w:fldCharType="begin"/>
      </w:r>
      <w:r>
        <w:instrText xml:space="preserve"> PAGEREF _Toc24697 \h </w:instrText>
      </w:r>
      <w:r>
        <w:fldChar w:fldCharType="separate"/>
      </w:r>
      <w:r>
        <w:t>25</w:t>
      </w:r>
      <w:r>
        <w:fldChar w:fldCharType="end"/>
      </w:r>
      <w:r>
        <w:rPr>
          <w:snapToGrid w:val="0"/>
        </w:rPr>
        <w:fldChar w:fldCharType="end"/>
      </w:r>
    </w:p>
    <w:p w14:paraId="35321010">
      <w:pPr>
        <w:pStyle w:val="24"/>
        <w:tabs>
          <w:tab w:val="right" w:leader="dot" w:pos="8312"/>
        </w:tabs>
      </w:pPr>
      <w:r>
        <w:rPr>
          <w:snapToGrid w:val="0"/>
        </w:rPr>
        <w:fldChar w:fldCharType="begin"/>
      </w:r>
      <w:r>
        <w:rPr>
          <w:snapToGrid w:val="0"/>
        </w:rPr>
        <w:instrText xml:space="preserve"> HYPERLINK \l _Toc16690 </w:instrText>
      </w:r>
      <w:r>
        <w:rPr>
          <w:snapToGrid w:val="0"/>
        </w:rPr>
        <w:fldChar w:fldCharType="separate"/>
      </w:r>
      <w:r>
        <w:t>3.3  AI模型训推可视化子系统</w:t>
      </w:r>
      <w:r>
        <w:tab/>
      </w:r>
      <w:r>
        <w:fldChar w:fldCharType="begin"/>
      </w:r>
      <w:r>
        <w:instrText xml:space="preserve"> PAGEREF _Toc16690 \h </w:instrText>
      </w:r>
      <w:r>
        <w:fldChar w:fldCharType="separate"/>
      </w:r>
      <w:r>
        <w:t>26</w:t>
      </w:r>
      <w:r>
        <w:fldChar w:fldCharType="end"/>
      </w:r>
      <w:r>
        <w:rPr>
          <w:snapToGrid w:val="0"/>
        </w:rPr>
        <w:fldChar w:fldCharType="end"/>
      </w:r>
    </w:p>
    <w:p w14:paraId="61F4EC81">
      <w:pPr>
        <w:pStyle w:val="13"/>
        <w:tabs>
          <w:tab w:val="right" w:leader="dot" w:pos="8312"/>
        </w:tabs>
      </w:pPr>
      <w:r>
        <w:rPr>
          <w:snapToGrid w:val="0"/>
        </w:rPr>
        <w:fldChar w:fldCharType="begin"/>
      </w:r>
      <w:r>
        <w:rPr>
          <w:snapToGrid w:val="0"/>
        </w:rPr>
        <w:instrText xml:space="preserve"> HYPERLINK \l _Toc3717 </w:instrText>
      </w:r>
      <w:r>
        <w:rPr>
          <w:snapToGrid w:val="0"/>
        </w:rPr>
        <w:fldChar w:fldCharType="separate"/>
      </w:r>
      <w:r>
        <w:t>3.3.1  AI模型</w:t>
      </w:r>
      <w:r>
        <w:rPr>
          <w:rFonts w:hint="eastAsia"/>
        </w:rPr>
        <w:t>孪生建模与资产管理</w:t>
      </w:r>
      <w:r>
        <w:tab/>
      </w:r>
      <w:r>
        <w:fldChar w:fldCharType="begin"/>
      </w:r>
      <w:r>
        <w:instrText xml:space="preserve"> PAGEREF _Toc3717 \h </w:instrText>
      </w:r>
      <w:r>
        <w:fldChar w:fldCharType="separate"/>
      </w:r>
      <w:r>
        <w:t>26</w:t>
      </w:r>
      <w:r>
        <w:fldChar w:fldCharType="end"/>
      </w:r>
      <w:r>
        <w:rPr>
          <w:snapToGrid w:val="0"/>
        </w:rPr>
        <w:fldChar w:fldCharType="end"/>
      </w:r>
    </w:p>
    <w:p w14:paraId="4E87AE2D">
      <w:pPr>
        <w:pStyle w:val="13"/>
        <w:tabs>
          <w:tab w:val="right" w:leader="dot" w:pos="8312"/>
        </w:tabs>
      </w:pPr>
      <w:r>
        <w:rPr>
          <w:snapToGrid w:val="0"/>
        </w:rPr>
        <w:fldChar w:fldCharType="begin"/>
      </w:r>
      <w:r>
        <w:rPr>
          <w:snapToGrid w:val="0"/>
        </w:rPr>
        <w:instrText xml:space="preserve"> HYPERLINK \l _Toc5766 </w:instrText>
      </w:r>
      <w:r>
        <w:rPr>
          <w:snapToGrid w:val="0"/>
        </w:rPr>
        <w:fldChar w:fldCharType="separate"/>
      </w:r>
      <w:r>
        <w:t>3.3.</w:t>
      </w:r>
      <w:r>
        <w:rPr>
          <w:rFonts w:hint="eastAsia"/>
        </w:rPr>
        <w:t>2</w:t>
      </w:r>
      <w:r>
        <w:t xml:space="preserve">  模型</w:t>
      </w:r>
      <w:r>
        <w:rPr>
          <w:rFonts w:hint="eastAsia"/>
        </w:rPr>
        <w:t>训推可视化监控</w:t>
      </w:r>
      <w:r>
        <w:tab/>
      </w:r>
      <w:r>
        <w:fldChar w:fldCharType="begin"/>
      </w:r>
      <w:r>
        <w:instrText xml:space="preserve"> PAGEREF _Toc5766 \h </w:instrText>
      </w:r>
      <w:r>
        <w:fldChar w:fldCharType="separate"/>
      </w:r>
      <w:r>
        <w:t>27</w:t>
      </w:r>
      <w:r>
        <w:fldChar w:fldCharType="end"/>
      </w:r>
      <w:r>
        <w:rPr>
          <w:snapToGrid w:val="0"/>
        </w:rPr>
        <w:fldChar w:fldCharType="end"/>
      </w:r>
    </w:p>
    <w:p w14:paraId="77D191DB">
      <w:pPr>
        <w:pStyle w:val="24"/>
        <w:tabs>
          <w:tab w:val="right" w:leader="dot" w:pos="8312"/>
        </w:tabs>
      </w:pPr>
      <w:r>
        <w:rPr>
          <w:snapToGrid w:val="0"/>
        </w:rPr>
        <w:fldChar w:fldCharType="begin"/>
      </w:r>
      <w:r>
        <w:rPr>
          <w:snapToGrid w:val="0"/>
        </w:rPr>
        <w:instrText xml:space="preserve"> HYPERLINK \l _Toc13128 </w:instrText>
      </w:r>
      <w:r>
        <w:rPr>
          <w:snapToGrid w:val="0"/>
        </w:rPr>
        <w:fldChar w:fldCharType="separate"/>
      </w:r>
      <w:r>
        <w:t>3.4  电力调度RAG应用系统</w:t>
      </w:r>
      <w:r>
        <w:tab/>
      </w:r>
      <w:r>
        <w:fldChar w:fldCharType="begin"/>
      </w:r>
      <w:r>
        <w:instrText xml:space="preserve"> PAGEREF _Toc13128 \h </w:instrText>
      </w:r>
      <w:r>
        <w:fldChar w:fldCharType="separate"/>
      </w:r>
      <w:r>
        <w:t>28</w:t>
      </w:r>
      <w:r>
        <w:fldChar w:fldCharType="end"/>
      </w:r>
      <w:r>
        <w:rPr>
          <w:snapToGrid w:val="0"/>
        </w:rPr>
        <w:fldChar w:fldCharType="end"/>
      </w:r>
    </w:p>
    <w:p w14:paraId="278B78CE">
      <w:pPr>
        <w:pStyle w:val="13"/>
        <w:tabs>
          <w:tab w:val="right" w:leader="dot" w:pos="8312"/>
        </w:tabs>
      </w:pPr>
      <w:r>
        <w:rPr>
          <w:snapToGrid w:val="0"/>
        </w:rPr>
        <w:fldChar w:fldCharType="begin"/>
      </w:r>
      <w:r>
        <w:rPr>
          <w:snapToGrid w:val="0"/>
        </w:rPr>
        <w:instrText xml:space="preserve"> HYPERLINK \l _Toc28838 </w:instrText>
      </w:r>
      <w:r>
        <w:rPr>
          <w:snapToGrid w:val="0"/>
        </w:rPr>
        <w:fldChar w:fldCharType="separate"/>
      </w:r>
      <w:r>
        <w:t xml:space="preserve">3.4.1  </w:t>
      </w:r>
      <w:r>
        <w:rPr>
          <w:rFonts w:hint="eastAsia"/>
        </w:rPr>
        <w:t>典型业务流程</w:t>
      </w:r>
      <w:r>
        <w:tab/>
      </w:r>
      <w:r>
        <w:fldChar w:fldCharType="begin"/>
      </w:r>
      <w:r>
        <w:instrText xml:space="preserve"> PAGEREF _Toc28838 \h </w:instrText>
      </w:r>
      <w:r>
        <w:fldChar w:fldCharType="separate"/>
      </w:r>
      <w:r>
        <w:t>29</w:t>
      </w:r>
      <w:r>
        <w:fldChar w:fldCharType="end"/>
      </w:r>
      <w:r>
        <w:rPr>
          <w:snapToGrid w:val="0"/>
        </w:rPr>
        <w:fldChar w:fldCharType="end"/>
      </w:r>
    </w:p>
    <w:p w14:paraId="66F0A1C3">
      <w:pPr>
        <w:pStyle w:val="13"/>
        <w:tabs>
          <w:tab w:val="right" w:leader="dot" w:pos="8312"/>
        </w:tabs>
      </w:pPr>
      <w:r>
        <w:rPr>
          <w:snapToGrid w:val="0"/>
        </w:rPr>
        <w:fldChar w:fldCharType="begin"/>
      </w:r>
      <w:r>
        <w:rPr>
          <w:snapToGrid w:val="0"/>
        </w:rPr>
        <w:instrText xml:space="preserve"> HYPERLINK \l _Toc10189 </w:instrText>
      </w:r>
      <w:r>
        <w:rPr>
          <w:snapToGrid w:val="0"/>
        </w:rPr>
        <w:fldChar w:fldCharType="separate"/>
      </w:r>
      <w:r>
        <w:t xml:space="preserve">3.4.2  </w:t>
      </w:r>
      <w:r>
        <w:rPr>
          <w:rFonts w:hint="eastAsia"/>
        </w:rPr>
        <w:t>安全隐患</w:t>
      </w:r>
      <w:r>
        <w:tab/>
      </w:r>
      <w:r>
        <w:fldChar w:fldCharType="begin"/>
      </w:r>
      <w:r>
        <w:instrText xml:space="preserve"> PAGEREF _Toc10189 \h </w:instrText>
      </w:r>
      <w:r>
        <w:fldChar w:fldCharType="separate"/>
      </w:r>
      <w:r>
        <w:t>30</w:t>
      </w:r>
      <w:r>
        <w:fldChar w:fldCharType="end"/>
      </w:r>
      <w:r>
        <w:rPr>
          <w:snapToGrid w:val="0"/>
        </w:rPr>
        <w:fldChar w:fldCharType="end"/>
      </w:r>
    </w:p>
    <w:p w14:paraId="2BEBD75B">
      <w:pPr>
        <w:pStyle w:val="24"/>
        <w:tabs>
          <w:tab w:val="right" w:leader="dot" w:pos="8312"/>
        </w:tabs>
      </w:pPr>
      <w:r>
        <w:rPr>
          <w:snapToGrid w:val="0"/>
        </w:rPr>
        <w:fldChar w:fldCharType="begin"/>
      </w:r>
      <w:r>
        <w:rPr>
          <w:snapToGrid w:val="0"/>
        </w:rPr>
        <w:instrText xml:space="preserve"> HYPERLINK \l _Toc30212 </w:instrText>
      </w:r>
      <w:r>
        <w:rPr>
          <w:snapToGrid w:val="0"/>
        </w:rPr>
        <w:fldChar w:fldCharType="separate"/>
      </w:r>
      <w:r>
        <w:t>3.5  本章小结</w:t>
      </w:r>
      <w:r>
        <w:tab/>
      </w:r>
      <w:r>
        <w:fldChar w:fldCharType="begin"/>
      </w:r>
      <w:r>
        <w:instrText xml:space="preserve"> PAGEREF _Toc30212 \h </w:instrText>
      </w:r>
      <w:r>
        <w:fldChar w:fldCharType="separate"/>
      </w:r>
      <w:r>
        <w:t>30</w:t>
      </w:r>
      <w:r>
        <w:fldChar w:fldCharType="end"/>
      </w:r>
      <w:r>
        <w:rPr>
          <w:snapToGrid w:val="0"/>
        </w:rPr>
        <w:fldChar w:fldCharType="end"/>
      </w:r>
    </w:p>
    <w:p w14:paraId="5C7622BA">
      <w:pPr>
        <w:pStyle w:val="20"/>
        <w:tabs>
          <w:tab w:val="right" w:leader="dot" w:pos="8312"/>
        </w:tabs>
      </w:pPr>
      <w:r>
        <w:rPr>
          <w:snapToGrid w:val="0"/>
        </w:rPr>
        <w:fldChar w:fldCharType="begin"/>
      </w:r>
      <w:r>
        <w:rPr>
          <w:snapToGrid w:val="0"/>
        </w:rPr>
        <w:instrText xml:space="preserve"> HYPERLINK \l _Toc11277 </w:instrText>
      </w:r>
      <w:r>
        <w:rPr>
          <w:snapToGrid w:val="0"/>
        </w:rPr>
        <w:fldChar w:fldCharType="separate"/>
      </w:r>
      <w:r>
        <w:rPr>
          <w:rFonts w:hint="eastAsia"/>
        </w:rPr>
        <w:t>第四章  基于遗传算法的RAG系统知识库毒化攻击方法</w:t>
      </w:r>
      <w:r>
        <w:tab/>
      </w:r>
      <w:r>
        <w:fldChar w:fldCharType="begin"/>
      </w:r>
      <w:r>
        <w:instrText xml:space="preserve"> PAGEREF _Toc11277 \h </w:instrText>
      </w:r>
      <w:r>
        <w:fldChar w:fldCharType="separate"/>
      </w:r>
      <w:r>
        <w:t>33</w:t>
      </w:r>
      <w:r>
        <w:fldChar w:fldCharType="end"/>
      </w:r>
      <w:r>
        <w:rPr>
          <w:snapToGrid w:val="0"/>
        </w:rPr>
        <w:fldChar w:fldCharType="end"/>
      </w:r>
    </w:p>
    <w:p w14:paraId="69D51529">
      <w:pPr>
        <w:pStyle w:val="24"/>
        <w:tabs>
          <w:tab w:val="right" w:leader="dot" w:pos="8312"/>
        </w:tabs>
      </w:pPr>
      <w:r>
        <w:rPr>
          <w:snapToGrid w:val="0"/>
        </w:rPr>
        <w:fldChar w:fldCharType="begin"/>
      </w:r>
      <w:r>
        <w:rPr>
          <w:snapToGrid w:val="0"/>
        </w:rPr>
        <w:instrText xml:space="preserve"> HYPERLINK \l _Toc29909 </w:instrText>
      </w:r>
      <w:r>
        <w:rPr>
          <w:snapToGrid w:val="0"/>
        </w:rPr>
        <w:fldChar w:fldCharType="separate"/>
      </w:r>
      <w:r>
        <w:rPr>
          <w:rFonts w:hint="eastAsia"/>
        </w:rPr>
        <w:t>4.1  问题描述</w:t>
      </w:r>
      <w:r>
        <w:tab/>
      </w:r>
      <w:r>
        <w:fldChar w:fldCharType="begin"/>
      </w:r>
      <w:r>
        <w:instrText xml:space="preserve"> PAGEREF _Toc29909 \h </w:instrText>
      </w:r>
      <w:r>
        <w:fldChar w:fldCharType="separate"/>
      </w:r>
      <w:r>
        <w:t>33</w:t>
      </w:r>
      <w:r>
        <w:fldChar w:fldCharType="end"/>
      </w:r>
      <w:r>
        <w:rPr>
          <w:snapToGrid w:val="0"/>
        </w:rPr>
        <w:fldChar w:fldCharType="end"/>
      </w:r>
    </w:p>
    <w:p w14:paraId="1B5D9590">
      <w:pPr>
        <w:pStyle w:val="13"/>
        <w:tabs>
          <w:tab w:val="right" w:leader="dot" w:pos="8312"/>
        </w:tabs>
      </w:pPr>
      <w:r>
        <w:rPr>
          <w:snapToGrid w:val="0"/>
        </w:rPr>
        <w:fldChar w:fldCharType="begin"/>
      </w:r>
      <w:r>
        <w:rPr>
          <w:snapToGrid w:val="0"/>
        </w:rPr>
        <w:instrText xml:space="preserve"> HYPERLINK \l _Toc13055 </w:instrText>
      </w:r>
      <w:r>
        <w:rPr>
          <w:snapToGrid w:val="0"/>
        </w:rPr>
        <w:fldChar w:fldCharType="separate"/>
      </w:r>
      <w:r>
        <w:rPr>
          <w:rFonts w:hint="eastAsia"/>
        </w:rPr>
        <w:t>4.1.1  攻击场景</w:t>
      </w:r>
      <w:r>
        <w:tab/>
      </w:r>
      <w:r>
        <w:fldChar w:fldCharType="begin"/>
      </w:r>
      <w:r>
        <w:instrText xml:space="preserve"> PAGEREF _Toc13055 \h </w:instrText>
      </w:r>
      <w:r>
        <w:fldChar w:fldCharType="separate"/>
      </w:r>
      <w:r>
        <w:t>33</w:t>
      </w:r>
      <w:r>
        <w:fldChar w:fldCharType="end"/>
      </w:r>
      <w:r>
        <w:rPr>
          <w:snapToGrid w:val="0"/>
        </w:rPr>
        <w:fldChar w:fldCharType="end"/>
      </w:r>
    </w:p>
    <w:p w14:paraId="61E5ACD6">
      <w:pPr>
        <w:pStyle w:val="13"/>
        <w:tabs>
          <w:tab w:val="right" w:leader="dot" w:pos="8312"/>
        </w:tabs>
      </w:pPr>
      <w:r>
        <w:rPr>
          <w:snapToGrid w:val="0"/>
        </w:rPr>
        <w:fldChar w:fldCharType="begin"/>
      </w:r>
      <w:r>
        <w:rPr>
          <w:snapToGrid w:val="0"/>
        </w:rPr>
        <w:instrText xml:space="preserve"> HYPERLINK \l _Toc25450 </w:instrText>
      </w:r>
      <w:r>
        <w:rPr>
          <w:snapToGrid w:val="0"/>
        </w:rPr>
        <w:fldChar w:fldCharType="separate"/>
      </w:r>
      <w:r>
        <w:rPr>
          <w:rFonts w:hint="eastAsia"/>
        </w:rPr>
        <w:t>4</w:t>
      </w:r>
      <w:r>
        <w:t>.1.</w:t>
      </w:r>
      <w:r>
        <w:rPr>
          <w:rFonts w:hint="eastAsia"/>
        </w:rPr>
        <w:t>2  问题建模</w:t>
      </w:r>
      <w:r>
        <w:tab/>
      </w:r>
      <w:r>
        <w:fldChar w:fldCharType="begin"/>
      </w:r>
      <w:r>
        <w:instrText xml:space="preserve"> PAGEREF _Toc25450 \h </w:instrText>
      </w:r>
      <w:r>
        <w:fldChar w:fldCharType="separate"/>
      </w:r>
      <w:r>
        <w:t>34</w:t>
      </w:r>
      <w:r>
        <w:fldChar w:fldCharType="end"/>
      </w:r>
      <w:r>
        <w:rPr>
          <w:snapToGrid w:val="0"/>
        </w:rPr>
        <w:fldChar w:fldCharType="end"/>
      </w:r>
    </w:p>
    <w:p w14:paraId="404A64EF">
      <w:pPr>
        <w:pStyle w:val="13"/>
        <w:tabs>
          <w:tab w:val="right" w:leader="dot" w:pos="8312"/>
        </w:tabs>
      </w:pPr>
      <w:r>
        <w:rPr>
          <w:snapToGrid w:val="0"/>
        </w:rPr>
        <w:fldChar w:fldCharType="begin"/>
      </w:r>
      <w:r>
        <w:rPr>
          <w:snapToGrid w:val="0"/>
        </w:rPr>
        <w:instrText xml:space="preserve"> HYPERLINK \l _Toc13342 </w:instrText>
      </w:r>
      <w:r>
        <w:rPr>
          <w:snapToGrid w:val="0"/>
        </w:rPr>
        <w:fldChar w:fldCharType="separate"/>
      </w:r>
      <w:r>
        <w:rPr>
          <w:rFonts w:hint="eastAsia"/>
        </w:rPr>
        <w:t>4.1.3</w:t>
      </w:r>
      <w:r>
        <w:rPr>
          <w:rFonts w:hint="eastAsia"/>
          <w:lang w:val="en-US" w:eastAsia="zh-CN"/>
        </w:rPr>
        <w:t xml:space="preserve">  </w:t>
      </w:r>
      <w:r>
        <w:rPr>
          <w:rFonts w:hint="eastAsia"/>
        </w:rPr>
        <w:t>遗传算法概述</w:t>
      </w:r>
      <w:r>
        <w:tab/>
      </w:r>
      <w:r>
        <w:fldChar w:fldCharType="begin"/>
      </w:r>
      <w:r>
        <w:instrText xml:space="preserve"> PAGEREF _Toc13342 \h </w:instrText>
      </w:r>
      <w:r>
        <w:fldChar w:fldCharType="separate"/>
      </w:r>
      <w:r>
        <w:t>36</w:t>
      </w:r>
      <w:r>
        <w:fldChar w:fldCharType="end"/>
      </w:r>
      <w:r>
        <w:rPr>
          <w:snapToGrid w:val="0"/>
        </w:rPr>
        <w:fldChar w:fldCharType="end"/>
      </w:r>
    </w:p>
    <w:p w14:paraId="7A653C60">
      <w:pPr>
        <w:pStyle w:val="24"/>
        <w:tabs>
          <w:tab w:val="right" w:leader="dot" w:pos="8312"/>
        </w:tabs>
      </w:pPr>
      <w:r>
        <w:rPr>
          <w:snapToGrid w:val="0"/>
        </w:rPr>
        <w:fldChar w:fldCharType="begin"/>
      </w:r>
      <w:r>
        <w:rPr>
          <w:snapToGrid w:val="0"/>
        </w:rPr>
        <w:instrText xml:space="preserve"> HYPERLINK \l _Toc29715 </w:instrText>
      </w:r>
      <w:r>
        <w:rPr>
          <w:snapToGrid w:val="0"/>
        </w:rPr>
        <w:fldChar w:fldCharType="separate"/>
      </w:r>
      <w:r>
        <w:rPr>
          <w:rFonts w:hint="eastAsia"/>
        </w:rPr>
        <w:t>4</w:t>
      </w:r>
      <w:r>
        <w:t>.</w:t>
      </w:r>
      <w:r>
        <w:rPr>
          <w:rFonts w:hint="eastAsia"/>
        </w:rPr>
        <w:t>2  算法设计</w:t>
      </w:r>
      <w:r>
        <w:tab/>
      </w:r>
      <w:r>
        <w:fldChar w:fldCharType="begin"/>
      </w:r>
      <w:r>
        <w:instrText xml:space="preserve"> PAGEREF _Toc29715 \h </w:instrText>
      </w:r>
      <w:r>
        <w:fldChar w:fldCharType="separate"/>
      </w:r>
      <w:r>
        <w:t>36</w:t>
      </w:r>
      <w:r>
        <w:fldChar w:fldCharType="end"/>
      </w:r>
      <w:r>
        <w:rPr>
          <w:snapToGrid w:val="0"/>
        </w:rPr>
        <w:fldChar w:fldCharType="end"/>
      </w:r>
    </w:p>
    <w:p w14:paraId="567BE54D">
      <w:pPr>
        <w:pStyle w:val="13"/>
        <w:tabs>
          <w:tab w:val="right" w:leader="dot" w:pos="8312"/>
        </w:tabs>
      </w:pPr>
      <w:r>
        <w:rPr>
          <w:snapToGrid w:val="0"/>
        </w:rPr>
        <w:fldChar w:fldCharType="begin"/>
      </w:r>
      <w:r>
        <w:rPr>
          <w:snapToGrid w:val="0"/>
        </w:rPr>
        <w:instrText xml:space="preserve"> HYPERLINK \l _Toc22068 </w:instrText>
      </w:r>
      <w:r>
        <w:rPr>
          <w:snapToGrid w:val="0"/>
        </w:rPr>
        <w:fldChar w:fldCharType="separate"/>
      </w:r>
      <w:r>
        <w:rPr>
          <w:rFonts w:hint="eastAsia"/>
        </w:rPr>
        <w:t>4.2.1  方法总览</w:t>
      </w:r>
      <w:r>
        <w:tab/>
      </w:r>
      <w:r>
        <w:fldChar w:fldCharType="begin"/>
      </w:r>
      <w:r>
        <w:instrText xml:space="preserve"> PAGEREF _Toc22068 \h </w:instrText>
      </w:r>
      <w:r>
        <w:fldChar w:fldCharType="separate"/>
      </w:r>
      <w:r>
        <w:t>36</w:t>
      </w:r>
      <w:r>
        <w:fldChar w:fldCharType="end"/>
      </w:r>
      <w:r>
        <w:rPr>
          <w:snapToGrid w:val="0"/>
        </w:rPr>
        <w:fldChar w:fldCharType="end"/>
      </w:r>
    </w:p>
    <w:p w14:paraId="580F58B6">
      <w:pPr>
        <w:pStyle w:val="13"/>
        <w:tabs>
          <w:tab w:val="right" w:leader="dot" w:pos="8312"/>
        </w:tabs>
      </w:pPr>
      <w:r>
        <w:rPr>
          <w:snapToGrid w:val="0"/>
        </w:rPr>
        <w:fldChar w:fldCharType="begin"/>
      </w:r>
      <w:r>
        <w:rPr>
          <w:snapToGrid w:val="0"/>
        </w:rPr>
        <w:instrText xml:space="preserve"> HYPERLINK \l _Toc24901 </w:instrText>
      </w:r>
      <w:r>
        <w:rPr>
          <w:snapToGrid w:val="0"/>
        </w:rPr>
        <w:fldChar w:fldCharType="separate"/>
      </w:r>
      <w:r>
        <w:rPr>
          <w:rFonts w:hint="eastAsia"/>
        </w:rPr>
        <w:t>4.2.2  种群初始化</w:t>
      </w:r>
      <w:r>
        <w:tab/>
      </w:r>
      <w:r>
        <w:fldChar w:fldCharType="begin"/>
      </w:r>
      <w:r>
        <w:instrText xml:space="preserve"> PAGEREF _Toc24901 \h </w:instrText>
      </w:r>
      <w:r>
        <w:fldChar w:fldCharType="separate"/>
      </w:r>
      <w:r>
        <w:t>37</w:t>
      </w:r>
      <w:r>
        <w:fldChar w:fldCharType="end"/>
      </w:r>
      <w:r>
        <w:rPr>
          <w:snapToGrid w:val="0"/>
        </w:rPr>
        <w:fldChar w:fldCharType="end"/>
      </w:r>
    </w:p>
    <w:p w14:paraId="0B04B456">
      <w:pPr>
        <w:pStyle w:val="13"/>
        <w:tabs>
          <w:tab w:val="right" w:leader="dot" w:pos="8312"/>
        </w:tabs>
      </w:pPr>
      <w:r>
        <w:rPr>
          <w:snapToGrid w:val="0"/>
        </w:rPr>
        <w:fldChar w:fldCharType="begin"/>
      </w:r>
      <w:r>
        <w:rPr>
          <w:snapToGrid w:val="0"/>
        </w:rPr>
        <w:instrText xml:space="preserve"> HYPERLINK \l _Toc9577 </w:instrText>
      </w:r>
      <w:r>
        <w:rPr>
          <w:snapToGrid w:val="0"/>
        </w:rPr>
        <w:fldChar w:fldCharType="separate"/>
      </w:r>
      <w:r>
        <w:rPr>
          <w:rFonts w:hint="eastAsia"/>
        </w:rPr>
        <w:t>4.2.3  交叉算子设计</w:t>
      </w:r>
      <w:r>
        <w:tab/>
      </w:r>
      <w:r>
        <w:fldChar w:fldCharType="begin"/>
      </w:r>
      <w:r>
        <w:instrText xml:space="preserve"> PAGEREF _Toc9577 \h </w:instrText>
      </w:r>
      <w:r>
        <w:fldChar w:fldCharType="separate"/>
      </w:r>
      <w:r>
        <w:t>38</w:t>
      </w:r>
      <w:r>
        <w:fldChar w:fldCharType="end"/>
      </w:r>
      <w:r>
        <w:rPr>
          <w:snapToGrid w:val="0"/>
        </w:rPr>
        <w:fldChar w:fldCharType="end"/>
      </w:r>
    </w:p>
    <w:p w14:paraId="7E6CD728">
      <w:pPr>
        <w:pStyle w:val="13"/>
        <w:tabs>
          <w:tab w:val="right" w:leader="dot" w:pos="8312"/>
        </w:tabs>
      </w:pPr>
      <w:r>
        <w:rPr>
          <w:snapToGrid w:val="0"/>
        </w:rPr>
        <w:fldChar w:fldCharType="begin"/>
      </w:r>
      <w:r>
        <w:rPr>
          <w:snapToGrid w:val="0"/>
        </w:rPr>
        <w:instrText xml:space="preserve"> HYPERLINK \l _Toc31716 </w:instrText>
      </w:r>
      <w:r>
        <w:rPr>
          <w:snapToGrid w:val="0"/>
        </w:rPr>
        <w:fldChar w:fldCharType="separate"/>
      </w:r>
      <w:r>
        <w:rPr>
          <w:rFonts w:hint="eastAsia"/>
        </w:rPr>
        <w:t>4.2.4  动态重要性引导变异</w:t>
      </w:r>
      <w:r>
        <w:tab/>
      </w:r>
      <w:r>
        <w:fldChar w:fldCharType="begin"/>
      </w:r>
      <w:r>
        <w:instrText xml:space="preserve"> PAGEREF _Toc31716 \h </w:instrText>
      </w:r>
      <w:r>
        <w:fldChar w:fldCharType="separate"/>
      </w:r>
      <w:r>
        <w:t>38</w:t>
      </w:r>
      <w:r>
        <w:fldChar w:fldCharType="end"/>
      </w:r>
      <w:r>
        <w:rPr>
          <w:snapToGrid w:val="0"/>
        </w:rPr>
        <w:fldChar w:fldCharType="end"/>
      </w:r>
    </w:p>
    <w:p w14:paraId="0B42CBAC">
      <w:pPr>
        <w:pStyle w:val="13"/>
        <w:tabs>
          <w:tab w:val="right" w:leader="dot" w:pos="8312"/>
        </w:tabs>
      </w:pPr>
      <w:r>
        <w:rPr>
          <w:snapToGrid w:val="0"/>
        </w:rPr>
        <w:fldChar w:fldCharType="begin"/>
      </w:r>
      <w:r>
        <w:rPr>
          <w:snapToGrid w:val="0"/>
        </w:rPr>
        <w:instrText xml:space="preserve"> HYPERLINK \l _Toc22253 </w:instrText>
      </w:r>
      <w:r>
        <w:rPr>
          <w:snapToGrid w:val="0"/>
        </w:rPr>
        <w:fldChar w:fldCharType="separate"/>
      </w:r>
      <w:r>
        <w:rPr>
          <w:rFonts w:hint="eastAsia"/>
        </w:rPr>
        <w:t>4.2.5  种群选择与更新</w:t>
      </w:r>
      <w:r>
        <w:tab/>
      </w:r>
      <w:r>
        <w:fldChar w:fldCharType="begin"/>
      </w:r>
      <w:r>
        <w:instrText xml:space="preserve"> PAGEREF _Toc22253 \h </w:instrText>
      </w:r>
      <w:r>
        <w:fldChar w:fldCharType="separate"/>
      </w:r>
      <w:r>
        <w:t>38</w:t>
      </w:r>
      <w:r>
        <w:fldChar w:fldCharType="end"/>
      </w:r>
      <w:r>
        <w:rPr>
          <w:snapToGrid w:val="0"/>
        </w:rPr>
        <w:fldChar w:fldCharType="end"/>
      </w:r>
    </w:p>
    <w:p w14:paraId="4F05F960">
      <w:pPr>
        <w:pStyle w:val="24"/>
        <w:tabs>
          <w:tab w:val="right" w:leader="dot" w:pos="8312"/>
        </w:tabs>
      </w:pPr>
      <w:r>
        <w:rPr>
          <w:snapToGrid w:val="0"/>
        </w:rPr>
        <w:fldChar w:fldCharType="begin"/>
      </w:r>
      <w:r>
        <w:rPr>
          <w:snapToGrid w:val="0"/>
        </w:rPr>
        <w:instrText xml:space="preserve"> HYPERLINK \l _Toc5337 </w:instrText>
      </w:r>
      <w:r>
        <w:rPr>
          <w:snapToGrid w:val="0"/>
        </w:rPr>
        <w:fldChar w:fldCharType="separate"/>
      </w:r>
      <w:r>
        <w:rPr>
          <w:rFonts w:hint="eastAsia"/>
        </w:rPr>
        <w:t>4</w:t>
      </w:r>
      <w:r>
        <w:t>.</w:t>
      </w:r>
      <w:r>
        <w:rPr>
          <w:rFonts w:hint="eastAsia"/>
        </w:rPr>
        <w:t>3</w:t>
      </w:r>
      <w:r>
        <w:t xml:space="preserve">  </w:t>
      </w:r>
      <w:r>
        <w:rPr>
          <w:rFonts w:hint="eastAsia"/>
        </w:rPr>
        <w:t>实验与结果分析</w:t>
      </w:r>
      <w:r>
        <w:tab/>
      </w:r>
      <w:r>
        <w:fldChar w:fldCharType="begin"/>
      </w:r>
      <w:r>
        <w:instrText xml:space="preserve"> PAGEREF _Toc5337 \h </w:instrText>
      </w:r>
      <w:r>
        <w:fldChar w:fldCharType="separate"/>
      </w:r>
      <w:r>
        <w:t>39</w:t>
      </w:r>
      <w:r>
        <w:fldChar w:fldCharType="end"/>
      </w:r>
      <w:r>
        <w:rPr>
          <w:snapToGrid w:val="0"/>
        </w:rPr>
        <w:fldChar w:fldCharType="end"/>
      </w:r>
    </w:p>
    <w:p w14:paraId="73374109">
      <w:pPr>
        <w:pStyle w:val="13"/>
        <w:tabs>
          <w:tab w:val="right" w:leader="dot" w:pos="8312"/>
        </w:tabs>
      </w:pPr>
      <w:r>
        <w:rPr>
          <w:snapToGrid w:val="0"/>
        </w:rPr>
        <w:fldChar w:fldCharType="begin"/>
      </w:r>
      <w:r>
        <w:rPr>
          <w:snapToGrid w:val="0"/>
        </w:rPr>
        <w:instrText xml:space="preserve"> HYPERLINK \l _Toc28332 </w:instrText>
      </w:r>
      <w:r>
        <w:rPr>
          <w:snapToGrid w:val="0"/>
        </w:rPr>
        <w:fldChar w:fldCharType="separate"/>
      </w:r>
      <w:r>
        <w:rPr>
          <w:rFonts w:hint="eastAsia"/>
        </w:rPr>
        <w:t>4.3.1</w:t>
      </w:r>
      <w:r>
        <w:rPr>
          <w:rFonts w:hint="eastAsia"/>
          <w:lang w:val="en-US" w:eastAsia="zh-CN"/>
        </w:rPr>
        <w:t xml:space="preserve">  </w:t>
      </w:r>
      <w:r>
        <w:rPr>
          <w:rFonts w:hint="eastAsia"/>
        </w:rPr>
        <w:t>实验数据集</w:t>
      </w:r>
      <w:r>
        <w:tab/>
      </w:r>
      <w:r>
        <w:fldChar w:fldCharType="begin"/>
      </w:r>
      <w:r>
        <w:instrText xml:space="preserve"> PAGEREF _Toc28332 \h </w:instrText>
      </w:r>
      <w:r>
        <w:fldChar w:fldCharType="separate"/>
      </w:r>
      <w:r>
        <w:t>39</w:t>
      </w:r>
      <w:r>
        <w:fldChar w:fldCharType="end"/>
      </w:r>
      <w:r>
        <w:rPr>
          <w:snapToGrid w:val="0"/>
        </w:rPr>
        <w:fldChar w:fldCharType="end"/>
      </w:r>
    </w:p>
    <w:p w14:paraId="7B4C02DD">
      <w:pPr>
        <w:pStyle w:val="13"/>
        <w:tabs>
          <w:tab w:val="right" w:leader="dot" w:pos="8312"/>
        </w:tabs>
      </w:pPr>
      <w:r>
        <w:rPr>
          <w:snapToGrid w:val="0"/>
        </w:rPr>
        <w:fldChar w:fldCharType="begin"/>
      </w:r>
      <w:r>
        <w:rPr>
          <w:snapToGrid w:val="0"/>
        </w:rPr>
        <w:instrText xml:space="preserve"> HYPERLINK \l _Toc25696 </w:instrText>
      </w:r>
      <w:r>
        <w:rPr>
          <w:snapToGrid w:val="0"/>
        </w:rPr>
        <w:fldChar w:fldCharType="separate"/>
      </w:r>
      <w:r>
        <w:rPr>
          <w:rFonts w:hint="eastAsia"/>
        </w:rPr>
        <w:t>4.3.2</w:t>
      </w:r>
      <w:r>
        <w:rPr>
          <w:rFonts w:hint="eastAsia"/>
          <w:lang w:val="en-US" w:eastAsia="zh-CN"/>
        </w:rPr>
        <w:t xml:space="preserve">  </w:t>
      </w:r>
      <w:r>
        <w:rPr>
          <w:rFonts w:hint="eastAsia"/>
        </w:rPr>
        <w:t>基线方法</w:t>
      </w:r>
      <w:r>
        <w:tab/>
      </w:r>
      <w:r>
        <w:fldChar w:fldCharType="begin"/>
      </w:r>
      <w:r>
        <w:instrText xml:space="preserve"> PAGEREF _Toc25696 \h </w:instrText>
      </w:r>
      <w:r>
        <w:fldChar w:fldCharType="separate"/>
      </w:r>
      <w:r>
        <w:t>39</w:t>
      </w:r>
      <w:r>
        <w:fldChar w:fldCharType="end"/>
      </w:r>
      <w:r>
        <w:rPr>
          <w:snapToGrid w:val="0"/>
        </w:rPr>
        <w:fldChar w:fldCharType="end"/>
      </w:r>
    </w:p>
    <w:p w14:paraId="7D350685">
      <w:pPr>
        <w:pStyle w:val="13"/>
        <w:tabs>
          <w:tab w:val="right" w:leader="dot" w:pos="8312"/>
        </w:tabs>
      </w:pPr>
      <w:r>
        <w:rPr>
          <w:snapToGrid w:val="0"/>
        </w:rPr>
        <w:fldChar w:fldCharType="begin"/>
      </w:r>
      <w:r>
        <w:rPr>
          <w:snapToGrid w:val="0"/>
        </w:rPr>
        <w:instrText xml:space="preserve"> HYPERLINK \l _Toc32751 </w:instrText>
      </w:r>
      <w:r>
        <w:rPr>
          <w:snapToGrid w:val="0"/>
        </w:rPr>
        <w:fldChar w:fldCharType="separate"/>
      </w:r>
      <w:r>
        <w:rPr>
          <w:rFonts w:hint="eastAsia"/>
        </w:rPr>
        <w:t xml:space="preserve">4.3.3  </w:t>
      </w:r>
      <w:r>
        <w:t>目标RAG系统</w:t>
      </w:r>
      <w:r>
        <w:tab/>
      </w:r>
      <w:r>
        <w:fldChar w:fldCharType="begin"/>
      </w:r>
      <w:r>
        <w:instrText xml:space="preserve"> PAGEREF _Toc32751 \h </w:instrText>
      </w:r>
      <w:r>
        <w:fldChar w:fldCharType="separate"/>
      </w:r>
      <w:r>
        <w:t>40</w:t>
      </w:r>
      <w:r>
        <w:fldChar w:fldCharType="end"/>
      </w:r>
      <w:r>
        <w:rPr>
          <w:snapToGrid w:val="0"/>
        </w:rPr>
        <w:fldChar w:fldCharType="end"/>
      </w:r>
    </w:p>
    <w:p w14:paraId="06A55492">
      <w:pPr>
        <w:pStyle w:val="13"/>
        <w:tabs>
          <w:tab w:val="right" w:leader="dot" w:pos="8312"/>
        </w:tabs>
      </w:pPr>
      <w:r>
        <w:rPr>
          <w:snapToGrid w:val="0"/>
        </w:rPr>
        <w:fldChar w:fldCharType="begin"/>
      </w:r>
      <w:r>
        <w:rPr>
          <w:snapToGrid w:val="0"/>
        </w:rPr>
        <w:instrText xml:space="preserve"> HYPERLINK \l _Toc18404 </w:instrText>
      </w:r>
      <w:r>
        <w:rPr>
          <w:snapToGrid w:val="0"/>
        </w:rPr>
        <w:fldChar w:fldCharType="separate"/>
      </w:r>
      <w:r>
        <w:rPr>
          <w:rFonts w:hint="eastAsia"/>
        </w:rPr>
        <w:t>4.3.4  评价指标与实验设计</w:t>
      </w:r>
      <w:r>
        <w:tab/>
      </w:r>
      <w:r>
        <w:fldChar w:fldCharType="begin"/>
      </w:r>
      <w:r>
        <w:instrText xml:space="preserve"> PAGEREF _Toc18404 \h </w:instrText>
      </w:r>
      <w:r>
        <w:fldChar w:fldCharType="separate"/>
      </w:r>
      <w:r>
        <w:t>41</w:t>
      </w:r>
      <w:r>
        <w:fldChar w:fldCharType="end"/>
      </w:r>
      <w:r>
        <w:rPr>
          <w:snapToGrid w:val="0"/>
        </w:rPr>
        <w:fldChar w:fldCharType="end"/>
      </w:r>
    </w:p>
    <w:p w14:paraId="6AA96A2D">
      <w:pPr>
        <w:pStyle w:val="13"/>
        <w:tabs>
          <w:tab w:val="right" w:leader="dot" w:pos="8312"/>
        </w:tabs>
      </w:pPr>
      <w:r>
        <w:rPr>
          <w:snapToGrid w:val="0"/>
        </w:rPr>
        <w:fldChar w:fldCharType="begin"/>
      </w:r>
      <w:r>
        <w:rPr>
          <w:snapToGrid w:val="0"/>
        </w:rPr>
        <w:instrText xml:space="preserve"> HYPERLINK \l _Toc732 </w:instrText>
      </w:r>
      <w:r>
        <w:rPr>
          <w:snapToGrid w:val="0"/>
        </w:rPr>
        <w:fldChar w:fldCharType="separate"/>
      </w:r>
      <w:r>
        <w:rPr>
          <w:rFonts w:hint="eastAsia"/>
        </w:rPr>
        <w:t>4.3.5  实验结果与分析</w:t>
      </w:r>
      <w:r>
        <w:tab/>
      </w:r>
      <w:r>
        <w:fldChar w:fldCharType="begin"/>
      </w:r>
      <w:r>
        <w:instrText xml:space="preserve"> PAGEREF _Toc732 \h </w:instrText>
      </w:r>
      <w:r>
        <w:fldChar w:fldCharType="separate"/>
      </w:r>
      <w:r>
        <w:t>41</w:t>
      </w:r>
      <w:r>
        <w:fldChar w:fldCharType="end"/>
      </w:r>
      <w:r>
        <w:rPr>
          <w:snapToGrid w:val="0"/>
        </w:rPr>
        <w:fldChar w:fldCharType="end"/>
      </w:r>
    </w:p>
    <w:p w14:paraId="731D5B8E">
      <w:pPr>
        <w:pStyle w:val="24"/>
        <w:tabs>
          <w:tab w:val="right" w:leader="dot" w:pos="8312"/>
        </w:tabs>
      </w:pPr>
      <w:r>
        <w:rPr>
          <w:snapToGrid w:val="0"/>
        </w:rPr>
        <w:fldChar w:fldCharType="begin"/>
      </w:r>
      <w:r>
        <w:rPr>
          <w:snapToGrid w:val="0"/>
        </w:rPr>
        <w:instrText xml:space="preserve"> HYPERLINK \l _Toc6481 </w:instrText>
      </w:r>
      <w:r>
        <w:rPr>
          <w:snapToGrid w:val="0"/>
        </w:rPr>
        <w:fldChar w:fldCharType="separate"/>
      </w:r>
      <w:r>
        <w:rPr>
          <w:rFonts w:hint="eastAsia"/>
        </w:rPr>
        <w:t>4</w:t>
      </w:r>
      <w:r>
        <w:t>.</w:t>
      </w:r>
      <w:r>
        <w:rPr>
          <w:rFonts w:hint="eastAsia"/>
        </w:rPr>
        <w:t>4</w:t>
      </w:r>
      <w:r>
        <w:t xml:space="preserve">  本章小结</w:t>
      </w:r>
      <w:r>
        <w:tab/>
      </w:r>
      <w:r>
        <w:fldChar w:fldCharType="begin"/>
      </w:r>
      <w:r>
        <w:instrText xml:space="preserve"> PAGEREF _Toc6481 \h </w:instrText>
      </w:r>
      <w:r>
        <w:fldChar w:fldCharType="separate"/>
      </w:r>
      <w:r>
        <w:t>44</w:t>
      </w:r>
      <w:r>
        <w:fldChar w:fldCharType="end"/>
      </w:r>
      <w:r>
        <w:rPr>
          <w:snapToGrid w:val="0"/>
        </w:rPr>
        <w:fldChar w:fldCharType="end"/>
      </w:r>
    </w:p>
    <w:p w14:paraId="0EFF0584">
      <w:pPr>
        <w:pStyle w:val="20"/>
        <w:tabs>
          <w:tab w:val="right" w:leader="dot" w:pos="8312"/>
        </w:tabs>
      </w:pPr>
      <w:r>
        <w:rPr>
          <w:snapToGrid w:val="0"/>
        </w:rPr>
        <w:fldChar w:fldCharType="begin"/>
      </w:r>
      <w:r>
        <w:rPr>
          <w:snapToGrid w:val="0"/>
        </w:rPr>
        <w:instrText xml:space="preserve"> HYPERLINK \l _Toc24650 </w:instrText>
      </w:r>
      <w:r>
        <w:rPr>
          <w:snapToGrid w:val="0"/>
        </w:rPr>
        <w:fldChar w:fldCharType="separate"/>
      </w:r>
      <w:r>
        <w:rPr>
          <w:rFonts w:hint="eastAsia"/>
        </w:rPr>
        <w:t>第五章  面向电力场景RAG系统知识库毒化防御</w:t>
      </w:r>
      <w:r>
        <w:rPr>
          <w:rFonts w:hint="eastAsia"/>
          <w:lang w:val="en-US" w:eastAsia="zh-CN"/>
        </w:rPr>
        <w:t>研究</w:t>
      </w:r>
      <w:r>
        <w:tab/>
      </w:r>
      <w:r>
        <w:fldChar w:fldCharType="begin"/>
      </w:r>
      <w:r>
        <w:instrText xml:space="preserve"> PAGEREF _Toc24650 \h </w:instrText>
      </w:r>
      <w:r>
        <w:fldChar w:fldCharType="separate"/>
      </w:r>
      <w:r>
        <w:t>45</w:t>
      </w:r>
      <w:r>
        <w:fldChar w:fldCharType="end"/>
      </w:r>
      <w:r>
        <w:rPr>
          <w:snapToGrid w:val="0"/>
        </w:rPr>
        <w:fldChar w:fldCharType="end"/>
      </w:r>
    </w:p>
    <w:p w14:paraId="57030E2E">
      <w:pPr>
        <w:pStyle w:val="24"/>
        <w:tabs>
          <w:tab w:val="right" w:leader="dot" w:pos="8312"/>
        </w:tabs>
      </w:pPr>
      <w:r>
        <w:rPr>
          <w:snapToGrid w:val="0"/>
        </w:rPr>
        <w:fldChar w:fldCharType="begin"/>
      </w:r>
      <w:r>
        <w:rPr>
          <w:snapToGrid w:val="0"/>
        </w:rPr>
        <w:instrText xml:space="preserve"> HYPERLINK \l _Toc2823 </w:instrText>
      </w:r>
      <w:r>
        <w:rPr>
          <w:snapToGrid w:val="0"/>
        </w:rPr>
        <w:fldChar w:fldCharType="separate"/>
      </w:r>
      <w:r>
        <w:rPr>
          <w:rFonts w:hint="eastAsia"/>
        </w:rPr>
        <w:t>5</w:t>
      </w:r>
      <w:r>
        <w:t>.1</w:t>
      </w:r>
      <w:r>
        <w:rPr>
          <w:rFonts w:hint="eastAsia"/>
        </w:rPr>
        <w:t xml:space="preserve">  问题描述</w:t>
      </w:r>
      <w:r>
        <w:tab/>
      </w:r>
      <w:r>
        <w:fldChar w:fldCharType="begin"/>
      </w:r>
      <w:r>
        <w:instrText xml:space="preserve"> PAGEREF _Toc2823 \h </w:instrText>
      </w:r>
      <w:r>
        <w:fldChar w:fldCharType="separate"/>
      </w:r>
      <w:r>
        <w:t>45</w:t>
      </w:r>
      <w:r>
        <w:fldChar w:fldCharType="end"/>
      </w:r>
      <w:r>
        <w:rPr>
          <w:snapToGrid w:val="0"/>
        </w:rPr>
        <w:fldChar w:fldCharType="end"/>
      </w:r>
    </w:p>
    <w:p w14:paraId="2232BD07">
      <w:pPr>
        <w:pStyle w:val="13"/>
        <w:tabs>
          <w:tab w:val="right" w:leader="dot" w:pos="8312"/>
        </w:tabs>
      </w:pPr>
      <w:r>
        <w:rPr>
          <w:snapToGrid w:val="0"/>
        </w:rPr>
        <w:fldChar w:fldCharType="begin"/>
      </w:r>
      <w:r>
        <w:rPr>
          <w:snapToGrid w:val="0"/>
        </w:rPr>
        <w:instrText xml:space="preserve"> HYPERLINK \l _Toc28614 </w:instrText>
      </w:r>
      <w:r>
        <w:rPr>
          <w:snapToGrid w:val="0"/>
        </w:rPr>
        <w:fldChar w:fldCharType="separate"/>
      </w:r>
      <w:r>
        <w:rPr>
          <w:rFonts w:hint="eastAsia"/>
        </w:rPr>
        <w:t>5.1.1</w:t>
      </w:r>
      <w:r>
        <w:rPr>
          <w:rFonts w:hint="eastAsia"/>
          <w:lang w:val="en-US" w:eastAsia="zh-CN"/>
        </w:rPr>
        <w:t xml:space="preserve">  </w:t>
      </w:r>
      <w:r>
        <w:rPr>
          <w:rFonts w:hint="eastAsia"/>
        </w:rPr>
        <w:t>问题分析</w:t>
      </w:r>
      <w:r>
        <w:tab/>
      </w:r>
      <w:r>
        <w:fldChar w:fldCharType="begin"/>
      </w:r>
      <w:r>
        <w:instrText xml:space="preserve"> PAGEREF _Toc28614 \h </w:instrText>
      </w:r>
      <w:r>
        <w:fldChar w:fldCharType="separate"/>
      </w:r>
      <w:r>
        <w:t>45</w:t>
      </w:r>
      <w:r>
        <w:fldChar w:fldCharType="end"/>
      </w:r>
      <w:r>
        <w:rPr>
          <w:snapToGrid w:val="0"/>
        </w:rPr>
        <w:fldChar w:fldCharType="end"/>
      </w:r>
    </w:p>
    <w:p w14:paraId="03233836">
      <w:pPr>
        <w:pStyle w:val="13"/>
        <w:tabs>
          <w:tab w:val="right" w:leader="dot" w:pos="8312"/>
        </w:tabs>
      </w:pPr>
      <w:r>
        <w:rPr>
          <w:snapToGrid w:val="0"/>
        </w:rPr>
        <w:fldChar w:fldCharType="begin"/>
      </w:r>
      <w:r>
        <w:rPr>
          <w:snapToGrid w:val="0"/>
        </w:rPr>
        <w:instrText xml:space="preserve"> HYPERLINK \l _Toc9939 </w:instrText>
      </w:r>
      <w:r>
        <w:rPr>
          <w:snapToGrid w:val="0"/>
        </w:rPr>
        <w:fldChar w:fldCharType="separate"/>
      </w:r>
      <w:r>
        <w:rPr>
          <w:rFonts w:hint="eastAsia"/>
        </w:rPr>
        <w:t>5.1.2</w:t>
      </w:r>
      <w:r>
        <w:rPr>
          <w:rFonts w:hint="eastAsia"/>
          <w:lang w:val="en-US" w:eastAsia="zh-CN"/>
        </w:rPr>
        <w:t xml:space="preserve">  </w:t>
      </w:r>
      <w:r>
        <w:rPr>
          <w:rFonts w:hint="eastAsia"/>
        </w:rPr>
        <w:t>问题建模</w:t>
      </w:r>
      <w:r>
        <w:tab/>
      </w:r>
      <w:r>
        <w:fldChar w:fldCharType="begin"/>
      </w:r>
      <w:r>
        <w:instrText xml:space="preserve"> PAGEREF _Toc9939 \h </w:instrText>
      </w:r>
      <w:r>
        <w:fldChar w:fldCharType="separate"/>
      </w:r>
      <w:r>
        <w:t>46</w:t>
      </w:r>
      <w:r>
        <w:fldChar w:fldCharType="end"/>
      </w:r>
      <w:r>
        <w:rPr>
          <w:snapToGrid w:val="0"/>
        </w:rPr>
        <w:fldChar w:fldCharType="end"/>
      </w:r>
    </w:p>
    <w:p w14:paraId="48DFCE25">
      <w:pPr>
        <w:pStyle w:val="24"/>
        <w:tabs>
          <w:tab w:val="right" w:leader="dot" w:pos="8312"/>
        </w:tabs>
      </w:pPr>
      <w:r>
        <w:rPr>
          <w:snapToGrid w:val="0"/>
        </w:rPr>
        <w:fldChar w:fldCharType="begin"/>
      </w:r>
      <w:r>
        <w:rPr>
          <w:snapToGrid w:val="0"/>
        </w:rPr>
        <w:instrText xml:space="preserve"> HYPERLINK \l _Toc21823 </w:instrText>
      </w:r>
      <w:r>
        <w:rPr>
          <w:snapToGrid w:val="0"/>
        </w:rPr>
        <w:fldChar w:fldCharType="separate"/>
      </w:r>
      <w:r>
        <w:rPr>
          <w:rFonts w:hint="eastAsia"/>
        </w:rPr>
        <w:t>5</w:t>
      </w:r>
      <w:r>
        <w:t>.</w:t>
      </w:r>
      <w:r>
        <w:rPr>
          <w:rFonts w:hint="eastAsia"/>
        </w:rPr>
        <w:t>2  算法设计</w:t>
      </w:r>
      <w:r>
        <w:tab/>
      </w:r>
      <w:r>
        <w:fldChar w:fldCharType="begin"/>
      </w:r>
      <w:r>
        <w:instrText xml:space="preserve"> PAGEREF _Toc21823 \h </w:instrText>
      </w:r>
      <w:r>
        <w:fldChar w:fldCharType="separate"/>
      </w:r>
      <w:r>
        <w:t>46</w:t>
      </w:r>
      <w:r>
        <w:fldChar w:fldCharType="end"/>
      </w:r>
      <w:r>
        <w:rPr>
          <w:snapToGrid w:val="0"/>
        </w:rPr>
        <w:fldChar w:fldCharType="end"/>
      </w:r>
    </w:p>
    <w:p w14:paraId="56F5043E">
      <w:pPr>
        <w:pStyle w:val="13"/>
        <w:tabs>
          <w:tab w:val="right" w:leader="dot" w:pos="8312"/>
        </w:tabs>
      </w:pPr>
      <w:r>
        <w:rPr>
          <w:snapToGrid w:val="0"/>
        </w:rPr>
        <w:fldChar w:fldCharType="begin"/>
      </w:r>
      <w:r>
        <w:rPr>
          <w:snapToGrid w:val="0"/>
        </w:rPr>
        <w:instrText xml:space="preserve"> HYPERLINK \l _Toc1269 </w:instrText>
      </w:r>
      <w:r>
        <w:rPr>
          <w:snapToGrid w:val="0"/>
        </w:rPr>
        <w:fldChar w:fldCharType="separate"/>
      </w:r>
      <w:r>
        <w:rPr>
          <w:rFonts w:hint="eastAsia"/>
        </w:rPr>
        <w:t>5.2.1</w:t>
      </w:r>
      <w:r>
        <w:rPr>
          <w:rFonts w:hint="eastAsia"/>
          <w:lang w:val="en-US" w:eastAsia="zh-CN"/>
        </w:rPr>
        <w:t xml:space="preserve">  </w:t>
      </w:r>
      <w:r>
        <w:rPr>
          <w:rFonts w:hint="eastAsia"/>
        </w:rPr>
        <w:t>算法总览</w:t>
      </w:r>
      <w:r>
        <w:tab/>
      </w:r>
      <w:r>
        <w:fldChar w:fldCharType="begin"/>
      </w:r>
      <w:r>
        <w:instrText xml:space="preserve"> PAGEREF _Toc1269 \h </w:instrText>
      </w:r>
      <w:r>
        <w:fldChar w:fldCharType="separate"/>
      </w:r>
      <w:r>
        <w:t>46</w:t>
      </w:r>
      <w:r>
        <w:fldChar w:fldCharType="end"/>
      </w:r>
      <w:r>
        <w:rPr>
          <w:snapToGrid w:val="0"/>
        </w:rPr>
        <w:fldChar w:fldCharType="end"/>
      </w:r>
    </w:p>
    <w:p w14:paraId="089ED3B8">
      <w:pPr>
        <w:pStyle w:val="13"/>
        <w:tabs>
          <w:tab w:val="right" w:leader="dot" w:pos="8312"/>
        </w:tabs>
      </w:pPr>
      <w:r>
        <w:rPr>
          <w:snapToGrid w:val="0"/>
        </w:rPr>
        <w:fldChar w:fldCharType="begin"/>
      </w:r>
      <w:r>
        <w:rPr>
          <w:snapToGrid w:val="0"/>
        </w:rPr>
        <w:instrText xml:space="preserve"> HYPERLINK \l _Toc25553 </w:instrText>
      </w:r>
      <w:r>
        <w:rPr>
          <w:snapToGrid w:val="0"/>
        </w:rPr>
        <w:fldChar w:fldCharType="separate"/>
      </w:r>
      <w:r>
        <w:rPr>
          <w:rFonts w:hint="eastAsia"/>
        </w:rPr>
        <w:t>5.2.2</w:t>
      </w:r>
      <w:r>
        <w:rPr>
          <w:rFonts w:hint="eastAsia"/>
          <w:lang w:val="en-US" w:eastAsia="zh-CN"/>
        </w:rPr>
        <w:t xml:space="preserve">  </w:t>
      </w:r>
      <w:r>
        <w:rPr>
          <w:rFonts w:hint="eastAsia"/>
        </w:rPr>
        <w:t>检索扩展</w:t>
      </w:r>
      <w:r>
        <w:tab/>
      </w:r>
      <w:r>
        <w:fldChar w:fldCharType="begin"/>
      </w:r>
      <w:r>
        <w:instrText xml:space="preserve"> PAGEREF _Toc25553 \h </w:instrText>
      </w:r>
      <w:r>
        <w:fldChar w:fldCharType="separate"/>
      </w:r>
      <w:r>
        <w:t>48</w:t>
      </w:r>
      <w:r>
        <w:fldChar w:fldCharType="end"/>
      </w:r>
      <w:r>
        <w:rPr>
          <w:snapToGrid w:val="0"/>
        </w:rPr>
        <w:fldChar w:fldCharType="end"/>
      </w:r>
    </w:p>
    <w:p w14:paraId="20CA6951">
      <w:pPr>
        <w:pStyle w:val="13"/>
        <w:tabs>
          <w:tab w:val="right" w:leader="dot" w:pos="8312"/>
        </w:tabs>
      </w:pPr>
      <w:r>
        <w:rPr>
          <w:snapToGrid w:val="0"/>
        </w:rPr>
        <w:fldChar w:fldCharType="begin"/>
      </w:r>
      <w:r>
        <w:rPr>
          <w:snapToGrid w:val="0"/>
        </w:rPr>
        <w:instrText xml:space="preserve"> HYPERLINK \l _Toc24689 </w:instrText>
      </w:r>
      <w:r>
        <w:rPr>
          <w:snapToGrid w:val="0"/>
        </w:rPr>
        <w:fldChar w:fldCharType="separate"/>
      </w:r>
      <w:r>
        <w:rPr>
          <w:rFonts w:hint="eastAsia"/>
        </w:rPr>
        <w:t>5.2.3</w:t>
      </w:r>
      <w:r>
        <w:rPr>
          <w:rFonts w:hint="eastAsia"/>
          <w:lang w:val="en-US" w:eastAsia="zh-CN"/>
        </w:rPr>
        <w:t xml:space="preserve">  </w:t>
      </w:r>
      <w:r>
        <w:rPr>
          <w:rFonts w:hint="eastAsia"/>
        </w:rPr>
        <w:t>嵌入空间异常检测</w:t>
      </w:r>
      <w:r>
        <w:tab/>
      </w:r>
      <w:r>
        <w:fldChar w:fldCharType="begin"/>
      </w:r>
      <w:r>
        <w:instrText xml:space="preserve"> PAGEREF _Toc24689 \h </w:instrText>
      </w:r>
      <w:r>
        <w:fldChar w:fldCharType="separate"/>
      </w:r>
      <w:r>
        <w:t>48</w:t>
      </w:r>
      <w:r>
        <w:fldChar w:fldCharType="end"/>
      </w:r>
      <w:r>
        <w:rPr>
          <w:snapToGrid w:val="0"/>
        </w:rPr>
        <w:fldChar w:fldCharType="end"/>
      </w:r>
    </w:p>
    <w:p w14:paraId="74C6085B">
      <w:pPr>
        <w:pStyle w:val="13"/>
        <w:tabs>
          <w:tab w:val="right" w:leader="dot" w:pos="8312"/>
        </w:tabs>
      </w:pPr>
      <w:r>
        <w:rPr>
          <w:snapToGrid w:val="0"/>
        </w:rPr>
        <w:fldChar w:fldCharType="begin"/>
      </w:r>
      <w:r>
        <w:rPr>
          <w:snapToGrid w:val="0"/>
        </w:rPr>
        <w:instrText xml:space="preserve"> HYPERLINK \l _Toc13672 </w:instrText>
      </w:r>
      <w:r>
        <w:rPr>
          <w:snapToGrid w:val="0"/>
        </w:rPr>
        <w:fldChar w:fldCharType="separate"/>
      </w:r>
      <w:r>
        <w:rPr>
          <w:rFonts w:hint="eastAsia"/>
        </w:rPr>
        <w:t>5.2.4</w:t>
      </w:r>
      <w:r>
        <w:rPr>
          <w:rFonts w:hint="eastAsia"/>
          <w:lang w:val="en-US" w:eastAsia="zh-CN"/>
        </w:rPr>
        <w:t xml:space="preserve">  </w:t>
      </w:r>
      <w:r>
        <w:rPr>
          <w:rFonts w:hint="eastAsia"/>
        </w:rPr>
        <w:t>句子级困惑度异常检测</w:t>
      </w:r>
      <w:r>
        <w:tab/>
      </w:r>
      <w:r>
        <w:fldChar w:fldCharType="begin"/>
      </w:r>
      <w:r>
        <w:instrText xml:space="preserve"> PAGEREF _Toc13672 \h </w:instrText>
      </w:r>
      <w:r>
        <w:fldChar w:fldCharType="separate"/>
      </w:r>
      <w:r>
        <w:t>49</w:t>
      </w:r>
      <w:r>
        <w:fldChar w:fldCharType="end"/>
      </w:r>
      <w:r>
        <w:rPr>
          <w:snapToGrid w:val="0"/>
        </w:rPr>
        <w:fldChar w:fldCharType="end"/>
      </w:r>
    </w:p>
    <w:p w14:paraId="2DC491FB">
      <w:pPr>
        <w:pStyle w:val="24"/>
        <w:tabs>
          <w:tab w:val="right" w:leader="dot" w:pos="8312"/>
        </w:tabs>
      </w:pPr>
      <w:r>
        <w:rPr>
          <w:snapToGrid w:val="0"/>
        </w:rPr>
        <w:fldChar w:fldCharType="begin"/>
      </w:r>
      <w:r>
        <w:rPr>
          <w:snapToGrid w:val="0"/>
        </w:rPr>
        <w:instrText xml:space="preserve"> HYPERLINK \l _Toc21164 </w:instrText>
      </w:r>
      <w:r>
        <w:rPr>
          <w:snapToGrid w:val="0"/>
        </w:rPr>
        <w:fldChar w:fldCharType="separate"/>
      </w:r>
      <w:r>
        <w:rPr>
          <w:rFonts w:hint="eastAsia"/>
        </w:rPr>
        <w:t>5</w:t>
      </w:r>
      <w:r>
        <w:t>.</w:t>
      </w:r>
      <w:r>
        <w:rPr>
          <w:rFonts w:hint="eastAsia"/>
        </w:rPr>
        <w:t>3  投毒防御护栏体系构建</w:t>
      </w:r>
      <w:r>
        <w:tab/>
      </w:r>
      <w:r>
        <w:fldChar w:fldCharType="begin"/>
      </w:r>
      <w:r>
        <w:instrText xml:space="preserve"> PAGEREF _Toc21164 \h </w:instrText>
      </w:r>
      <w:r>
        <w:fldChar w:fldCharType="separate"/>
      </w:r>
      <w:r>
        <w:t>49</w:t>
      </w:r>
      <w:r>
        <w:fldChar w:fldCharType="end"/>
      </w:r>
      <w:r>
        <w:rPr>
          <w:snapToGrid w:val="0"/>
        </w:rPr>
        <w:fldChar w:fldCharType="end"/>
      </w:r>
    </w:p>
    <w:p w14:paraId="4139B3C8">
      <w:pPr>
        <w:pStyle w:val="24"/>
        <w:tabs>
          <w:tab w:val="right" w:leader="dot" w:pos="8312"/>
        </w:tabs>
      </w:pPr>
      <w:r>
        <w:rPr>
          <w:snapToGrid w:val="0"/>
        </w:rPr>
        <w:fldChar w:fldCharType="begin"/>
      </w:r>
      <w:r>
        <w:rPr>
          <w:snapToGrid w:val="0"/>
        </w:rPr>
        <w:instrText xml:space="preserve"> HYPERLINK \l _Toc28754 </w:instrText>
      </w:r>
      <w:r>
        <w:rPr>
          <w:snapToGrid w:val="0"/>
        </w:rPr>
        <w:fldChar w:fldCharType="separate"/>
      </w:r>
      <w:r>
        <w:rPr>
          <w:rFonts w:hint="eastAsia"/>
        </w:rPr>
        <w:t>5</w:t>
      </w:r>
      <w:r>
        <w:t>.</w:t>
      </w:r>
      <w:r>
        <w:rPr>
          <w:rFonts w:hint="eastAsia"/>
        </w:rPr>
        <w:t>4  实验与结果分析</w:t>
      </w:r>
      <w:r>
        <w:tab/>
      </w:r>
      <w:r>
        <w:fldChar w:fldCharType="begin"/>
      </w:r>
      <w:r>
        <w:instrText xml:space="preserve"> PAGEREF _Toc28754 \h </w:instrText>
      </w:r>
      <w:r>
        <w:fldChar w:fldCharType="separate"/>
      </w:r>
      <w:r>
        <w:t>50</w:t>
      </w:r>
      <w:r>
        <w:fldChar w:fldCharType="end"/>
      </w:r>
      <w:r>
        <w:rPr>
          <w:snapToGrid w:val="0"/>
        </w:rPr>
        <w:fldChar w:fldCharType="end"/>
      </w:r>
    </w:p>
    <w:p w14:paraId="77B45B54">
      <w:pPr>
        <w:pStyle w:val="13"/>
        <w:tabs>
          <w:tab w:val="right" w:leader="dot" w:pos="8312"/>
        </w:tabs>
      </w:pPr>
      <w:r>
        <w:rPr>
          <w:snapToGrid w:val="0"/>
        </w:rPr>
        <w:fldChar w:fldCharType="begin"/>
      </w:r>
      <w:r>
        <w:rPr>
          <w:snapToGrid w:val="0"/>
        </w:rPr>
        <w:instrText xml:space="preserve"> HYPERLINK \l _Toc6456 </w:instrText>
      </w:r>
      <w:r>
        <w:rPr>
          <w:snapToGrid w:val="0"/>
        </w:rPr>
        <w:fldChar w:fldCharType="separate"/>
      </w:r>
      <w:r>
        <w:rPr>
          <w:rFonts w:hint="eastAsia"/>
        </w:rPr>
        <w:t>5.4.1</w:t>
      </w:r>
      <w:r>
        <w:rPr>
          <w:rFonts w:hint="eastAsia"/>
          <w:lang w:val="en-US" w:eastAsia="zh-CN"/>
        </w:rPr>
        <w:t xml:space="preserve">  </w:t>
      </w:r>
      <w:r>
        <w:rPr>
          <w:rFonts w:hint="eastAsia"/>
        </w:rPr>
        <w:t>实验数据集</w:t>
      </w:r>
      <w:r>
        <w:tab/>
      </w:r>
      <w:r>
        <w:fldChar w:fldCharType="begin"/>
      </w:r>
      <w:r>
        <w:instrText xml:space="preserve"> PAGEREF _Toc6456 \h </w:instrText>
      </w:r>
      <w:r>
        <w:fldChar w:fldCharType="separate"/>
      </w:r>
      <w:r>
        <w:t>50</w:t>
      </w:r>
      <w:r>
        <w:fldChar w:fldCharType="end"/>
      </w:r>
      <w:r>
        <w:rPr>
          <w:snapToGrid w:val="0"/>
        </w:rPr>
        <w:fldChar w:fldCharType="end"/>
      </w:r>
    </w:p>
    <w:p w14:paraId="15E3AAC2">
      <w:pPr>
        <w:pStyle w:val="13"/>
        <w:tabs>
          <w:tab w:val="right" w:leader="dot" w:pos="8312"/>
        </w:tabs>
      </w:pPr>
      <w:r>
        <w:rPr>
          <w:snapToGrid w:val="0"/>
        </w:rPr>
        <w:fldChar w:fldCharType="begin"/>
      </w:r>
      <w:r>
        <w:rPr>
          <w:snapToGrid w:val="0"/>
        </w:rPr>
        <w:instrText xml:space="preserve"> HYPERLINK \l _Toc12912 </w:instrText>
      </w:r>
      <w:r>
        <w:rPr>
          <w:snapToGrid w:val="0"/>
        </w:rPr>
        <w:fldChar w:fldCharType="separate"/>
      </w:r>
      <w:r>
        <w:rPr>
          <w:rFonts w:hint="eastAsia"/>
        </w:rPr>
        <w:t>5.4.2</w:t>
      </w:r>
      <w:r>
        <w:rPr>
          <w:rFonts w:hint="eastAsia"/>
          <w:lang w:val="en-US" w:eastAsia="zh-CN"/>
        </w:rPr>
        <w:t xml:space="preserve">  </w:t>
      </w:r>
      <w:r>
        <w:rPr>
          <w:rFonts w:hint="eastAsia"/>
        </w:rPr>
        <w:t>攻击方法</w:t>
      </w:r>
      <w:r>
        <w:tab/>
      </w:r>
      <w:r>
        <w:fldChar w:fldCharType="begin"/>
      </w:r>
      <w:r>
        <w:instrText xml:space="preserve"> PAGEREF _Toc12912 \h </w:instrText>
      </w:r>
      <w:r>
        <w:fldChar w:fldCharType="separate"/>
      </w:r>
      <w:r>
        <w:t>51</w:t>
      </w:r>
      <w:r>
        <w:fldChar w:fldCharType="end"/>
      </w:r>
      <w:r>
        <w:rPr>
          <w:snapToGrid w:val="0"/>
        </w:rPr>
        <w:fldChar w:fldCharType="end"/>
      </w:r>
    </w:p>
    <w:p w14:paraId="3793D1A9">
      <w:pPr>
        <w:pStyle w:val="13"/>
        <w:tabs>
          <w:tab w:val="right" w:leader="dot" w:pos="8312"/>
        </w:tabs>
      </w:pPr>
      <w:r>
        <w:rPr>
          <w:snapToGrid w:val="0"/>
        </w:rPr>
        <w:fldChar w:fldCharType="begin"/>
      </w:r>
      <w:r>
        <w:rPr>
          <w:snapToGrid w:val="0"/>
        </w:rPr>
        <w:instrText xml:space="preserve"> HYPERLINK \l _Toc7868 </w:instrText>
      </w:r>
      <w:r>
        <w:rPr>
          <w:snapToGrid w:val="0"/>
        </w:rPr>
        <w:fldChar w:fldCharType="separate"/>
      </w:r>
      <w:r>
        <w:rPr>
          <w:rFonts w:hint="eastAsia"/>
        </w:rPr>
        <w:t>5.4.3</w:t>
      </w:r>
      <w:r>
        <w:rPr>
          <w:rFonts w:hint="eastAsia"/>
          <w:lang w:val="en-US" w:eastAsia="zh-CN"/>
        </w:rPr>
        <w:t xml:space="preserve">  </w:t>
      </w:r>
      <w:r>
        <w:rPr>
          <w:rFonts w:hint="eastAsia"/>
        </w:rPr>
        <w:t>防御基线方法</w:t>
      </w:r>
      <w:r>
        <w:tab/>
      </w:r>
      <w:r>
        <w:fldChar w:fldCharType="begin"/>
      </w:r>
      <w:r>
        <w:instrText xml:space="preserve"> PAGEREF _Toc7868 \h </w:instrText>
      </w:r>
      <w:r>
        <w:fldChar w:fldCharType="separate"/>
      </w:r>
      <w:r>
        <w:t>51</w:t>
      </w:r>
      <w:r>
        <w:fldChar w:fldCharType="end"/>
      </w:r>
      <w:r>
        <w:rPr>
          <w:snapToGrid w:val="0"/>
        </w:rPr>
        <w:fldChar w:fldCharType="end"/>
      </w:r>
    </w:p>
    <w:p w14:paraId="06A29B8F">
      <w:pPr>
        <w:pStyle w:val="13"/>
        <w:tabs>
          <w:tab w:val="right" w:leader="dot" w:pos="8312"/>
        </w:tabs>
      </w:pPr>
      <w:r>
        <w:rPr>
          <w:snapToGrid w:val="0"/>
        </w:rPr>
        <w:fldChar w:fldCharType="begin"/>
      </w:r>
      <w:r>
        <w:rPr>
          <w:snapToGrid w:val="0"/>
        </w:rPr>
        <w:instrText xml:space="preserve"> HYPERLINK \l _Toc5866 </w:instrText>
      </w:r>
      <w:r>
        <w:rPr>
          <w:snapToGrid w:val="0"/>
        </w:rPr>
        <w:fldChar w:fldCharType="separate"/>
      </w:r>
      <w:r>
        <w:rPr>
          <w:rFonts w:hint="eastAsia"/>
        </w:rPr>
        <w:t>5.4.4</w:t>
      </w:r>
      <w:r>
        <w:rPr>
          <w:rFonts w:hint="eastAsia"/>
          <w:lang w:val="en-US" w:eastAsia="zh-CN"/>
        </w:rPr>
        <w:t xml:space="preserve">  </w:t>
      </w:r>
      <w:r>
        <w:rPr>
          <w:rFonts w:hint="eastAsia"/>
        </w:rPr>
        <w:t>实验设计</w:t>
      </w:r>
      <w:r>
        <w:tab/>
      </w:r>
      <w:r>
        <w:fldChar w:fldCharType="begin"/>
      </w:r>
      <w:r>
        <w:instrText xml:space="preserve"> PAGEREF _Toc5866 \h </w:instrText>
      </w:r>
      <w:r>
        <w:fldChar w:fldCharType="separate"/>
      </w:r>
      <w:r>
        <w:t>51</w:t>
      </w:r>
      <w:r>
        <w:fldChar w:fldCharType="end"/>
      </w:r>
      <w:r>
        <w:rPr>
          <w:snapToGrid w:val="0"/>
        </w:rPr>
        <w:fldChar w:fldCharType="end"/>
      </w:r>
    </w:p>
    <w:p w14:paraId="6C382DFB">
      <w:pPr>
        <w:pStyle w:val="13"/>
        <w:tabs>
          <w:tab w:val="right" w:leader="dot" w:pos="8312"/>
        </w:tabs>
      </w:pPr>
      <w:r>
        <w:rPr>
          <w:snapToGrid w:val="0"/>
        </w:rPr>
        <w:fldChar w:fldCharType="begin"/>
      </w:r>
      <w:r>
        <w:rPr>
          <w:snapToGrid w:val="0"/>
        </w:rPr>
        <w:instrText xml:space="preserve"> HYPERLINK \l _Toc2137 </w:instrText>
      </w:r>
      <w:r>
        <w:rPr>
          <w:snapToGrid w:val="0"/>
        </w:rPr>
        <w:fldChar w:fldCharType="separate"/>
      </w:r>
      <w:r>
        <w:rPr>
          <w:rFonts w:hint="eastAsia"/>
        </w:rPr>
        <w:t>5.4.5</w:t>
      </w:r>
      <w:r>
        <w:rPr>
          <w:rFonts w:hint="eastAsia"/>
          <w:lang w:val="en-US" w:eastAsia="zh-CN"/>
        </w:rPr>
        <w:t xml:space="preserve">  </w:t>
      </w:r>
      <w:r>
        <w:rPr>
          <w:rFonts w:hint="eastAsia"/>
        </w:rPr>
        <w:t>实验结果与分析</w:t>
      </w:r>
      <w:r>
        <w:tab/>
      </w:r>
      <w:r>
        <w:fldChar w:fldCharType="begin"/>
      </w:r>
      <w:r>
        <w:instrText xml:space="preserve"> PAGEREF _Toc2137 \h </w:instrText>
      </w:r>
      <w:r>
        <w:fldChar w:fldCharType="separate"/>
      </w:r>
      <w:r>
        <w:t>53</w:t>
      </w:r>
      <w:r>
        <w:fldChar w:fldCharType="end"/>
      </w:r>
      <w:r>
        <w:rPr>
          <w:snapToGrid w:val="0"/>
        </w:rPr>
        <w:fldChar w:fldCharType="end"/>
      </w:r>
    </w:p>
    <w:p w14:paraId="1F1115B0">
      <w:pPr>
        <w:pStyle w:val="24"/>
        <w:tabs>
          <w:tab w:val="right" w:leader="dot" w:pos="8312"/>
        </w:tabs>
      </w:pPr>
      <w:r>
        <w:rPr>
          <w:snapToGrid w:val="0"/>
        </w:rPr>
        <w:fldChar w:fldCharType="begin"/>
      </w:r>
      <w:r>
        <w:rPr>
          <w:snapToGrid w:val="0"/>
        </w:rPr>
        <w:instrText xml:space="preserve"> HYPERLINK \l _Toc12949 </w:instrText>
      </w:r>
      <w:r>
        <w:rPr>
          <w:snapToGrid w:val="0"/>
        </w:rPr>
        <w:fldChar w:fldCharType="separate"/>
      </w:r>
      <w:r>
        <w:rPr>
          <w:rFonts w:hint="eastAsia"/>
        </w:rPr>
        <w:t>5</w:t>
      </w:r>
      <w:r>
        <w:t>.</w:t>
      </w:r>
      <w:r>
        <w:rPr>
          <w:rFonts w:hint="eastAsia"/>
        </w:rPr>
        <w:t>5</w:t>
      </w:r>
      <w:r>
        <w:t xml:space="preserve">  本章小结</w:t>
      </w:r>
      <w:r>
        <w:tab/>
      </w:r>
      <w:r>
        <w:fldChar w:fldCharType="begin"/>
      </w:r>
      <w:r>
        <w:instrText xml:space="preserve"> PAGEREF _Toc12949 \h </w:instrText>
      </w:r>
      <w:r>
        <w:fldChar w:fldCharType="separate"/>
      </w:r>
      <w:r>
        <w:t>56</w:t>
      </w:r>
      <w:r>
        <w:fldChar w:fldCharType="end"/>
      </w:r>
      <w:r>
        <w:rPr>
          <w:snapToGrid w:val="0"/>
        </w:rPr>
        <w:fldChar w:fldCharType="end"/>
      </w:r>
    </w:p>
    <w:p w14:paraId="6E31BA8D">
      <w:pPr>
        <w:pStyle w:val="20"/>
        <w:tabs>
          <w:tab w:val="right" w:leader="dot" w:pos="8312"/>
        </w:tabs>
      </w:pPr>
      <w:r>
        <w:rPr>
          <w:snapToGrid w:val="0"/>
        </w:rPr>
        <w:fldChar w:fldCharType="begin"/>
      </w:r>
      <w:r>
        <w:rPr>
          <w:snapToGrid w:val="0"/>
        </w:rPr>
        <w:instrText xml:space="preserve"> HYPERLINK \l _Toc21244 </w:instrText>
      </w:r>
      <w:r>
        <w:rPr>
          <w:snapToGrid w:val="0"/>
        </w:rPr>
        <w:fldChar w:fldCharType="separate"/>
      </w:r>
      <w:r>
        <w:t>第</w:t>
      </w:r>
      <w:r>
        <w:rPr>
          <w:rFonts w:hint="eastAsia"/>
        </w:rPr>
        <w:t>六</w:t>
      </w:r>
      <w:r>
        <w:t xml:space="preserve">章  </w:t>
      </w:r>
      <w:r>
        <w:rPr>
          <w:rFonts w:hint="eastAsia"/>
        </w:rPr>
        <w:t>电力人工智能应用的安全靶场系统设计与实现</w:t>
      </w:r>
      <w:r>
        <w:tab/>
      </w:r>
      <w:r>
        <w:fldChar w:fldCharType="begin"/>
      </w:r>
      <w:r>
        <w:instrText xml:space="preserve"> PAGEREF _Toc21244 \h </w:instrText>
      </w:r>
      <w:r>
        <w:fldChar w:fldCharType="separate"/>
      </w:r>
      <w:r>
        <w:t>57</w:t>
      </w:r>
      <w:r>
        <w:fldChar w:fldCharType="end"/>
      </w:r>
      <w:r>
        <w:rPr>
          <w:snapToGrid w:val="0"/>
        </w:rPr>
        <w:fldChar w:fldCharType="end"/>
      </w:r>
    </w:p>
    <w:p w14:paraId="4F1EA7D7">
      <w:pPr>
        <w:pStyle w:val="24"/>
        <w:tabs>
          <w:tab w:val="right" w:leader="dot" w:pos="8312"/>
        </w:tabs>
      </w:pPr>
      <w:r>
        <w:rPr>
          <w:snapToGrid w:val="0"/>
        </w:rPr>
        <w:fldChar w:fldCharType="begin"/>
      </w:r>
      <w:r>
        <w:rPr>
          <w:snapToGrid w:val="0"/>
        </w:rPr>
        <w:instrText xml:space="preserve"> HYPERLINK \l _Toc1126 </w:instrText>
      </w:r>
      <w:r>
        <w:rPr>
          <w:snapToGrid w:val="0"/>
        </w:rPr>
        <w:fldChar w:fldCharType="separate"/>
      </w:r>
      <w:r>
        <w:rPr>
          <w:rFonts w:hint="eastAsia"/>
        </w:rPr>
        <w:t>6</w:t>
      </w:r>
      <w:r>
        <w:t>.1</w:t>
      </w:r>
      <w:r>
        <w:rPr>
          <w:rFonts w:hint="eastAsia"/>
        </w:rPr>
        <w:t xml:space="preserve">  需求分析</w:t>
      </w:r>
      <w:r>
        <w:tab/>
      </w:r>
      <w:r>
        <w:fldChar w:fldCharType="begin"/>
      </w:r>
      <w:r>
        <w:instrText xml:space="preserve"> PAGEREF _Toc1126 \h </w:instrText>
      </w:r>
      <w:r>
        <w:fldChar w:fldCharType="separate"/>
      </w:r>
      <w:r>
        <w:t>57</w:t>
      </w:r>
      <w:r>
        <w:fldChar w:fldCharType="end"/>
      </w:r>
      <w:r>
        <w:rPr>
          <w:snapToGrid w:val="0"/>
        </w:rPr>
        <w:fldChar w:fldCharType="end"/>
      </w:r>
    </w:p>
    <w:p w14:paraId="3B316688">
      <w:pPr>
        <w:pStyle w:val="13"/>
        <w:tabs>
          <w:tab w:val="right" w:leader="dot" w:pos="8312"/>
        </w:tabs>
      </w:pPr>
      <w:r>
        <w:rPr>
          <w:snapToGrid w:val="0"/>
        </w:rPr>
        <w:fldChar w:fldCharType="begin"/>
      </w:r>
      <w:r>
        <w:rPr>
          <w:snapToGrid w:val="0"/>
        </w:rPr>
        <w:instrText xml:space="preserve"> HYPERLINK \l _Toc10364 </w:instrText>
      </w:r>
      <w:r>
        <w:rPr>
          <w:snapToGrid w:val="0"/>
        </w:rPr>
        <w:fldChar w:fldCharType="separate"/>
      </w:r>
      <w:r>
        <w:rPr>
          <w:rFonts w:hint="eastAsia"/>
        </w:rPr>
        <w:t>6.1.1</w:t>
      </w:r>
      <w:r>
        <w:rPr>
          <w:rFonts w:hint="eastAsia"/>
          <w:lang w:val="en-US" w:eastAsia="zh-CN"/>
        </w:rPr>
        <w:t xml:space="preserve">  </w:t>
      </w:r>
      <w:r>
        <w:rPr>
          <w:rFonts w:hint="eastAsia"/>
        </w:rPr>
        <w:t>攻防演练流程</w:t>
      </w:r>
      <w:r>
        <w:tab/>
      </w:r>
      <w:r>
        <w:fldChar w:fldCharType="begin"/>
      </w:r>
      <w:r>
        <w:instrText xml:space="preserve"> PAGEREF _Toc10364 \h </w:instrText>
      </w:r>
      <w:r>
        <w:fldChar w:fldCharType="separate"/>
      </w:r>
      <w:r>
        <w:t>57</w:t>
      </w:r>
      <w:r>
        <w:fldChar w:fldCharType="end"/>
      </w:r>
      <w:r>
        <w:rPr>
          <w:snapToGrid w:val="0"/>
        </w:rPr>
        <w:fldChar w:fldCharType="end"/>
      </w:r>
    </w:p>
    <w:p w14:paraId="6C36B844">
      <w:pPr>
        <w:pStyle w:val="13"/>
        <w:tabs>
          <w:tab w:val="right" w:leader="dot" w:pos="8312"/>
        </w:tabs>
      </w:pPr>
      <w:r>
        <w:rPr>
          <w:snapToGrid w:val="0"/>
        </w:rPr>
        <w:fldChar w:fldCharType="begin"/>
      </w:r>
      <w:r>
        <w:rPr>
          <w:snapToGrid w:val="0"/>
        </w:rPr>
        <w:instrText xml:space="preserve"> HYPERLINK \l _Toc683 </w:instrText>
      </w:r>
      <w:r>
        <w:rPr>
          <w:snapToGrid w:val="0"/>
        </w:rPr>
        <w:fldChar w:fldCharType="separate"/>
      </w:r>
      <w:r>
        <w:rPr>
          <w:rFonts w:hint="eastAsia"/>
        </w:rPr>
        <w:t>6.1.2</w:t>
      </w:r>
      <w:r>
        <w:rPr>
          <w:rFonts w:hint="eastAsia"/>
          <w:lang w:val="en-US" w:eastAsia="zh-CN"/>
        </w:rPr>
        <w:t xml:space="preserve">  </w:t>
      </w:r>
      <w:r>
        <w:rPr>
          <w:rFonts w:hint="eastAsia"/>
        </w:rPr>
        <w:t>功能性需求</w:t>
      </w:r>
      <w:r>
        <w:tab/>
      </w:r>
      <w:r>
        <w:fldChar w:fldCharType="begin"/>
      </w:r>
      <w:r>
        <w:instrText xml:space="preserve"> PAGEREF _Toc683 \h </w:instrText>
      </w:r>
      <w:r>
        <w:fldChar w:fldCharType="separate"/>
      </w:r>
      <w:r>
        <w:t>58</w:t>
      </w:r>
      <w:r>
        <w:fldChar w:fldCharType="end"/>
      </w:r>
      <w:r>
        <w:rPr>
          <w:snapToGrid w:val="0"/>
        </w:rPr>
        <w:fldChar w:fldCharType="end"/>
      </w:r>
    </w:p>
    <w:p w14:paraId="481E937C">
      <w:pPr>
        <w:pStyle w:val="13"/>
        <w:tabs>
          <w:tab w:val="right" w:leader="dot" w:pos="8312"/>
        </w:tabs>
      </w:pPr>
      <w:r>
        <w:rPr>
          <w:snapToGrid w:val="0"/>
        </w:rPr>
        <w:fldChar w:fldCharType="begin"/>
      </w:r>
      <w:r>
        <w:rPr>
          <w:snapToGrid w:val="0"/>
        </w:rPr>
        <w:instrText xml:space="preserve"> HYPERLINK \l _Toc4730 </w:instrText>
      </w:r>
      <w:r>
        <w:rPr>
          <w:snapToGrid w:val="0"/>
        </w:rPr>
        <w:fldChar w:fldCharType="separate"/>
      </w:r>
      <w:r>
        <w:rPr>
          <w:rFonts w:hint="eastAsia"/>
        </w:rPr>
        <w:t>6.1.3</w:t>
      </w:r>
      <w:r>
        <w:rPr>
          <w:rFonts w:hint="eastAsia"/>
          <w:lang w:val="en-US" w:eastAsia="zh-CN"/>
        </w:rPr>
        <w:t xml:space="preserve">  </w:t>
      </w:r>
      <w:r>
        <w:rPr>
          <w:rFonts w:hint="eastAsia"/>
        </w:rPr>
        <w:t>非功能性需求</w:t>
      </w:r>
      <w:r>
        <w:tab/>
      </w:r>
      <w:r>
        <w:fldChar w:fldCharType="begin"/>
      </w:r>
      <w:r>
        <w:instrText xml:space="preserve"> PAGEREF _Toc4730 \h </w:instrText>
      </w:r>
      <w:r>
        <w:fldChar w:fldCharType="separate"/>
      </w:r>
      <w:r>
        <w:t>59</w:t>
      </w:r>
      <w:r>
        <w:fldChar w:fldCharType="end"/>
      </w:r>
      <w:r>
        <w:rPr>
          <w:snapToGrid w:val="0"/>
        </w:rPr>
        <w:fldChar w:fldCharType="end"/>
      </w:r>
    </w:p>
    <w:p w14:paraId="1A052DAF">
      <w:pPr>
        <w:pStyle w:val="24"/>
        <w:tabs>
          <w:tab w:val="right" w:leader="dot" w:pos="8312"/>
        </w:tabs>
      </w:pPr>
      <w:r>
        <w:rPr>
          <w:snapToGrid w:val="0"/>
        </w:rPr>
        <w:fldChar w:fldCharType="begin"/>
      </w:r>
      <w:r>
        <w:rPr>
          <w:snapToGrid w:val="0"/>
        </w:rPr>
        <w:instrText xml:space="preserve"> HYPERLINK \l _Toc29411 </w:instrText>
      </w:r>
      <w:r>
        <w:rPr>
          <w:snapToGrid w:val="0"/>
        </w:rPr>
        <w:fldChar w:fldCharType="separate"/>
      </w:r>
      <w:r>
        <w:rPr>
          <w:rFonts w:hint="eastAsia"/>
        </w:rPr>
        <w:t>6</w:t>
      </w:r>
      <w:r>
        <w:t>.</w:t>
      </w:r>
      <w:r>
        <w:rPr>
          <w:rFonts w:hint="eastAsia"/>
        </w:rPr>
        <w:t>2  系统概要设计</w:t>
      </w:r>
      <w:r>
        <w:tab/>
      </w:r>
      <w:r>
        <w:fldChar w:fldCharType="begin"/>
      </w:r>
      <w:r>
        <w:instrText xml:space="preserve"> PAGEREF _Toc29411 \h </w:instrText>
      </w:r>
      <w:r>
        <w:fldChar w:fldCharType="separate"/>
      </w:r>
      <w:r>
        <w:t>60</w:t>
      </w:r>
      <w:r>
        <w:fldChar w:fldCharType="end"/>
      </w:r>
      <w:r>
        <w:rPr>
          <w:snapToGrid w:val="0"/>
        </w:rPr>
        <w:fldChar w:fldCharType="end"/>
      </w:r>
    </w:p>
    <w:p w14:paraId="12F64A92">
      <w:pPr>
        <w:pStyle w:val="13"/>
        <w:tabs>
          <w:tab w:val="right" w:leader="dot" w:pos="8312"/>
        </w:tabs>
      </w:pPr>
      <w:r>
        <w:rPr>
          <w:snapToGrid w:val="0"/>
        </w:rPr>
        <w:fldChar w:fldCharType="begin"/>
      </w:r>
      <w:r>
        <w:rPr>
          <w:snapToGrid w:val="0"/>
        </w:rPr>
        <w:instrText xml:space="preserve"> HYPERLINK \l _Toc8534 </w:instrText>
      </w:r>
      <w:r>
        <w:rPr>
          <w:snapToGrid w:val="0"/>
        </w:rPr>
        <w:fldChar w:fldCharType="separate"/>
      </w:r>
      <w:r>
        <w:rPr>
          <w:rFonts w:hint="eastAsia"/>
        </w:rPr>
        <w:t>6.2.1</w:t>
      </w:r>
      <w:r>
        <w:rPr>
          <w:rFonts w:hint="eastAsia"/>
          <w:lang w:val="en-US" w:eastAsia="zh-CN"/>
        </w:rPr>
        <w:t xml:space="preserve">  </w:t>
      </w:r>
      <w:r>
        <w:rPr>
          <w:rFonts w:hint="eastAsia"/>
        </w:rPr>
        <w:t>架构设计</w:t>
      </w:r>
      <w:r>
        <w:tab/>
      </w:r>
      <w:r>
        <w:fldChar w:fldCharType="begin"/>
      </w:r>
      <w:r>
        <w:instrText xml:space="preserve"> PAGEREF _Toc8534 \h </w:instrText>
      </w:r>
      <w:r>
        <w:fldChar w:fldCharType="separate"/>
      </w:r>
      <w:r>
        <w:t>60</w:t>
      </w:r>
      <w:r>
        <w:fldChar w:fldCharType="end"/>
      </w:r>
      <w:r>
        <w:rPr>
          <w:snapToGrid w:val="0"/>
        </w:rPr>
        <w:fldChar w:fldCharType="end"/>
      </w:r>
    </w:p>
    <w:p w14:paraId="27FB132B">
      <w:pPr>
        <w:pStyle w:val="13"/>
        <w:tabs>
          <w:tab w:val="right" w:leader="dot" w:pos="8312"/>
        </w:tabs>
      </w:pPr>
      <w:r>
        <w:rPr>
          <w:snapToGrid w:val="0"/>
        </w:rPr>
        <w:fldChar w:fldCharType="begin"/>
      </w:r>
      <w:r>
        <w:rPr>
          <w:snapToGrid w:val="0"/>
        </w:rPr>
        <w:instrText xml:space="preserve"> HYPERLINK \l _Toc26980 </w:instrText>
      </w:r>
      <w:r>
        <w:rPr>
          <w:snapToGrid w:val="0"/>
        </w:rPr>
        <w:fldChar w:fldCharType="separate"/>
      </w:r>
      <w:r>
        <w:rPr>
          <w:rFonts w:hint="eastAsia"/>
        </w:rPr>
        <w:t>6.2.2</w:t>
      </w:r>
      <w:r>
        <w:rPr>
          <w:rFonts w:hint="eastAsia"/>
          <w:lang w:val="en-US" w:eastAsia="zh-CN"/>
        </w:rPr>
        <w:t xml:space="preserve">  </w:t>
      </w:r>
      <w:r>
        <w:rPr>
          <w:rFonts w:hint="eastAsia"/>
        </w:rPr>
        <w:t>功能模块设计</w:t>
      </w:r>
      <w:r>
        <w:tab/>
      </w:r>
      <w:r>
        <w:fldChar w:fldCharType="begin"/>
      </w:r>
      <w:r>
        <w:instrText xml:space="preserve"> PAGEREF _Toc26980 \h </w:instrText>
      </w:r>
      <w:r>
        <w:fldChar w:fldCharType="separate"/>
      </w:r>
      <w:r>
        <w:t>61</w:t>
      </w:r>
      <w:r>
        <w:fldChar w:fldCharType="end"/>
      </w:r>
      <w:r>
        <w:rPr>
          <w:snapToGrid w:val="0"/>
        </w:rPr>
        <w:fldChar w:fldCharType="end"/>
      </w:r>
    </w:p>
    <w:p w14:paraId="7C86D936">
      <w:pPr>
        <w:pStyle w:val="24"/>
        <w:tabs>
          <w:tab w:val="right" w:leader="dot" w:pos="8312"/>
        </w:tabs>
      </w:pPr>
      <w:r>
        <w:rPr>
          <w:snapToGrid w:val="0"/>
        </w:rPr>
        <w:fldChar w:fldCharType="begin"/>
      </w:r>
      <w:r>
        <w:rPr>
          <w:snapToGrid w:val="0"/>
        </w:rPr>
        <w:instrText xml:space="preserve"> HYPERLINK \l _Toc4024 </w:instrText>
      </w:r>
      <w:r>
        <w:rPr>
          <w:snapToGrid w:val="0"/>
        </w:rPr>
        <w:fldChar w:fldCharType="separate"/>
      </w:r>
      <w:r>
        <w:rPr>
          <w:rFonts w:hint="eastAsia"/>
        </w:rPr>
        <w:t>6</w:t>
      </w:r>
      <w:r>
        <w:t>.</w:t>
      </w:r>
      <w:r>
        <w:rPr>
          <w:rFonts w:hint="eastAsia"/>
        </w:rPr>
        <w:t>3  系统详细设计与实现</w:t>
      </w:r>
      <w:r>
        <w:tab/>
      </w:r>
      <w:r>
        <w:fldChar w:fldCharType="begin"/>
      </w:r>
      <w:r>
        <w:instrText xml:space="preserve"> PAGEREF _Toc4024 \h </w:instrText>
      </w:r>
      <w:r>
        <w:fldChar w:fldCharType="separate"/>
      </w:r>
      <w:r>
        <w:t>62</w:t>
      </w:r>
      <w:r>
        <w:fldChar w:fldCharType="end"/>
      </w:r>
      <w:r>
        <w:rPr>
          <w:snapToGrid w:val="0"/>
        </w:rPr>
        <w:fldChar w:fldCharType="end"/>
      </w:r>
    </w:p>
    <w:p w14:paraId="61498711">
      <w:pPr>
        <w:pStyle w:val="13"/>
        <w:tabs>
          <w:tab w:val="right" w:leader="dot" w:pos="8312"/>
        </w:tabs>
      </w:pPr>
      <w:r>
        <w:rPr>
          <w:snapToGrid w:val="0"/>
        </w:rPr>
        <w:fldChar w:fldCharType="begin"/>
      </w:r>
      <w:r>
        <w:rPr>
          <w:snapToGrid w:val="0"/>
        </w:rPr>
        <w:instrText xml:space="preserve"> HYPERLINK \l _Toc30518 </w:instrText>
      </w:r>
      <w:r>
        <w:rPr>
          <w:snapToGrid w:val="0"/>
        </w:rPr>
        <w:fldChar w:fldCharType="separate"/>
      </w:r>
      <w:r>
        <w:rPr>
          <w:rFonts w:hint="eastAsia"/>
        </w:rPr>
        <w:t>6.3.1  靶标环境管理</w:t>
      </w:r>
      <w:r>
        <w:tab/>
      </w:r>
      <w:r>
        <w:fldChar w:fldCharType="begin"/>
      </w:r>
      <w:r>
        <w:instrText xml:space="preserve"> PAGEREF _Toc30518 \h </w:instrText>
      </w:r>
      <w:r>
        <w:fldChar w:fldCharType="separate"/>
      </w:r>
      <w:r>
        <w:t>62</w:t>
      </w:r>
      <w:r>
        <w:fldChar w:fldCharType="end"/>
      </w:r>
      <w:r>
        <w:rPr>
          <w:snapToGrid w:val="0"/>
        </w:rPr>
        <w:fldChar w:fldCharType="end"/>
      </w:r>
    </w:p>
    <w:p w14:paraId="41036F04">
      <w:pPr>
        <w:pStyle w:val="13"/>
        <w:tabs>
          <w:tab w:val="right" w:leader="dot" w:pos="8312"/>
        </w:tabs>
      </w:pPr>
      <w:r>
        <w:rPr>
          <w:snapToGrid w:val="0"/>
        </w:rPr>
        <w:fldChar w:fldCharType="begin"/>
      </w:r>
      <w:r>
        <w:rPr>
          <w:snapToGrid w:val="0"/>
        </w:rPr>
        <w:instrText xml:space="preserve"> HYPERLINK \l _Toc28542 </w:instrText>
      </w:r>
      <w:r>
        <w:rPr>
          <w:snapToGrid w:val="0"/>
        </w:rPr>
        <w:fldChar w:fldCharType="separate"/>
      </w:r>
      <w:r>
        <w:rPr>
          <w:rFonts w:hint="eastAsia"/>
        </w:rPr>
        <w:t>6.3.2  红方攻击</w:t>
      </w:r>
      <w:r>
        <w:tab/>
      </w:r>
      <w:r>
        <w:fldChar w:fldCharType="begin"/>
      </w:r>
      <w:r>
        <w:instrText xml:space="preserve"> PAGEREF _Toc28542 \h </w:instrText>
      </w:r>
      <w:r>
        <w:fldChar w:fldCharType="separate"/>
      </w:r>
      <w:r>
        <w:t>63</w:t>
      </w:r>
      <w:r>
        <w:fldChar w:fldCharType="end"/>
      </w:r>
      <w:r>
        <w:rPr>
          <w:snapToGrid w:val="0"/>
        </w:rPr>
        <w:fldChar w:fldCharType="end"/>
      </w:r>
    </w:p>
    <w:p w14:paraId="2E7E1515">
      <w:pPr>
        <w:pStyle w:val="13"/>
        <w:tabs>
          <w:tab w:val="right" w:leader="dot" w:pos="8312"/>
        </w:tabs>
      </w:pPr>
      <w:r>
        <w:rPr>
          <w:snapToGrid w:val="0"/>
        </w:rPr>
        <w:fldChar w:fldCharType="begin"/>
      </w:r>
      <w:r>
        <w:rPr>
          <w:snapToGrid w:val="0"/>
        </w:rPr>
        <w:instrText xml:space="preserve"> HYPERLINK \l _Toc32718 </w:instrText>
      </w:r>
      <w:r>
        <w:rPr>
          <w:snapToGrid w:val="0"/>
        </w:rPr>
        <w:fldChar w:fldCharType="separate"/>
      </w:r>
      <w:r>
        <w:rPr>
          <w:rFonts w:hint="eastAsia"/>
        </w:rPr>
        <w:t>6.3.3  蓝方防御</w:t>
      </w:r>
      <w:r>
        <w:tab/>
      </w:r>
      <w:r>
        <w:fldChar w:fldCharType="begin"/>
      </w:r>
      <w:r>
        <w:instrText xml:space="preserve"> PAGEREF _Toc32718 \h </w:instrText>
      </w:r>
      <w:r>
        <w:fldChar w:fldCharType="separate"/>
      </w:r>
      <w:r>
        <w:t>64</w:t>
      </w:r>
      <w:r>
        <w:fldChar w:fldCharType="end"/>
      </w:r>
      <w:r>
        <w:rPr>
          <w:snapToGrid w:val="0"/>
        </w:rPr>
        <w:fldChar w:fldCharType="end"/>
      </w:r>
    </w:p>
    <w:p w14:paraId="0770889D">
      <w:pPr>
        <w:pStyle w:val="13"/>
        <w:tabs>
          <w:tab w:val="right" w:leader="dot" w:pos="8312"/>
        </w:tabs>
      </w:pPr>
      <w:r>
        <w:rPr>
          <w:snapToGrid w:val="0"/>
        </w:rPr>
        <w:fldChar w:fldCharType="begin"/>
      </w:r>
      <w:r>
        <w:rPr>
          <w:snapToGrid w:val="0"/>
        </w:rPr>
        <w:instrText xml:space="preserve"> HYPERLINK \l _Toc4885 </w:instrText>
      </w:r>
      <w:r>
        <w:rPr>
          <w:snapToGrid w:val="0"/>
        </w:rPr>
        <w:fldChar w:fldCharType="separate"/>
      </w:r>
      <w:r>
        <w:rPr>
          <w:rFonts w:hint="eastAsia"/>
        </w:rPr>
        <w:t>6.3.4  态势感知与预案生成</w:t>
      </w:r>
      <w:r>
        <w:tab/>
      </w:r>
      <w:r>
        <w:fldChar w:fldCharType="begin"/>
      </w:r>
      <w:r>
        <w:instrText xml:space="preserve"> PAGEREF _Toc4885 \h </w:instrText>
      </w:r>
      <w:r>
        <w:fldChar w:fldCharType="separate"/>
      </w:r>
      <w:r>
        <w:t>64</w:t>
      </w:r>
      <w:r>
        <w:fldChar w:fldCharType="end"/>
      </w:r>
      <w:r>
        <w:rPr>
          <w:snapToGrid w:val="0"/>
        </w:rPr>
        <w:fldChar w:fldCharType="end"/>
      </w:r>
    </w:p>
    <w:p w14:paraId="2A7EA9C7">
      <w:pPr>
        <w:pStyle w:val="13"/>
        <w:tabs>
          <w:tab w:val="right" w:leader="dot" w:pos="8312"/>
        </w:tabs>
      </w:pPr>
      <w:r>
        <w:rPr>
          <w:snapToGrid w:val="0"/>
        </w:rPr>
        <w:fldChar w:fldCharType="begin"/>
      </w:r>
      <w:r>
        <w:rPr>
          <w:snapToGrid w:val="0"/>
        </w:rPr>
        <w:instrText xml:space="preserve"> HYPERLINK \l _Toc15755 </w:instrText>
      </w:r>
      <w:r>
        <w:rPr>
          <w:snapToGrid w:val="0"/>
        </w:rPr>
        <w:fldChar w:fldCharType="separate"/>
      </w:r>
      <w:r>
        <w:rPr>
          <w:rFonts w:hint="eastAsia"/>
        </w:rPr>
        <w:t>6.3.5  演练导调与评估</w:t>
      </w:r>
      <w:r>
        <w:tab/>
      </w:r>
      <w:r>
        <w:fldChar w:fldCharType="begin"/>
      </w:r>
      <w:r>
        <w:instrText xml:space="preserve"> PAGEREF _Toc15755 \h </w:instrText>
      </w:r>
      <w:r>
        <w:fldChar w:fldCharType="separate"/>
      </w:r>
      <w:r>
        <w:t>65</w:t>
      </w:r>
      <w:r>
        <w:fldChar w:fldCharType="end"/>
      </w:r>
      <w:r>
        <w:rPr>
          <w:snapToGrid w:val="0"/>
        </w:rPr>
        <w:fldChar w:fldCharType="end"/>
      </w:r>
    </w:p>
    <w:p w14:paraId="444BD347">
      <w:pPr>
        <w:pStyle w:val="24"/>
        <w:tabs>
          <w:tab w:val="right" w:leader="dot" w:pos="8312"/>
        </w:tabs>
      </w:pPr>
      <w:r>
        <w:rPr>
          <w:snapToGrid w:val="0"/>
        </w:rPr>
        <w:fldChar w:fldCharType="begin"/>
      </w:r>
      <w:r>
        <w:rPr>
          <w:snapToGrid w:val="0"/>
        </w:rPr>
        <w:instrText xml:space="preserve"> HYPERLINK \l _Toc15996 </w:instrText>
      </w:r>
      <w:r>
        <w:rPr>
          <w:snapToGrid w:val="0"/>
        </w:rPr>
        <w:fldChar w:fldCharType="separate"/>
      </w:r>
      <w:r>
        <w:rPr>
          <w:rFonts w:hint="eastAsia"/>
        </w:rPr>
        <w:t>6</w:t>
      </w:r>
      <w:r>
        <w:t>.</w:t>
      </w:r>
      <w:r>
        <w:rPr>
          <w:rFonts w:hint="eastAsia"/>
        </w:rPr>
        <w:t>4  系统部署与测试</w:t>
      </w:r>
      <w:r>
        <w:tab/>
      </w:r>
      <w:r>
        <w:fldChar w:fldCharType="begin"/>
      </w:r>
      <w:r>
        <w:instrText xml:space="preserve"> PAGEREF _Toc15996 \h </w:instrText>
      </w:r>
      <w:r>
        <w:fldChar w:fldCharType="separate"/>
      </w:r>
      <w:r>
        <w:t>66</w:t>
      </w:r>
      <w:r>
        <w:fldChar w:fldCharType="end"/>
      </w:r>
      <w:r>
        <w:rPr>
          <w:snapToGrid w:val="0"/>
        </w:rPr>
        <w:fldChar w:fldCharType="end"/>
      </w:r>
    </w:p>
    <w:p w14:paraId="64FCA123">
      <w:pPr>
        <w:pStyle w:val="13"/>
        <w:tabs>
          <w:tab w:val="right" w:leader="dot" w:pos="8312"/>
        </w:tabs>
      </w:pPr>
      <w:r>
        <w:rPr>
          <w:snapToGrid w:val="0"/>
        </w:rPr>
        <w:fldChar w:fldCharType="begin"/>
      </w:r>
      <w:r>
        <w:rPr>
          <w:snapToGrid w:val="0"/>
        </w:rPr>
        <w:instrText xml:space="preserve"> HYPERLINK \l _Toc29469 </w:instrText>
      </w:r>
      <w:r>
        <w:rPr>
          <w:snapToGrid w:val="0"/>
        </w:rPr>
        <w:fldChar w:fldCharType="separate"/>
      </w:r>
      <w:r>
        <w:rPr>
          <w:rFonts w:hint="eastAsia"/>
        </w:rPr>
        <w:t>6.4.1</w:t>
      </w:r>
      <w:r>
        <w:rPr>
          <w:rFonts w:hint="eastAsia"/>
          <w:lang w:val="en-US" w:eastAsia="zh-CN"/>
        </w:rPr>
        <w:t xml:space="preserve">  </w:t>
      </w:r>
      <w:r>
        <w:rPr>
          <w:rFonts w:hint="eastAsia"/>
        </w:rPr>
        <w:t>系统测试环境</w:t>
      </w:r>
      <w:r>
        <w:tab/>
      </w:r>
      <w:r>
        <w:fldChar w:fldCharType="begin"/>
      </w:r>
      <w:r>
        <w:instrText xml:space="preserve"> PAGEREF _Toc29469 \h </w:instrText>
      </w:r>
      <w:r>
        <w:fldChar w:fldCharType="separate"/>
      </w:r>
      <w:r>
        <w:t>66</w:t>
      </w:r>
      <w:r>
        <w:fldChar w:fldCharType="end"/>
      </w:r>
      <w:r>
        <w:rPr>
          <w:snapToGrid w:val="0"/>
        </w:rPr>
        <w:fldChar w:fldCharType="end"/>
      </w:r>
    </w:p>
    <w:p w14:paraId="23D449EE">
      <w:pPr>
        <w:pStyle w:val="13"/>
        <w:tabs>
          <w:tab w:val="right" w:leader="dot" w:pos="8312"/>
        </w:tabs>
      </w:pPr>
      <w:r>
        <w:rPr>
          <w:snapToGrid w:val="0"/>
        </w:rPr>
        <w:fldChar w:fldCharType="begin"/>
      </w:r>
      <w:r>
        <w:rPr>
          <w:snapToGrid w:val="0"/>
        </w:rPr>
        <w:instrText xml:space="preserve"> HYPERLINK \l _Toc17801 </w:instrText>
      </w:r>
      <w:r>
        <w:rPr>
          <w:snapToGrid w:val="0"/>
        </w:rPr>
        <w:fldChar w:fldCharType="separate"/>
      </w:r>
      <w:r>
        <w:rPr>
          <w:rFonts w:hint="eastAsia"/>
        </w:rPr>
        <w:t>6.4.2</w:t>
      </w:r>
      <w:r>
        <w:rPr>
          <w:rFonts w:hint="eastAsia"/>
          <w:lang w:val="en-US" w:eastAsia="zh-CN"/>
        </w:rPr>
        <w:t xml:space="preserve">  </w:t>
      </w:r>
      <w:r>
        <w:rPr>
          <w:rFonts w:hint="eastAsia"/>
        </w:rPr>
        <w:t>功能测试</w:t>
      </w:r>
      <w:r>
        <w:tab/>
      </w:r>
      <w:r>
        <w:fldChar w:fldCharType="begin"/>
      </w:r>
      <w:r>
        <w:instrText xml:space="preserve"> PAGEREF _Toc17801 \h </w:instrText>
      </w:r>
      <w:r>
        <w:fldChar w:fldCharType="separate"/>
      </w:r>
      <w:r>
        <w:t>66</w:t>
      </w:r>
      <w:r>
        <w:fldChar w:fldCharType="end"/>
      </w:r>
      <w:r>
        <w:rPr>
          <w:snapToGrid w:val="0"/>
        </w:rPr>
        <w:fldChar w:fldCharType="end"/>
      </w:r>
    </w:p>
    <w:p w14:paraId="43BE84F0">
      <w:pPr>
        <w:pStyle w:val="13"/>
        <w:tabs>
          <w:tab w:val="right" w:leader="dot" w:pos="8312"/>
        </w:tabs>
      </w:pPr>
      <w:r>
        <w:rPr>
          <w:snapToGrid w:val="0"/>
        </w:rPr>
        <w:fldChar w:fldCharType="begin"/>
      </w:r>
      <w:r>
        <w:rPr>
          <w:snapToGrid w:val="0"/>
        </w:rPr>
        <w:instrText xml:space="preserve"> HYPERLINK \l _Toc31051 </w:instrText>
      </w:r>
      <w:r>
        <w:rPr>
          <w:snapToGrid w:val="0"/>
        </w:rPr>
        <w:fldChar w:fldCharType="separate"/>
      </w:r>
      <w:r>
        <w:rPr>
          <w:rFonts w:hint="eastAsia"/>
        </w:rPr>
        <w:t>6.4.3</w:t>
      </w:r>
      <w:r>
        <w:rPr>
          <w:rFonts w:hint="eastAsia"/>
          <w:lang w:val="en-US" w:eastAsia="zh-CN"/>
        </w:rPr>
        <w:t xml:space="preserve">  </w:t>
      </w:r>
      <w:r>
        <w:rPr>
          <w:rFonts w:hint="eastAsia"/>
        </w:rPr>
        <w:t>性能测试</w:t>
      </w:r>
      <w:r>
        <w:tab/>
      </w:r>
      <w:r>
        <w:fldChar w:fldCharType="begin"/>
      </w:r>
      <w:r>
        <w:instrText xml:space="preserve"> PAGEREF _Toc31051 \h </w:instrText>
      </w:r>
      <w:r>
        <w:fldChar w:fldCharType="separate"/>
      </w:r>
      <w:r>
        <w:t>67</w:t>
      </w:r>
      <w:r>
        <w:fldChar w:fldCharType="end"/>
      </w:r>
      <w:r>
        <w:rPr>
          <w:snapToGrid w:val="0"/>
        </w:rPr>
        <w:fldChar w:fldCharType="end"/>
      </w:r>
    </w:p>
    <w:p w14:paraId="67E1D218">
      <w:pPr>
        <w:pStyle w:val="24"/>
        <w:tabs>
          <w:tab w:val="right" w:leader="dot" w:pos="8312"/>
        </w:tabs>
      </w:pPr>
      <w:r>
        <w:rPr>
          <w:snapToGrid w:val="0"/>
        </w:rPr>
        <w:fldChar w:fldCharType="begin"/>
      </w:r>
      <w:r>
        <w:rPr>
          <w:snapToGrid w:val="0"/>
        </w:rPr>
        <w:instrText xml:space="preserve"> HYPERLINK \l _Toc10531 </w:instrText>
      </w:r>
      <w:r>
        <w:rPr>
          <w:snapToGrid w:val="0"/>
        </w:rPr>
        <w:fldChar w:fldCharType="separate"/>
      </w:r>
      <w:r>
        <w:rPr>
          <w:rFonts w:hint="eastAsia"/>
        </w:rPr>
        <w:t xml:space="preserve">6.5 </w:t>
      </w:r>
      <w:r>
        <w:rPr>
          <w:rFonts w:hint="eastAsia"/>
          <w:lang w:val="en-US" w:eastAsia="zh-CN"/>
        </w:rPr>
        <w:t xml:space="preserve"> </w:t>
      </w:r>
      <w:r>
        <w:rPr>
          <w:rFonts w:hint="eastAsia"/>
        </w:rPr>
        <w:t>本章小结</w:t>
      </w:r>
      <w:r>
        <w:tab/>
      </w:r>
      <w:r>
        <w:fldChar w:fldCharType="begin"/>
      </w:r>
      <w:r>
        <w:instrText xml:space="preserve"> PAGEREF _Toc10531 \h </w:instrText>
      </w:r>
      <w:r>
        <w:fldChar w:fldCharType="separate"/>
      </w:r>
      <w:r>
        <w:t>68</w:t>
      </w:r>
      <w:r>
        <w:fldChar w:fldCharType="end"/>
      </w:r>
      <w:r>
        <w:rPr>
          <w:snapToGrid w:val="0"/>
        </w:rPr>
        <w:fldChar w:fldCharType="end"/>
      </w:r>
    </w:p>
    <w:p w14:paraId="048AEF11">
      <w:pPr>
        <w:pStyle w:val="20"/>
        <w:tabs>
          <w:tab w:val="right" w:leader="dot" w:pos="8312"/>
        </w:tabs>
      </w:pPr>
      <w:r>
        <w:rPr>
          <w:snapToGrid w:val="0"/>
        </w:rPr>
        <w:fldChar w:fldCharType="begin"/>
      </w:r>
      <w:r>
        <w:rPr>
          <w:snapToGrid w:val="0"/>
        </w:rPr>
        <w:instrText xml:space="preserve"> HYPERLINK \l _Toc5035 </w:instrText>
      </w:r>
      <w:r>
        <w:rPr>
          <w:snapToGrid w:val="0"/>
        </w:rPr>
        <w:fldChar w:fldCharType="separate"/>
      </w:r>
      <w:r>
        <w:rPr>
          <w:rFonts w:hint="eastAsia"/>
        </w:rPr>
        <w:t>第</w:t>
      </w:r>
      <w:r>
        <w:rPr>
          <w:rFonts w:hint="eastAsia"/>
          <w:lang w:val="en-US" w:eastAsia="zh-CN"/>
        </w:rPr>
        <w:t>七</w:t>
      </w:r>
      <w:r>
        <w:rPr>
          <w:rFonts w:hint="eastAsia"/>
        </w:rPr>
        <w:t xml:space="preserve">章  </w:t>
      </w:r>
      <w:r>
        <w:rPr>
          <w:rFonts w:hint="eastAsia"/>
          <w:lang w:val="en-US" w:eastAsia="zh-CN"/>
        </w:rPr>
        <w:t>总结与展望</w:t>
      </w:r>
      <w:r>
        <w:tab/>
      </w:r>
      <w:r>
        <w:fldChar w:fldCharType="begin"/>
      </w:r>
      <w:r>
        <w:instrText xml:space="preserve"> PAGEREF _Toc5035 \h </w:instrText>
      </w:r>
      <w:r>
        <w:fldChar w:fldCharType="separate"/>
      </w:r>
      <w:r>
        <w:t>69</w:t>
      </w:r>
      <w:r>
        <w:fldChar w:fldCharType="end"/>
      </w:r>
      <w:r>
        <w:rPr>
          <w:snapToGrid w:val="0"/>
        </w:rPr>
        <w:fldChar w:fldCharType="end"/>
      </w:r>
    </w:p>
    <w:p w14:paraId="6734C2FA">
      <w:pPr>
        <w:pStyle w:val="24"/>
        <w:tabs>
          <w:tab w:val="right" w:leader="dot" w:pos="8312"/>
        </w:tabs>
      </w:pPr>
      <w:r>
        <w:rPr>
          <w:snapToGrid w:val="0"/>
        </w:rPr>
        <w:fldChar w:fldCharType="begin"/>
      </w:r>
      <w:r>
        <w:rPr>
          <w:snapToGrid w:val="0"/>
        </w:rPr>
        <w:instrText xml:space="preserve"> HYPERLINK \l _Toc5013 </w:instrText>
      </w:r>
      <w:r>
        <w:rPr>
          <w:snapToGrid w:val="0"/>
        </w:rPr>
        <w:fldChar w:fldCharType="separate"/>
      </w:r>
      <w:r>
        <w:rPr>
          <w:rFonts w:hint="eastAsia"/>
          <w:lang w:val="en-US" w:eastAsia="zh-CN"/>
        </w:rPr>
        <w:t>7</w:t>
      </w:r>
      <w:r>
        <w:t>.</w:t>
      </w:r>
      <w:r>
        <w:rPr>
          <w:rFonts w:hint="eastAsia"/>
        </w:rPr>
        <w:t xml:space="preserve">1  </w:t>
      </w:r>
      <w:r>
        <w:rPr>
          <w:rFonts w:hint="eastAsia"/>
          <w:lang w:val="en-US" w:eastAsia="zh-CN"/>
        </w:rPr>
        <w:t>全文总结</w:t>
      </w:r>
      <w:r>
        <w:tab/>
      </w:r>
      <w:r>
        <w:fldChar w:fldCharType="begin"/>
      </w:r>
      <w:r>
        <w:instrText xml:space="preserve"> PAGEREF _Toc5013 \h </w:instrText>
      </w:r>
      <w:r>
        <w:fldChar w:fldCharType="separate"/>
      </w:r>
      <w:r>
        <w:t>69</w:t>
      </w:r>
      <w:r>
        <w:fldChar w:fldCharType="end"/>
      </w:r>
      <w:r>
        <w:rPr>
          <w:snapToGrid w:val="0"/>
        </w:rPr>
        <w:fldChar w:fldCharType="end"/>
      </w:r>
    </w:p>
    <w:p w14:paraId="7A88E062">
      <w:pPr>
        <w:pStyle w:val="24"/>
        <w:tabs>
          <w:tab w:val="right" w:leader="dot" w:pos="8312"/>
        </w:tabs>
      </w:pPr>
      <w:r>
        <w:rPr>
          <w:snapToGrid w:val="0"/>
        </w:rPr>
        <w:fldChar w:fldCharType="begin"/>
      </w:r>
      <w:r>
        <w:rPr>
          <w:snapToGrid w:val="0"/>
        </w:rPr>
        <w:instrText xml:space="preserve"> HYPERLINK \l _Toc3140 </w:instrText>
      </w:r>
      <w:r>
        <w:rPr>
          <w:snapToGrid w:val="0"/>
        </w:rPr>
        <w:fldChar w:fldCharType="separate"/>
      </w:r>
      <w:r>
        <w:rPr>
          <w:rFonts w:hint="eastAsia"/>
          <w:lang w:val="en-US" w:eastAsia="zh-CN"/>
        </w:rPr>
        <w:t>7</w:t>
      </w:r>
      <w:r>
        <w:t>.</w:t>
      </w:r>
      <w:r>
        <w:rPr>
          <w:rFonts w:hint="eastAsia"/>
          <w:lang w:val="en-US" w:eastAsia="zh-CN"/>
        </w:rPr>
        <w:t>2</w:t>
      </w:r>
      <w:r>
        <w:rPr>
          <w:rFonts w:hint="eastAsia"/>
        </w:rPr>
        <w:t xml:space="preserve">  </w:t>
      </w:r>
      <w:r>
        <w:rPr>
          <w:rFonts w:hint="eastAsia"/>
          <w:lang w:val="en-US" w:eastAsia="zh-CN"/>
        </w:rPr>
        <w:t>后续工作展望</w:t>
      </w:r>
      <w:r>
        <w:tab/>
      </w:r>
      <w:r>
        <w:fldChar w:fldCharType="begin"/>
      </w:r>
      <w:r>
        <w:instrText xml:space="preserve"> PAGEREF _Toc3140 \h </w:instrText>
      </w:r>
      <w:r>
        <w:fldChar w:fldCharType="separate"/>
      </w:r>
      <w:r>
        <w:t>70</w:t>
      </w:r>
      <w:r>
        <w:fldChar w:fldCharType="end"/>
      </w:r>
      <w:r>
        <w:rPr>
          <w:snapToGrid w:val="0"/>
        </w:rPr>
        <w:fldChar w:fldCharType="end"/>
      </w:r>
    </w:p>
    <w:p w14:paraId="15B34006">
      <w:pPr>
        <w:pStyle w:val="20"/>
        <w:tabs>
          <w:tab w:val="right" w:leader="dot" w:pos="8312"/>
        </w:tabs>
      </w:pPr>
      <w:r>
        <w:rPr>
          <w:snapToGrid w:val="0"/>
        </w:rPr>
        <w:fldChar w:fldCharType="begin"/>
      </w:r>
      <w:r>
        <w:rPr>
          <w:snapToGrid w:val="0"/>
        </w:rPr>
        <w:instrText xml:space="preserve"> HYPERLINK \l _Toc21538 </w:instrText>
      </w:r>
      <w:r>
        <w:rPr>
          <w:snapToGrid w:val="0"/>
        </w:rPr>
        <w:fldChar w:fldCharType="separate"/>
      </w:r>
      <w:r>
        <w:rPr>
          <w:rFonts w:hint="eastAsia"/>
        </w:rPr>
        <w:t>参考文献</w:t>
      </w:r>
      <w:r>
        <w:tab/>
      </w:r>
      <w:r>
        <w:fldChar w:fldCharType="begin"/>
      </w:r>
      <w:r>
        <w:instrText xml:space="preserve"> PAGEREF _Toc21538 \h </w:instrText>
      </w:r>
      <w:r>
        <w:fldChar w:fldCharType="separate"/>
      </w:r>
      <w:r>
        <w:t>71</w:t>
      </w:r>
      <w:r>
        <w:fldChar w:fldCharType="end"/>
      </w:r>
      <w:r>
        <w:rPr>
          <w:snapToGrid w:val="0"/>
        </w:rPr>
        <w:fldChar w:fldCharType="end"/>
      </w:r>
    </w:p>
    <w:p w14:paraId="0FE14895">
      <w:pPr>
        <w:pStyle w:val="20"/>
        <w:tabs>
          <w:tab w:val="right" w:leader="dot" w:pos="8312"/>
        </w:tabs>
      </w:pPr>
      <w:r>
        <w:rPr>
          <w:snapToGrid w:val="0"/>
        </w:rPr>
        <w:fldChar w:fldCharType="begin"/>
      </w:r>
      <w:r>
        <w:rPr>
          <w:snapToGrid w:val="0"/>
        </w:rPr>
        <w:instrText xml:space="preserve"> HYPERLINK \l _Toc21821 </w:instrText>
      </w:r>
      <w:r>
        <w:rPr>
          <w:snapToGrid w:val="0"/>
        </w:rPr>
        <w:fldChar w:fldCharType="separate"/>
      </w:r>
      <w:r>
        <w:rPr>
          <w:rFonts w:hint="eastAsia"/>
          <w:lang w:val="zh-CN"/>
        </w:rPr>
        <w:t>致</w:t>
      </w:r>
      <w:r>
        <w:rPr>
          <w:rFonts w:hint="eastAsia"/>
        </w:rPr>
        <w:t xml:space="preserve">  </w:t>
      </w:r>
      <w:r>
        <w:rPr>
          <w:rFonts w:hint="eastAsia"/>
          <w:lang w:val="zh-CN"/>
        </w:rPr>
        <w:t>谢</w:t>
      </w:r>
      <w:r>
        <w:tab/>
      </w:r>
      <w:r>
        <w:fldChar w:fldCharType="begin"/>
      </w:r>
      <w:r>
        <w:instrText xml:space="preserve"> PAGEREF _Toc21821 \h </w:instrText>
      </w:r>
      <w:r>
        <w:fldChar w:fldCharType="separate"/>
      </w:r>
      <w:r>
        <w:t>76</w:t>
      </w:r>
      <w:r>
        <w:fldChar w:fldCharType="end"/>
      </w:r>
      <w:r>
        <w:rPr>
          <w:snapToGrid w:val="0"/>
        </w:rPr>
        <w:fldChar w:fldCharType="end"/>
      </w:r>
    </w:p>
    <w:p w14:paraId="519FEB57">
      <w:pPr>
        <w:pStyle w:val="20"/>
        <w:tabs>
          <w:tab w:val="right" w:leader="dot" w:pos="8312"/>
        </w:tabs>
      </w:pPr>
      <w:r>
        <w:rPr>
          <w:snapToGrid w:val="0"/>
        </w:rPr>
        <w:fldChar w:fldCharType="begin"/>
      </w:r>
      <w:r>
        <w:rPr>
          <w:snapToGrid w:val="0"/>
        </w:rPr>
        <w:instrText xml:space="preserve"> HYPERLINK \l _Toc15482 </w:instrText>
      </w:r>
      <w:r>
        <w:rPr>
          <w:snapToGrid w:val="0"/>
        </w:rPr>
        <w:fldChar w:fldCharType="separate"/>
      </w:r>
      <w:r>
        <w:rPr>
          <w:rFonts w:hint="eastAsia" w:eastAsia="黑体"/>
          <w:snapToGrid w:val="0"/>
          <w:szCs w:val="32"/>
          <w:shd w:val="clear" w:color="auto" w:fill="FFFFFF"/>
        </w:rPr>
        <w:t>攻读学位期间取得的创新成果目录</w:t>
      </w:r>
      <w:r>
        <w:tab/>
      </w:r>
      <w:r>
        <w:fldChar w:fldCharType="begin"/>
      </w:r>
      <w:r>
        <w:instrText xml:space="preserve"> PAGEREF _Toc15482 \h </w:instrText>
      </w:r>
      <w:r>
        <w:fldChar w:fldCharType="separate"/>
      </w:r>
      <w:r>
        <w:t>79</w:t>
      </w:r>
      <w:r>
        <w:fldChar w:fldCharType="end"/>
      </w:r>
      <w:r>
        <w:rPr>
          <w:snapToGrid w:val="0"/>
        </w:rPr>
        <w:fldChar w:fldCharType="end"/>
      </w:r>
    </w:p>
    <w:p w14:paraId="687904A6">
      <w:pPr>
        <w:pStyle w:val="20"/>
        <w:tabs>
          <w:tab w:val="right" w:leader="dot" w:pos="8312"/>
        </w:tabs>
      </w:pPr>
      <w:r>
        <w:rPr>
          <w:snapToGrid w:val="0"/>
        </w:rPr>
        <w:fldChar w:fldCharType="begin"/>
      </w:r>
      <w:r>
        <w:rPr>
          <w:snapToGrid w:val="0"/>
        </w:rPr>
        <w:instrText xml:space="preserve"> HYPERLINK \l _Toc10500 </w:instrText>
      </w:r>
      <w:r>
        <w:rPr>
          <w:snapToGrid w:val="0"/>
        </w:rPr>
        <w:fldChar w:fldCharType="separate"/>
      </w:r>
      <w:r>
        <w:rPr>
          <w:rFonts w:hint="eastAsia" w:eastAsia="黑体"/>
          <w:snapToGrid w:val="0"/>
          <w:szCs w:val="32"/>
          <w:shd w:val="clear" w:color="auto" w:fill="FFFFFF"/>
        </w:rPr>
        <w:t>作者学习经历</w:t>
      </w:r>
      <w:r>
        <w:tab/>
      </w:r>
      <w:r>
        <w:fldChar w:fldCharType="begin"/>
      </w:r>
      <w:r>
        <w:instrText xml:space="preserve"> PAGEREF _Toc10500 \h </w:instrText>
      </w:r>
      <w:r>
        <w:fldChar w:fldCharType="separate"/>
      </w:r>
      <w:r>
        <w:t>80</w:t>
      </w:r>
      <w:r>
        <w:fldChar w:fldCharType="end"/>
      </w:r>
      <w:r>
        <w:rPr>
          <w:snapToGrid w:val="0"/>
        </w:rPr>
        <w:fldChar w:fldCharType="end"/>
      </w:r>
    </w:p>
    <w:p w14:paraId="27F7B6B4">
      <w:pPr>
        <w:ind w:firstLine="0" w:firstLineChars="0"/>
      </w:pPr>
      <w:r>
        <w:rPr>
          <w:snapToGrid w:val="0"/>
        </w:rPr>
        <w:fldChar w:fldCharType="end"/>
      </w:r>
      <w:bookmarkEnd w:id="9"/>
    </w:p>
    <w:p w14:paraId="6AE537EE">
      <w:pPr>
        <w:ind w:firstLine="480"/>
        <w:sectPr>
          <w:headerReference r:id="rId14" w:type="default"/>
          <w:footerReference r:id="rId16" w:type="default"/>
          <w:headerReference r:id="rId15" w:type="even"/>
          <w:footerReference r:id="rId17" w:type="even"/>
          <w:pgSz w:w="11906" w:h="16838"/>
          <w:pgMar w:top="1440" w:right="1797" w:bottom="1440" w:left="1797" w:header="850" w:footer="992" w:gutter="0"/>
          <w:pgNumType w:fmt="upperRoman"/>
          <w:cols w:space="720" w:num="1"/>
          <w:docGrid w:type="lines" w:linePitch="326" w:charSpace="0"/>
        </w:sectPr>
      </w:pPr>
    </w:p>
    <w:p w14:paraId="210820EC">
      <w:pPr>
        <w:pStyle w:val="2"/>
        <w:spacing w:after="652"/>
        <w:rPr>
          <w:rStyle w:val="37"/>
          <w:sz w:val="32"/>
          <w:szCs w:val="32"/>
        </w:rPr>
      </w:pPr>
      <w:bookmarkStart w:id="10" w:name="_Toc29754"/>
      <w:bookmarkStart w:id="11" w:name="_Toc22603"/>
      <w:bookmarkStart w:id="12" w:name="_Toc13820"/>
      <w:bookmarkStart w:id="13" w:name="_Toc152619889"/>
      <w:bookmarkStart w:id="14" w:name="_Toc32753_WPSOffice_Level2"/>
      <w:bookmarkStart w:id="15" w:name="_Toc532872738"/>
      <w:bookmarkStart w:id="16" w:name="_Toc19851_WPSOffice_Level2"/>
      <w:bookmarkStart w:id="17" w:name="_Toc533261391"/>
      <w:bookmarkStart w:id="18" w:name="_Toc15020_WPSOffice_Level2"/>
      <w:r>
        <w:rPr>
          <w:rFonts w:hint="eastAsia"/>
        </w:rPr>
        <w:t>第一章  绪论</w:t>
      </w:r>
      <w:bookmarkEnd w:id="10"/>
      <w:bookmarkEnd w:id="11"/>
      <w:bookmarkEnd w:id="12"/>
    </w:p>
    <w:p w14:paraId="2E133E6A">
      <w:pPr>
        <w:pStyle w:val="3"/>
        <w:spacing w:before="163" w:after="163"/>
      </w:pPr>
      <w:bookmarkStart w:id="19" w:name="_Toc28684"/>
      <w:bookmarkStart w:id="20" w:name="_Toc2169"/>
      <w:bookmarkStart w:id="21" w:name="_Toc7249"/>
      <w:bookmarkStart w:id="22" w:name="_Toc6687"/>
      <w:r>
        <w:t>1.1</w:t>
      </w:r>
      <w:r>
        <w:rPr>
          <w:rFonts w:hint="eastAsia"/>
        </w:rPr>
        <w:t xml:space="preserve">  </w:t>
      </w:r>
      <w:bookmarkEnd w:id="19"/>
      <w:bookmarkEnd w:id="20"/>
      <w:bookmarkEnd w:id="21"/>
      <w:r>
        <w:rPr>
          <w:rFonts w:hint="eastAsia"/>
        </w:rPr>
        <w:t>研究背景与意义</w:t>
      </w:r>
      <w:bookmarkEnd w:id="22"/>
    </w:p>
    <w:p w14:paraId="56A02D74">
      <w:pPr>
        <w:snapToGrid w:val="0"/>
        <w:ind w:firstLine="480"/>
        <w:rPr>
          <w:snapToGrid w:val="0"/>
        </w:rPr>
      </w:pPr>
      <w:r>
        <w:rPr>
          <w:rFonts w:hint="eastAsia"/>
          <w:snapToGrid w:val="0"/>
        </w:rPr>
        <w:t>随着工业4.0时代的到来，以电力为首的各领域广泛引入人工智能前沿技术实现智能调度、设备监控和故障诊断等业务场景应用，人工智能（Artificial Intelligence，AI）技术已成为推动工业转型升级的核心驱动力</w:t>
      </w:r>
      <w:r>
        <w:rPr>
          <w:rFonts w:hint="eastAsia"/>
          <w:snapToGrid w:val="0"/>
          <w:vertAlign w:val="superscript"/>
        </w:rPr>
        <w:t>[1-2]</w:t>
      </w:r>
      <w:r>
        <w:rPr>
          <w:rFonts w:hint="eastAsia"/>
          <w:snapToGrid w:val="0"/>
        </w:rPr>
        <w:t>。大语言模型（Large Language Model，LLM）凭借高效、智能、实时响应和精准分析的优势，使得电力业务变得更加精准和自动化，为我国庞大且复杂的工业系统带来了全新的技术支持。然而，此类基于深度学习的模型主要依赖于历史数据集进行训练，这些数据集往往源于过去的工业记录，如设备日志、传感器数据和生产历史，无法捕捉实时变化、运用新兴知识。为解决此问题，LLM与检索增强生成（Retrieval-Augmented Generation, RAG）的结合已成为工业智能应用，特别是电力领域的主流趋势</w:t>
      </w:r>
      <w:r>
        <w:rPr>
          <w:rFonts w:hint="eastAsia"/>
          <w:snapToGrid w:val="0"/>
          <w:vertAlign w:val="superscript"/>
        </w:rPr>
        <w:t>[3-4]</w:t>
      </w:r>
      <w:r>
        <w:rPr>
          <w:rFonts w:hint="eastAsia"/>
          <w:snapToGrid w:val="0"/>
        </w:rPr>
        <w:t>。RAG通过“检索-生成”双阶段架构，将LLM生成锚定于可动态更新的外部知识库，通过从外部知识库中检索相关信息来补充LLM的知识盲区，降低幻觉风险。这一趋势不仅提升了工业系统的智能水平，还促进了人机协作的深化，推动工业向更高效、更可持续的方向发展。</w:t>
      </w:r>
    </w:p>
    <w:p w14:paraId="68720D7F">
      <w:pPr>
        <w:snapToGrid w:val="0"/>
        <w:ind w:firstLine="480"/>
        <w:rPr>
          <w:snapToGrid w:val="0"/>
        </w:rPr>
      </w:pPr>
      <w:r>
        <w:rPr>
          <w:rFonts w:hint="eastAsia"/>
          <w:snapToGrid w:val="0"/>
        </w:rPr>
        <w:t>尽管LLM与RAG相结合的范式显著缓解了参数化知识静态固化所带来的时效性不足与幻觉问题，但引入外部知识源也使得系统暴露出面向知识收集与检索链路的全新攻击面。实际应用场景中，RAG系统通常依赖于网络数据的自动化爬取，并采取“增量更新”机制持续从公开平台、行业资料库等源头收集文本并纳入知识库。攻击者可以将精心构造的恶意文本伪装为正常领域资料注入外部知识库，使其在目标查询下被优先检索并作为支撑证据输入模型，进而诱导系统生成攻击者预设的错误响应</w:t>
      </w:r>
      <w:r>
        <w:rPr>
          <w:rFonts w:hint="eastAsia"/>
          <w:snapToGrid w:val="0"/>
          <w:vertAlign w:val="superscript"/>
          <w:lang w:val="en-US" w:eastAsia="zh-CN"/>
        </w:rPr>
        <w:t>[5-7]</w:t>
      </w:r>
      <w:r>
        <w:rPr>
          <w:rFonts w:hint="eastAsia"/>
          <w:snapToGrid w:val="0"/>
        </w:rPr>
        <w:t>。相较于内容显著存在大段错误或带有强烈恶意内容而易于被直接过滤出来的文档，仅在中间某一处存在事实细节或处置顺序的局部偏差难以在入库预处理时被审查识别。</w:t>
      </w:r>
    </w:p>
    <w:p w14:paraId="258C8A8A">
      <w:pPr>
        <w:snapToGrid w:val="0"/>
        <w:ind w:firstLine="480"/>
        <w:rPr>
          <w:snapToGrid w:val="0"/>
        </w:rPr>
      </w:pPr>
      <w:r>
        <w:rPr>
          <w:rFonts w:hint="eastAsia"/>
          <w:snapToGrid w:val="0"/>
        </w:rPr>
        <w:t>鉴于上述安全风险，针对RAG系统知识库投毒问题开展攻击与防御研究具有重要意义。攻击研究旨在通过模拟攻击者在知识注入、检索操纵和生成误导等环节中的行为，揭示系统在开放知识接入条件下存在的漏洞与安全隐患，为构建鲁棒的AI防护体系提供理论依据与实践指导。目前相关研究主要围绕触发式后门投毒、白盒条件下的梯度优化攻击以及更贴近实际场景的黑盒语料投毒等方法展开。与之相对，防御研究则针对现有隐患与漏洞，重点围绕污染证据的检测、识别、拦截与缓解开展</w:t>
      </w:r>
      <w:r>
        <w:rPr>
          <w:rFonts w:hint="eastAsia"/>
          <w:snapToGrid w:val="0"/>
          <w:vertAlign w:val="superscript"/>
          <w:lang w:val="en-US" w:eastAsia="zh-CN"/>
        </w:rPr>
        <w:t>[8-10]</w:t>
      </w:r>
      <w:r>
        <w:rPr>
          <w:rFonts w:hint="eastAsia"/>
          <w:snapToGrid w:val="0"/>
        </w:rPr>
        <w:t>，核心目标是在不显著削弱系统正常问答能力的前提下，抑制恶意文档对检索结果与生成输出的误导作用。</w:t>
      </w:r>
    </w:p>
    <w:p w14:paraId="632BDE81">
      <w:pPr>
        <w:snapToGrid w:val="0"/>
        <w:ind w:firstLine="480"/>
        <w:rPr>
          <w:snapToGrid w:val="0"/>
        </w:rPr>
      </w:pPr>
      <w:r>
        <w:rPr>
          <w:snapToGrid w:val="0"/>
        </w:rPr>
        <w:t>然而，现有研究仍存在一定局限。攻击</w:t>
      </w:r>
      <w:r>
        <w:rPr>
          <w:rFonts w:hint="eastAsia"/>
          <w:snapToGrid w:val="0"/>
        </w:rPr>
        <w:t>层面</w:t>
      </w:r>
      <w:r>
        <w:rPr>
          <w:snapToGrid w:val="0"/>
        </w:rPr>
        <w:t>，攻击假设较强，部分方法依赖白盒信息、固定触发词或预先已知目标查询，难以充分反映真实开放环境下RAG系统所面临的威胁；防御方面，现有方法多集中于单一环节，通常仅依赖困惑度检测、文档改写等简单策略，尚难在检测准确性、正常问答能力保持、跨场景泛化以及工程化在线部署之间实现有效兼顾，因而仍难以满足高安全场景下RAG系统的可信应用需求。</w:t>
      </w:r>
    </w:p>
    <w:p w14:paraId="0F7DC743">
      <w:pPr>
        <w:snapToGrid w:val="0"/>
        <w:ind w:firstLine="480"/>
        <w:rPr>
          <w:snapToGrid w:val="0"/>
        </w:rPr>
      </w:pPr>
      <w:r>
        <w:rPr>
          <w:rFonts w:hint="eastAsia"/>
          <w:snapToGrid w:val="0"/>
        </w:rPr>
        <w:t>综上，本文面向电力人工智能应用中RAG系统的知识库投毒安全问题展开研究。首先，构建面向电力场景的数字孪生可视化平台与RAG应用环境，为攻击机理分析和防御效果验证提供统一实验载体；其次，提出面向黑盒场景的知识库投毒攻击方法，以刻画开放知识接入条件下系统所面临的真实威胁；进一步，设计融合检索护栏、输入护栏与输出护栏的组合式防御框架，以提升RAG系统对污染证据的识别、拦截与缓解能力；最后，研发电力人工智能应用安全靶场系统，实现攻防方法的集成验证与闭环评估。</w:t>
      </w:r>
    </w:p>
    <w:p w14:paraId="2811D4CB">
      <w:pPr>
        <w:pStyle w:val="3"/>
        <w:spacing w:before="163" w:after="163"/>
      </w:pPr>
      <w:bookmarkStart w:id="23" w:name="_Toc27737"/>
      <w:bookmarkStart w:id="24" w:name="_Toc24683"/>
      <w:bookmarkStart w:id="25" w:name="_Toc25773"/>
      <w:bookmarkStart w:id="26" w:name="_Toc13801"/>
      <w:bookmarkStart w:id="27" w:name="_Toc23862"/>
      <w:bookmarkStart w:id="28" w:name="_Toc320892636"/>
      <w:r>
        <w:t>1.2</w:t>
      </w:r>
      <w:r>
        <w:rPr>
          <w:rFonts w:hint="eastAsia"/>
        </w:rPr>
        <w:t xml:space="preserve">  </w:t>
      </w:r>
      <w:bookmarkEnd w:id="23"/>
      <w:bookmarkEnd w:id="24"/>
      <w:bookmarkEnd w:id="25"/>
      <w:bookmarkEnd w:id="26"/>
      <w:r>
        <w:rPr>
          <w:rFonts w:hint="eastAsia"/>
        </w:rPr>
        <w:t>国内外研究现状</w:t>
      </w:r>
      <w:bookmarkEnd w:id="27"/>
    </w:p>
    <w:p w14:paraId="168ADEA4">
      <w:pPr>
        <w:pStyle w:val="4"/>
        <w:bidi w:val="0"/>
      </w:pPr>
      <w:bookmarkStart w:id="29" w:name="_Toc23565"/>
      <w:r>
        <w:rPr>
          <w:rFonts w:hint="eastAsia"/>
        </w:rPr>
        <w:t>1.2.1  RAG技术</w:t>
      </w:r>
      <w:bookmarkEnd w:id="29"/>
    </w:p>
    <w:p w14:paraId="4412A6F6">
      <w:pPr>
        <w:snapToGrid w:val="0"/>
        <w:ind w:firstLine="480"/>
        <w:rPr>
          <w:snapToGrid w:val="0"/>
        </w:rPr>
      </w:pPr>
      <w:r>
        <w:rPr>
          <w:rFonts w:hint="eastAsia"/>
          <w:snapToGrid w:val="0"/>
        </w:rPr>
        <w:t>检索增强生成（Retrieval-Augmented Generation，RAG）技术最早由Lewis等人在2020年提出</w:t>
      </w:r>
      <w:r>
        <w:rPr>
          <w:rFonts w:hint="eastAsia"/>
          <w:snapToGrid w:val="0"/>
          <w:vertAlign w:val="superscript"/>
        </w:rPr>
        <w:t>[11]</w:t>
      </w:r>
      <w:r>
        <w:rPr>
          <w:rFonts w:hint="eastAsia"/>
          <w:snapToGrid w:val="0"/>
        </w:rPr>
        <w:t>，该技术旨在将参数化记忆与非参数化记忆相混合，解决大型语言模型在知识密集型任务中存在的知识过时和幻觉问题，在开放域问答、事实核查等任务上显著提升了模型的准确性和可信度。该技术核心流程主要包含文本检索和响应生成两个阶段，这两个阶段的技术演进构成了RAG系统发展的主线。</w:t>
      </w:r>
    </w:p>
    <w:p w14:paraId="56BBE99C">
      <w:pPr>
        <w:snapToGrid w:val="0"/>
        <w:ind w:firstLine="480"/>
        <w:rPr>
          <w:snapToGrid w:val="0"/>
        </w:rPr>
      </w:pPr>
      <w:r>
        <w:rPr>
          <w:rFonts w:hint="eastAsia"/>
          <w:snapToGrid w:val="0"/>
        </w:rPr>
        <w:t>在文本检索阶段，系统从知识库中检索相关文档。检索技术经历了从稀疏检索到密集检索，再到高效向量索引的演进过程。2020年，Karpukhin等人</w:t>
      </w:r>
      <w:r>
        <w:rPr>
          <w:rFonts w:hint="eastAsia"/>
          <w:snapToGrid w:val="0"/>
          <w:vertAlign w:val="superscript"/>
        </w:rPr>
        <w:t>[12]</w:t>
      </w:r>
      <w:r>
        <w:rPr>
          <w:rFonts w:hint="eastAsia"/>
          <w:snapToGrid w:val="0"/>
        </w:rPr>
        <w:t>提出了Dense Passage Retrieval(DPR)方法，通过双编码器架构分别对查询和文档进行向量化编码，在向量空间中计算语义相似度以捕捉语义信息，标志着RAG技术的重大突破。随着RAG系统在工业场景中的大规模应用，向量库规模往往达到千万级甚至亿级，传统的暴力最近邻搜索因计算成本过高而无法满足实时性要求，研究者试图在RAG系统中结合HNSW、IVF、LSH等多种高效的向量索引技术。后续RAG相关研究中，Shen等人</w:t>
      </w:r>
      <w:r>
        <w:rPr>
          <w:rFonts w:hint="eastAsia"/>
          <w:snapToGrid w:val="0"/>
          <w:vertAlign w:val="superscript"/>
        </w:rPr>
        <w:t>[13]</w:t>
      </w:r>
      <w:r>
        <w:rPr>
          <w:rFonts w:hint="eastAsia"/>
          <w:snapToGrid w:val="0"/>
        </w:rPr>
        <w:t>通过实验比较HNSW与IVF等索引在RAG推理延迟、准确率和存储开销上的表现，证明HNSW在平衡速度与召回率方面的优势。HNSW因此被广泛用于优化检索效率，例如Buffa等</w:t>
      </w:r>
      <w:r>
        <w:rPr>
          <w:rFonts w:hint="eastAsia"/>
          <w:snapToGrid w:val="0"/>
          <w:vertAlign w:val="superscript"/>
        </w:rPr>
        <w:t>[14]</w:t>
      </w:r>
      <w:r>
        <w:rPr>
          <w:rFonts w:hint="eastAsia"/>
          <w:snapToGrid w:val="0"/>
        </w:rPr>
        <w:t>使用HNSW作为Chroma向量数据库的索引来存储和检索法律文本段落。类似地，Wu等人</w:t>
      </w:r>
      <w:r>
        <w:rPr>
          <w:rFonts w:hint="eastAsia"/>
          <w:snapToGrid w:val="0"/>
          <w:vertAlign w:val="superscript"/>
        </w:rPr>
        <w:t>[15]</w:t>
      </w:r>
      <w:r>
        <w:rPr>
          <w:rFonts w:hint="eastAsia"/>
          <w:snapToGrid w:val="0"/>
        </w:rPr>
        <w:t>在MobileRAG中采用HNSW构建倒排列表图，实现移动端低内存RAG检索，实验显示其在亿级向量库中显著降低了延迟和能耗。</w:t>
      </w:r>
    </w:p>
    <w:p w14:paraId="0F139677">
      <w:pPr>
        <w:snapToGrid w:val="0"/>
        <w:ind w:firstLine="480"/>
        <w:rPr>
          <w:snapToGrid w:val="0"/>
        </w:rPr>
      </w:pPr>
      <w:r>
        <w:rPr>
          <w:rFonts w:hint="eastAsia"/>
          <w:snapToGrid w:val="0"/>
        </w:rPr>
        <w:t>在响应生成阶段，RAG利用检索到的文档作为上下文指导语言模型生成响应。大模型通过Transformer架构捕捉长距离依赖使得RAG系统能够处理复杂查询，如GPT系列、LLaMA、Qwen等大型语言模型展现出了强大的文本生成和推理能力。这些模型通过在海量文本数据上进行预训练，学习到了丰富的语言知识和世界知识，为RAG系统的生成阶段提供了高质量的基座模型。</w:t>
      </w:r>
    </w:p>
    <w:p w14:paraId="79FA6918">
      <w:pPr>
        <w:pStyle w:val="4"/>
        <w:keepNext w:val="0"/>
        <w:keepLines w:val="0"/>
        <w:pageBreakBefore w:val="0"/>
        <w:widowControl/>
        <w:kinsoku/>
        <w:wordWrap/>
        <w:overflowPunct/>
        <w:topLinePunct w:val="0"/>
        <w:autoSpaceDE/>
        <w:autoSpaceDN/>
        <w:bidi w:val="0"/>
        <w:adjustRightInd/>
        <w:snapToGrid w:val="0"/>
        <w:textAlignment w:val="auto"/>
      </w:pPr>
      <w:bookmarkStart w:id="30" w:name="_Toc5092"/>
      <w:r>
        <w:rPr>
          <w:rFonts w:hint="eastAsia"/>
        </w:rPr>
        <w:t>1.2.2  RAG投毒攻击</w:t>
      </w:r>
      <w:bookmarkEnd w:id="30"/>
    </w:p>
    <w:p w14:paraId="68682A41">
      <w:pPr>
        <w:snapToGrid w:val="0"/>
        <w:ind w:firstLine="480"/>
        <w:rPr>
          <w:snapToGrid w:val="0"/>
        </w:rPr>
      </w:pPr>
      <w:r>
        <w:rPr>
          <w:rFonts w:hint="eastAsia"/>
          <w:snapToGrid w:val="0"/>
        </w:rPr>
        <w:t>数据投毒攻击的研究最早可追溯到传统机器学习领域。攻击者通过在训练数据中注入恶意样本，使模型学习到错误的模式，从而在特定输入下产生预期的错误输出。随着LLM应用的爆发，RAG在开放知识源与动态知识库中广泛部署，研究者逐渐认识到“外部知识库”本身已成为新的关键攻击面，针对RAG外部知识库的毒化攻击研究迅速兴起。</w:t>
      </w:r>
    </w:p>
    <w:p w14:paraId="271EEA5E">
      <w:pPr>
        <w:snapToGrid w:val="0"/>
        <w:ind w:firstLine="480"/>
        <w:rPr>
          <w:snapToGrid w:val="0"/>
        </w:rPr>
      </w:pPr>
      <w:r>
        <w:rPr>
          <w:rFonts w:hint="eastAsia"/>
          <w:snapToGrid w:val="0"/>
        </w:rPr>
        <w:t>早期很多研究者将RAG投毒视为后门注入问题，相关研究通常通过触发关联构造与优化实现，如2024年6月，AgentPoison</w:t>
      </w:r>
      <w:r>
        <w:rPr>
          <w:rFonts w:hint="eastAsia"/>
          <w:snapToGrid w:val="0"/>
          <w:vertAlign w:val="superscript"/>
        </w:rPr>
        <w:t>[16]</w:t>
      </w:r>
      <w:r>
        <w:rPr>
          <w:rFonts w:hint="eastAsia"/>
          <w:snapToGrid w:val="0"/>
        </w:rPr>
        <w:t>和BadRAG</w:t>
      </w:r>
      <w:r>
        <w:rPr>
          <w:rFonts w:hint="eastAsia"/>
          <w:snapToGrid w:val="0"/>
          <w:vertAlign w:val="superscript"/>
        </w:rPr>
        <w:t>[</w:t>
      </w:r>
      <w:r>
        <w:rPr>
          <w:rFonts w:hint="eastAsia"/>
          <w:snapToGrid w:val="0"/>
          <w:vertAlign w:val="superscript"/>
          <w:lang w:val="en-US" w:eastAsia="zh-CN"/>
        </w:rPr>
        <w:t>5</w:t>
      </w:r>
      <w:r>
        <w:rPr>
          <w:rFonts w:hint="eastAsia"/>
          <w:snapToGrid w:val="0"/>
          <w:vertAlign w:val="superscript"/>
        </w:rPr>
        <w:t>]</w:t>
      </w:r>
      <w:r>
        <w:rPr>
          <w:rFonts w:hint="eastAsia"/>
          <w:snapToGrid w:val="0"/>
        </w:rPr>
        <w:t>方案提出均旨在优化触发器-文档对，以最大化这种检索概率。Rando等</w:t>
      </w:r>
      <w:r>
        <w:rPr>
          <w:rFonts w:hint="eastAsia"/>
          <w:snapToGrid w:val="0"/>
          <w:vertAlign w:val="superscript"/>
        </w:rPr>
        <w:t>[17]</w:t>
      </w:r>
      <w:r>
        <w:rPr>
          <w:rFonts w:hint="eastAsia"/>
          <w:snapToGrid w:val="0"/>
        </w:rPr>
        <w:t>则从对齐训练链路入手，提出通过毒化人类反馈创建通用越狱后门，针对RLHF训练过程，但未优化检索过程，导致在RAG中的适用性有限。Chaudhari等</w:t>
      </w:r>
      <w:r>
        <w:rPr>
          <w:rFonts w:hint="eastAsia"/>
          <w:snapToGrid w:val="0"/>
          <w:vertAlign w:val="superscript"/>
        </w:rPr>
        <w:t>[18]</w:t>
      </w:r>
      <w:r>
        <w:rPr>
          <w:rFonts w:hint="eastAsia"/>
          <w:snapToGrid w:val="0"/>
        </w:rPr>
        <w:t>进一步提出Phantom，将威胁模型明确为“仅通过向知识库注入单个恶意文档即可实施后门”，并采用两阶段优化检索触发与生成目标。此类范式的实用性依赖于对用户查询的篡改，即攻击者必须可以将粗发起注入用户查询，这在现实的开放环境中很难实现。</w:t>
      </w:r>
    </w:p>
    <w:p w14:paraId="214070BE">
      <w:pPr>
        <w:snapToGrid w:val="0"/>
        <w:ind w:firstLine="480"/>
        <w:rPr>
          <w:snapToGrid w:val="0"/>
        </w:rPr>
      </w:pPr>
      <w:r>
        <w:rPr>
          <w:rFonts w:hint="eastAsia"/>
          <w:snapToGrid w:val="0"/>
        </w:rPr>
        <w:t>为了在提升攻击成功率的同时不依赖对用户查询或系统语料的直接篡改，研究者试图通过优化被污染的文档本身，基于梯度和反馈驱动的攻击应运而生。代表性的研究如Zou等</w:t>
      </w:r>
      <w:r>
        <w:rPr>
          <w:rFonts w:hint="eastAsia"/>
          <w:snapToGrid w:val="0"/>
          <w:vertAlign w:val="superscript"/>
        </w:rPr>
        <w:t>[19]</w:t>
      </w:r>
      <w:r>
        <w:rPr>
          <w:rFonts w:hint="eastAsia"/>
          <w:snapToGrid w:val="0"/>
        </w:rPr>
        <w:t>提出PoisonedRAG，将知识库视为新型攻击面，攻击者针对特定目标问题注入少量恶意文本，在白盒和黑盒设置下均有效，同时还评估了改写和困惑度检测等防御，证明其不足以抵御攻击。后续研究多以PoisonedRAG为基线进一步提升，如LIAR</w:t>
      </w:r>
      <w:r>
        <w:rPr>
          <w:rFonts w:hint="eastAsia"/>
          <w:snapToGrid w:val="0"/>
          <w:vertAlign w:val="superscript"/>
        </w:rPr>
        <w:t xml:space="preserve"> [20]</w:t>
      </w:r>
      <w:r>
        <w:rPr>
          <w:rFonts w:hint="eastAsia"/>
          <w:snapToGrid w:val="0"/>
        </w:rPr>
        <w:t>假设一个语料库感知的情景，利用其他非目标文档来增强攻击的稳定性。Wang等人提出了Joint-GCG攻击框架</w:t>
      </w:r>
      <w:r>
        <w:rPr>
          <w:rFonts w:hint="eastAsia"/>
          <w:snapToGrid w:val="0"/>
          <w:vertAlign w:val="superscript"/>
        </w:rPr>
        <w:t>[21]</w:t>
      </w:r>
      <w:r>
        <w:rPr>
          <w:rFonts w:hint="eastAsia"/>
          <w:snapToGrid w:val="0"/>
        </w:rPr>
        <w:t>，这是首个通过联合优化检索损失和生成损失，生成既能被高概率检索又能有效误导LLM的恶意文档。Zhu等人</w:t>
      </w:r>
      <w:r>
        <w:rPr>
          <w:rFonts w:hint="eastAsia"/>
          <w:snapToGrid w:val="0"/>
          <w:vertAlign w:val="superscript"/>
        </w:rPr>
        <w:t>[22]</w:t>
      </w:r>
      <w:r>
        <w:rPr>
          <w:rFonts w:hint="eastAsia"/>
          <w:snapToGrid w:val="0"/>
        </w:rPr>
        <w:t>提出了NeuroGenPoisoning攻击，通过神经元引导和遗传优化来生成投毒文档，使得投毒文档在语义上更加自然，更难被检测。这类研究不但技术实现上较为复杂，而且必须赋予攻击者对百合访问检索器参数的权限，严重限制了它们对专有闭源RAG部署的威胁。</w:t>
      </w:r>
    </w:p>
    <w:p w14:paraId="7D19B11A">
      <w:pPr>
        <w:snapToGrid w:val="0"/>
        <w:ind w:firstLine="480"/>
        <w:rPr>
          <w:snapToGrid w:val="0"/>
        </w:rPr>
      </w:pPr>
      <w:r>
        <w:rPr>
          <w:rFonts w:hint="eastAsia"/>
          <w:snapToGrid w:val="0"/>
        </w:rPr>
        <w:t>在更贴近真实部署的方向上，研究者进一步把攻击场景扩展到严格黑盒、多模态与特定行业应用，消除对内部系统访问的需求。阿里研究院Li等</w:t>
      </w:r>
      <w:r>
        <w:rPr>
          <w:rFonts w:hint="eastAsia"/>
          <w:snapToGrid w:val="0"/>
          <w:vertAlign w:val="superscript"/>
        </w:rPr>
        <w:t>[23]</w:t>
      </w:r>
      <w:r>
        <w:rPr>
          <w:rFonts w:hint="eastAsia"/>
          <w:snapToGrid w:val="0"/>
        </w:rPr>
        <w:t>探讨电商RAG系统的毒化风险，提出黑盒攻击框架CPA-RAG，通过多模型提示生成与检索器反馈评估的联合优化产生推荐偏见，并在阿里巴巴百炼等商业RAG平台上验证了跨系统迁移与实际威胁性。Chang等</w:t>
      </w:r>
      <w:r>
        <w:rPr>
          <w:rFonts w:hint="eastAsia"/>
          <w:snapToGrid w:val="0"/>
          <w:vertAlign w:val="superscript"/>
        </w:rPr>
        <w:t>[24]</w:t>
      </w:r>
      <w:r>
        <w:rPr>
          <w:rFonts w:hint="eastAsia"/>
          <w:snapToGrid w:val="0"/>
        </w:rPr>
        <w:t>提出AuthChain，强调单文档投毒在大规模知识库与复杂多跳问题上仍可成立，并注入机构背书与时间戳等权威信号以增强可信度提升自然性。Ha等</w:t>
      </w:r>
      <w:r>
        <w:rPr>
          <w:rFonts w:hint="eastAsia"/>
          <w:snapToGrid w:val="0"/>
          <w:vertAlign w:val="superscript"/>
        </w:rPr>
        <w:t>[25]</w:t>
      </w:r>
      <w:r>
        <w:rPr>
          <w:rFonts w:hint="eastAsia"/>
          <w:snapToGrid w:val="0"/>
        </w:rPr>
        <w:t>提出MM-PoisonRAG，首次针对多模态RAG的知识毒化攻击，通过单一注入破坏检索和生成。北京大学团队</w:t>
      </w:r>
      <w:r>
        <w:rPr>
          <w:rFonts w:hint="eastAsia"/>
          <w:snapToGrid w:val="0"/>
          <w:vertAlign w:val="superscript"/>
        </w:rPr>
        <w:t>[26]</w:t>
      </w:r>
      <w:r>
        <w:rPr>
          <w:rFonts w:hint="eastAsia"/>
          <w:snapToGrid w:val="0"/>
        </w:rPr>
        <w:t>提出Scorpius系统，通过生成恶意医学摘要污染知识图谱，间接误导 RAG 系统的医学推理。华为诺亚方舟实验室</w:t>
      </w:r>
      <w:r>
        <w:rPr>
          <w:rFonts w:hint="eastAsia"/>
          <w:snapToGrid w:val="0"/>
          <w:vertAlign w:val="superscript"/>
        </w:rPr>
        <w:t>[27]</w:t>
      </w:r>
      <w:r>
        <w:rPr>
          <w:rFonts w:hint="eastAsia"/>
          <w:snapToGrid w:val="0"/>
        </w:rPr>
        <w:t>开发针对自动驾驶RAG的攻击模型，通过毒化地图知识库诱导代理输出危险动作，并使用强化学习优化检索阈值。</w:t>
      </w:r>
    </w:p>
    <w:p w14:paraId="63879FE6">
      <w:pPr>
        <w:snapToGrid w:val="0"/>
        <w:ind w:firstLine="480"/>
        <w:rPr>
          <w:snapToGrid w:val="0"/>
        </w:rPr>
      </w:pPr>
      <w:r>
        <w:rPr>
          <w:rFonts w:hint="eastAsia"/>
          <w:snapToGrid w:val="0"/>
        </w:rPr>
        <w:t>综上，现有研究大部分方法仍依赖对检索器结构、提示模板或检索结果可观测性的先验假设，黑盒条件下的高隐蔽投毒攻击仍有待进一步研究。</w:t>
      </w:r>
    </w:p>
    <w:p w14:paraId="3A8D2112">
      <w:pPr>
        <w:pStyle w:val="4"/>
      </w:pPr>
      <w:bookmarkStart w:id="31" w:name="_Toc26935"/>
      <w:r>
        <w:rPr>
          <w:rFonts w:hint="eastAsia"/>
        </w:rPr>
        <w:t>1.2.3  RAG投毒防御</w:t>
      </w:r>
      <w:bookmarkEnd w:id="31"/>
    </w:p>
    <w:p w14:paraId="26B4004F">
      <w:pPr>
        <w:snapToGrid w:val="0"/>
        <w:ind w:firstLine="480"/>
        <w:rPr>
          <w:snapToGrid w:val="0"/>
        </w:rPr>
      </w:pPr>
      <w:r>
        <w:rPr>
          <w:rFonts w:hint="eastAsia"/>
          <w:snapToGrid w:val="0"/>
        </w:rPr>
        <w:t>针对RAG系统的投毒攻击带来的“检索污染-生成误导”链式风险，现有国内外防御相关研究大体可以归纳为“投毒检测”与“投毒缓解”两条主线，并逐渐从早期的经验性过滤发展为面向全流程的系统化防御。</w:t>
      </w:r>
    </w:p>
    <w:p w14:paraId="395EDA67">
      <w:pPr>
        <w:snapToGrid w:val="0"/>
        <w:ind w:firstLine="480"/>
        <w:rPr>
          <w:snapToGrid w:val="0"/>
        </w:rPr>
      </w:pPr>
      <w:r>
        <w:rPr>
          <w:rFonts w:hint="eastAsia"/>
          <w:snapToGrid w:val="0"/>
        </w:rPr>
        <w:t>在检测与追溯方向，研究者聚焦在不显著改变RAG主流程的前提下识别投毒行为或被污染输出。早期工作多利用文本统计异常作为启发式信号，如Alon等</w:t>
      </w:r>
      <w:r>
        <w:rPr>
          <w:rFonts w:hint="eastAsia"/>
          <w:snapToGrid w:val="0"/>
          <w:vertAlign w:val="superscript"/>
        </w:rPr>
        <w:t>[28]</w:t>
      </w:r>
      <w:r>
        <w:rPr>
          <w:rFonts w:hint="eastAsia"/>
          <w:snapToGrid w:val="0"/>
        </w:rPr>
        <w:t>提出基于困惑度的语言模型攻击检测，利用投毒文本在语言流畅性上的异常分布实现快速筛查。Tan等人</w:t>
      </w:r>
      <w:r>
        <w:rPr>
          <w:rFonts w:hint="eastAsia"/>
          <w:snapToGrid w:val="0"/>
          <w:vertAlign w:val="superscript"/>
        </w:rPr>
        <w:t>[29]</w:t>
      </w:r>
      <w:r>
        <w:rPr>
          <w:rFonts w:hint="eastAsia"/>
          <w:snapToGrid w:val="0"/>
        </w:rPr>
        <w:t>提出RevPRAG，通过分析LLM在生成“正确响应”与“中毒响应”时的激活差异构建检测管线，实现对被污染响应的自动识别，取得较高的真阳性率。</w:t>
      </w:r>
    </w:p>
    <w:p w14:paraId="30E253F9">
      <w:pPr>
        <w:snapToGrid w:val="0"/>
        <w:ind w:firstLine="480"/>
        <w:rPr>
          <w:snapToGrid w:val="0"/>
        </w:rPr>
      </w:pPr>
      <w:r>
        <w:rPr>
          <w:rFonts w:hint="eastAsia"/>
          <w:snapToGrid w:val="0"/>
        </w:rPr>
        <w:t>高效的威胁分析与评测体系对防御检测工作具有重要的指导意义。2023年，赵帅等综述了大型语言模型的后门攻击和防御，并讨论其对安全措施的含义</w:t>
      </w:r>
      <w:r>
        <w:rPr>
          <w:rFonts w:hint="eastAsia"/>
          <w:snapToGrid w:val="0"/>
          <w:vertAlign w:val="superscript"/>
        </w:rPr>
        <w:t>[30]</w:t>
      </w:r>
      <w:r>
        <w:rPr>
          <w:rFonts w:hint="eastAsia"/>
          <w:snapToGrid w:val="0"/>
        </w:rPr>
        <w:t>。随后，Chen等</w:t>
      </w:r>
      <w:r>
        <w:rPr>
          <w:rFonts w:hint="eastAsia"/>
          <w:snapToGrid w:val="0"/>
          <w:vertAlign w:val="superscript"/>
        </w:rPr>
        <w:t>[31]</w:t>
      </w:r>
      <w:r>
        <w:rPr>
          <w:rFonts w:hint="eastAsia"/>
          <w:snapToGrid w:val="0"/>
        </w:rPr>
        <w:t>提出PoisonArena基准框架，针对RAG系统的毒化攻击在单攻击者和多攻击者场景下进行评估，通过注入竞争性恶意文本测试系统的鲁棒性。进一步地，Zhang等</w:t>
      </w:r>
      <w:r>
        <w:rPr>
          <w:rFonts w:hint="eastAsia"/>
          <w:snapToGrid w:val="0"/>
          <w:vertAlign w:val="superscript"/>
        </w:rPr>
        <w:t>[</w:t>
      </w:r>
      <w:r>
        <w:rPr>
          <w:rFonts w:hint="eastAsia"/>
          <w:snapToGrid w:val="0"/>
          <w:vertAlign w:val="superscript"/>
          <w:lang w:val="en-US" w:eastAsia="zh-CN"/>
        </w:rPr>
        <w:t>7</w:t>
      </w:r>
      <w:r>
        <w:rPr>
          <w:rFonts w:hint="eastAsia"/>
          <w:snapToGrid w:val="0"/>
          <w:vertAlign w:val="superscript"/>
        </w:rPr>
        <w:t>]</w:t>
      </w:r>
      <w:r>
        <w:rPr>
          <w:rFonts w:hint="eastAsia"/>
          <w:snapToGrid w:val="0"/>
        </w:rPr>
        <w:t>提出首个全面基准框架，用于评估RAG系统的毒化攻击，覆盖5个标准问答任务和5种RAG架构。上海人工智能实验室的团队</w:t>
      </w:r>
      <w:r>
        <w:rPr>
          <w:rFonts w:hint="eastAsia"/>
          <w:snapToGrid w:val="0"/>
          <w:vertAlign w:val="superscript"/>
        </w:rPr>
        <w:t>[32]</w:t>
      </w:r>
      <w:r>
        <w:rPr>
          <w:rFonts w:hint="eastAsia"/>
          <w:snapToGrid w:val="0"/>
        </w:rPr>
        <w:t>也提出了SafeRAG基准，用于评估检索增强生成的安全性。</w:t>
      </w:r>
    </w:p>
    <w:p w14:paraId="47CAB413">
      <w:pPr>
        <w:snapToGrid w:val="0"/>
        <w:ind w:firstLine="480"/>
        <w:rPr>
          <w:snapToGrid w:val="0"/>
        </w:rPr>
      </w:pPr>
      <w:r>
        <w:rPr>
          <w:rFonts w:hint="eastAsia"/>
          <w:snapToGrid w:val="0"/>
        </w:rPr>
        <w:t>在缓解与鲁棒化方向，研究重点转向“如何在不显著损害可用性的前提下阻断污染信息进入上下文并影响生成”。Shafran等</w:t>
      </w:r>
      <w:r>
        <w:rPr>
          <w:rFonts w:hint="eastAsia"/>
          <w:snapToGrid w:val="0"/>
          <w:vertAlign w:val="superscript"/>
        </w:rPr>
        <w:t>[33]</w:t>
      </w:r>
      <w:r>
        <w:rPr>
          <w:rFonts w:hint="eastAsia"/>
          <w:snapToGrid w:val="0"/>
        </w:rPr>
        <w:t>提出通过注入“阻塞文档”干扰攻击链路的思路，体现出以检索侧机制对抗检索污染的代表性路线。Zhou等</w:t>
      </w:r>
      <w:r>
        <w:rPr>
          <w:rFonts w:hint="eastAsia"/>
          <w:snapToGrid w:val="0"/>
          <w:vertAlign w:val="superscript"/>
        </w:rPr>
        <w:t>[34]</w:t>
      </w:r>
      <w:r>
        <w:rPr>
          <w:rFonts w:hint="eastAsia"/>
          <w:snapToGrid w:val="0"/>
        </w:rPr>
        <w:t>提出TrustRAG框架，采用“两阶段”防御体系保障完整链路安全，在不同投毒强度下尽量维持回答准确性并降低攻击成功率。进一步地，为同时应对“过度过滤”和“模型错误采信”两类问题，Si等</w:t>
      </w:r>
      <w:r>
        <w:rPr>
          <w:rFonts w:hint="eastAsia"/>
          <w:snapToGrid w:val="0"/>
          <w:vertAlign w:val="superscript"/>
        </w:rPr>
        <w:t>[35]</w:t>
      </w:r>
      <w:r>
        <w:rPr>
          <w:rFonts w:hint="eastAsia"/>
          <w:snapToGrid w:val="0"/>
        </w:rPr>
        <w:t>提出SeCon-RAG两阶段框架，分别提升隐蔽投毒发现能力与支撑语料矛盾判别能力，实现更鲁棒的表现。</w:t>
      </w:r>
    </w:p>
    <w:p w14:paraId="1D38518F">
      <w:pPr>
        <w:snapToGrid w:val="0"/>
        <w:ind w:firstLine="480"/>
        <w:rPr>
          <w:snapToGrid w:val="0"/>
        </w:rPr>
      </w:pPr>
      <w:r>
        <w:rPr>
          <w:rFonts w:hint="eastAsia"/>
          <w:snapToGrid w:val="0"/>
        </w:rPr>
        <w:t>在此背景下，面向工程落地的系统级防护逐渐受到重视。Yao等</w:t>
      </w:r>
      <w:r>
        <w:rPr>
          <w:rFonts w:hint="eastAsia"/>
          <w:snapToGrid w:val="0"/>
          <w:vertAlign w:val="superscript"/>
        </w:rPr>
        <w:t>[36]</w:t>
      </w:r>
      <w:r>
        <w:rPr>
          <w:rFonts w:hint="eastAsia"/>
          <w:snapToGrid w:val="0"/>
        </w:rPr>
        <w:t>提出ControlNet，基于激活偏移实现风险检测，并通过语义偏离引导抑制有害生成，体现了将安全能力以“防火墙”形态嵌入RAG链路的工程化思路。工业应用中，Microsoft Azure和Google Cloud集成内容过滤和来源验证，但仍面临大规模知识库挑战</w:t>
      </w:r>
      <w:r>
        <w:rPr>
          <w:rFonts w:hint="eastAsia"/>
          <w:snapToGrid w:val="0"/>
          <w:vertAlign w:val="superscript"/>
        </w:rPr>
        <w:t>[37-38]</w:t>
      </w:r>
      <w:r>
        <w:rPr>
          <w:rFonts w:hint="eastAsia"/>
          <w:snapToGrid w:val="0"/>
        </w:rPr>
        <w:t>。</w:t>
      </w:r>
    </w:p>
    <w:p w14:paraId="6999B7A0">
      <w:pPr>
        <w:snapToGrid w:val="0"/>
        <w:ind w:firstLine="480"/>
        <w:rPr>
          <w:snapToGrid w:val="0"/>
        </w:rPr>
      </w:pPr>
      <w:r>
        <w:rPr>
          <w:rFonts w:hint="eastAsia"/>
          <w:snapToGrid w:val="0"/>
        </w:rPr>
        <w:t>现有防御方法虽然一定程度降低了投毒攻击的影响，但在大规模知识库与在线低时延部署约束下，仍面临额外开销、误杀有效证据等不足，且缺乏统一、可闭环验证的工程化框架。</w:t>
      </w:r>
    </w:p>
    <w:p w14:paraId="3B2FBF38">
      <w:pPr>
        <w:pStyle w:val="3"/>
        <w:spacing w:before="163" w:after="163"/>
      </w:pPr>
      <w:bookmarkStart w:id="32" w:name="_Toc21587"/>
      <w:bookmarkStart w:id="33" w:name="_Toc19923"/>
      <w:bookmarkStart w:id="34" w:name="_Toc7083"/>
      <w:bookmarkStart w:id="35" w:name="_Toc30575"/>
      <w:bookmarkStart w:id="36" w:name="_Toc25835"/>
      <w:r>
        <w:t>1.3</w:t>
      </w:r>
      <w:r>
        <w:rPr>
          <w:rFonts w:hint="eastAsia"/>
        </w:rPr>
        <w:t xml:space="preserve">  </w:t>
      </w:r>
      <w:bookmarkEnd w:id="32"/>
      <w:bookmarkEnd w:id="33"/>
      <w:bookmarkEnd w:id="34"/>
      <w:bookmarkEnd w:id="35"/>
      <w:r>
        <w:rPr>
          <w:rFonts w:hint="eastAsia"/>
        </w:rPr>
        <w:t>本文主要工作及创新点</w:t>
      </w:r>
      <w:bookmarkEnd w:id="36"/>
    </w:p>
    <w:p w14:paraId="50D532C4">
      <w:pPr>
        <w:snapToGrid w:val="0"/>
        <w:ind w:firstLine="480"/>
        <w:rPr>
          <w:rFonts w:hint="eastAsia"/>
          <w:snapToGrid w:val="0"/>
        </w:rPr>
      </w:pPr>
      <w:r>
        <w:rPr>
          <w:rFonts w:hint="eastAsia"/>
          <w:snapToGrid w:val="0"/>
        </w:rPr>
        <w:t>本文面向电力人工智能应用中RAG系统的知识库投毒安全问题，围绕“场景构建—攻击建模—防御设计—系统验证”这一主线展开研究。本文的主要工作及创新点如下：</w:t>
      </w:r>
    </w:p>
    <w:p w14:paraId="2B510143">
      <w:pPr>
        <w:numPr>
          <w:ilvl w:val="0"/>
          <w:numId w:val="2"/>
        </w:numPr>
        <w:snapToGrid w:val="0"/>
        <w:ind w:firstLine="480"/>
        <w:rPr>
          <w:rFonts w:hint="eastAsia"/>
          <w:snapToGrid w:val="0"/>
        </w:rPr>
      </w:pPr>
      <w:r>
        <w:rPr>
          <w:rFonts w:hint="eastAsia"/>
          <w:snapToGrid w:val="0"/>
        </w:rPr>
        <w:t>构建面向电力人工智能应用的数字孪生可视化实验平台</w:t>
      </w:r>
    </w:p>
    <w:p w14:paraId="5CC6F8B0">
      <w:pPr>
        <w:keepNext w:val="0"/>
        <w:keepLines w:val="0"/>
        <w:pageBreakBefore w:val="0"/>
        <w:widowControl w:val="0"/>
        <w:numPr>
          <w:ilvl w:val="0"/>
          <w:numId w:val="0"/>
        </w:numPr>
        <w:kinsoku/>
        <w:wordWrap/>
        <w:overflowPunct/>
        <w:topLinePunct w:val="0"/>
        <w:autoSpaceDE/>
        <w:autoSpaceDN/>
        <w:bidi w:val="0"/>
        <w:adjustRightInd/>
        <w:snapToGrid w:val="0"/>
        <w:ind w:firstLine="480" w:firstLineChars="200"/>
        <w:textAlignment w:val="auto"/>
        <w:rPr>
          <w:rFonts w:hint="eastAsia"/>
          <w:snapToGrid w:val="0"/>
        </w:rPr>
      </w:pPr>
      <w:r>
        <w:rPr>
          <w:rFonts w:hint="eastAsia"/>
          <w:snapToGrid w:val="0"/>
        </w:rPr>
        <w:t>针对电力人工智能系统中算力资源、数据资产、模型资产与业务流程分散、难以统一观测的问题，本文构建了基于数字孪生的AI模型训推一体可视化平台，实现了算力资源、数据资产、模型生命周期以及电力调度RAG应用流程的统一映射与可视化管理。同时，围绕数据管理、知识库构建、模型训练与推理监控等环节，形成了可支撑后续知识库投毒攻防研究的真实业务环境。该工作将数字孪生技术与电力AI应用场景相结合，为知识库投毒问题研究提供了可复现、可观测、可验证的实验载体。</w:t>
      </w:r>
    </w:p>
    <w:p w14:paraId="128BBCF5">
      <w:pPr>
        <w:numPr>
          <w:ilvl w:val="0"/>
          <w:numId w:val="2"/>
        </w:numPr>
        <w:snapToGrid w:val="0"/>
        <w:ind w:firstLine="480"/>
        <w:rPr>
          <w:rFonts w:hint="eastAsia"/>
          <w:snapToGrid w:val="0"/>
        </w:rPr>
      </w:pPr>
      <w:r>
        <w:rPr>
          <w:rFonts w:ascii="宋体" w:hAnsi="宋体" w:eastAsia="宋体" w:cs="宋体"/>
          <w:sz w:val="24"/>
          <w:szCs w:val="24"/>
        </w:rPr>
        <w:t>提出</w:t>
      </w:r>
      <w:r>
        <w:rPr>
          <w:rFonts w:hint="eastAsia" w:ascii="宋体" w:hAnsi="宋体" w:cs="宋体"/>
          <w:sz w:val="24"/>
          <w:szCs w:val="24"/>
          <w:lang w:val="en-US" w:eastAsia="zh-CN"/>
        </w:rPr>
        <w:t>基于遗传算法</w:t>
      </w:r>
      <w:r>
        <w:rPr>
          <w:rFonts w:ascii="宋体" w:hAnsi="宋体" w:eastAsia="宋体" w:cs="宋体"/>
          <w:sz w:val="24"/>
          <w:szCs w:val="24"/>
        </w:rPr>
        <w:t>的RAG系统知识库毒化攻击方法</w:t>
      </w:r>
    </w:p>
    <w:p w14:paraId="1F5F45FF">
      <w:pPr>
        <w:bidi w:val="0"/>
        <w:rPr>
          <w:rFonts w:hint="eastAsia"/>
        </w:rPr>
      </w:pPr>
      <w:r>
        <w:rPr>
          <w:rFonts w:hint="eastAsia"/>
        </w:rPr>
        <w:t>针对现有部分投毒攻击方法依赖白盒信息、提示模板或内部反馈信号，难以适用于真实闭源RAG系统的问题，本文提出了一种基于双目标遗传优化的知识库投毒攻击方法。该方法以毒化文档的可检索性与语义隐蔽性为联合优化目标，通过种群初始化、交叉算子、动态重要性引导变异以及种群选择与更新等机制，在不依赖检索器内部参数和梯度信息的条件下生成高隐蔽、高命中的毒化文档。该方法更贴近开放知识接入环境下的实际威胁，有助于揭示电力调度RAG系统在知识库层面面临的现实安全风险。</w:t>
      </w:r>
    </w:p>
    <w:p w14:paraId="0E2DEBA9">
      <w:pPr>
        <w:numPr>
          <w:ilvl w:val="0"/>
          <w:numId w:val="2"/>
        </w:numPr>
        <w:snapToGrid w:val="0"/>
        <w:ind w:firstLine="480"/>
        <w:rPr>
          <w:rFonts w:hint="eastAsia"/>
          <w:snapToGrid w:val="0"/>
        </w:rPr>
      </w:pPr>
      <w:r>
        <w:rPr>
          <w:rFonts w:ascii="宋体" w:hAnsi="宋体" w:eastAsia="宋体" w:cs="宋体"/>
          <w:sz w:val="24"/>
          <w:szCs w:val="24"/>
        </w:rPr>
        <w:t>提出组合式防御框架</w:t>
      </w:r>
    </w:p>
    <w:p w14:paraId="079AE1E4">
      <w:pPr>
        <w:keepNext w:val="0"/>
        <w:keepLines w:val="0"/>
        <w:pageBreakBefore w:val="0"/>
        <w:widowControl w:val="0"/>
        <w:numPr>
          <w:ilvl w:val="0"/>
          <w:numId w:val="0"/>
        </w:numPr>
        <w:kinsoku/>
        <w:wordWrap/>
        <w:overflowPunct/>
        <w:topLinePunct w:val="0"/>
        <w:autoSpaceDE/>
        <w:autoSpaceDN/>
        <w:bidi w:val="0"/>
        <w:adjustRightInd/>
        <w:snapToGrid w:val="0"/>
        <w:ind w:firstLine="480" w:firstLineChars="200"/>
        <w:textAlignment w:val="auto"/>
        <w:rPr>
          <w:rFonts w:hint="eastAsia"/>
          <w:snapToGrid w:val="0"/>
        </w:rPr>
      </w:pPr>
      <w:r>
        <w:rPr>
          <w:rFonts w:ascii="宋体" w:hAnsi="宋体" w:eastAsia="宋体" w:cs="宋体"/>
          <w:sz w:val="24"/>
          <w:szCs w:val="24"/>
        </w:rPr>
        <w:t>针对知识库投毒攻击中“污染证据被召回—模型采信错误证据—生成结果被误导”的链式风险，本文设计了一种面向全过程的组合式防御方法。其中，在检索阶段引入检索扩展、嵌入空间异常检测和句子级困惑度异常检测，对可疑支撑证据进行前置识别、过滤与重排；在此基础上进一步结合输入护栏与输出护栏，对用户查询和模型生成结果进行协同约束，形成覆盖查询输入、证据检索和结果生成全过程的分层防御链路。该方法突破了单一检测或单一缓解策略的局限，增强了防御体系的整体鲁棒性与工程可部署性。</w:t>
      </w:r>
    </w:p>
    <w:p w14:paraId="77C104E9">
      <w:pPr>
        <w:numPr>
          <w:ilvl w:val="0"/>
          <w:numId w:val="2"/>
        </w:numPr>
        <w:snapToGrid w:val="0"/>
        <w:ind w:firstLine="480"/>
        <w:rPr>
          <w:rFonts w:hint="eastAsia"/>
          <w:snapToGrid w:val="0"/>
        </w:rPr>
      </w:pPr>
      <w:r>
        <w:rPr>
          <w:rFonts w:ascii="宋体" w:hAnsi="宋体" w:eastAsia="宋体" w:cs="宋体"/>
          <w:sz w:val="24"/>
          <w:szCs w:val="24"/>
        </w:rPr>
        <w:t>设计并实现电力人工智能应用安全靶场系统</w:t>
      </w:r>
    </w:p>
    <w:p w14:paraId="23DD2DFB">
      <w:pPr>
        <w:keepNext w:val="0"/>
        <w:keepLines w:val="0"/>
        <w:pageBreakBefore w:val="0"/>
        <w:widowControl w:val="0"/>
        <w:kinsoku/>
        <w:wordWrap/>
        <w:overflowPunct/>
        <w:topLinePunct w:val="0"/>
        <w:autoSpaceDE/>
        <w:autoSpaceDN/>
        <w:bidi w:val="0"/>
        <w:adjustRightInd/>
        <w:snapToGrid/>
        <w:textAlignment w:val="auto"/>
        <w:rPr>
          <w:rFonts w:hint="eastAsia"/>
        </w:rPr>
      </w:pPr>
      <w:r>
        <w:t>为了将上述知识库投毒攻击与防御方法进行统一集成和工程化验证，本文进一步设计并实现了面向电力人工智能应用的安全靶场系统。该系统以第三章构建的数字孪生平台为基础，将电力调度RAG应用、知识库、数据资产、模型资产与算力资源作为核心靶标对象，集成红方攻击、蓝方防御、态势感知、预案生成、导调评估与复盘验证等功能，支撑从攻击模拟、防御部署到效果评估的全流程闭环验证。该工作实现了攻防研究成果从算法层到系统层的落地，为电力人工智能应用安全研究提供了可操作的验证平台。</w:t>
      </w:r>
    </w:p>
    <w:p w14:paraId="1BDB5D45">
      <w:pPr>
        <w:pStyle w:val="3"/>
        <w:spacing w:before="163" w:after="163"/>
      </w:pPr>
      <w:bookmarkStart w:id="37" w:name="_Toc26683"/>
      <w:r>
        <w:t>1.</w:t>
      </w:r>
      <w:r>
        <w:rPr>
          <w:rFonts w:hint="eastAsia"/>
        </w:rPr>
        <w:t>4  本文结构安排</w:t>
      </w:r>
      <w:bookmarkEnd w:id="37"/>
    </w:p>
    <w:p w14:paraId="24C0D7C2">
      <w:pPr>
        <w:ind w:firstLine="480"/>
      </w:pPr>
      <w:r>
        <w:rPr>
          <w:rFonts w:hint="eastAsia"/>
        </w:rPr>
        <w:t>本文共包括七个主要章节，</w:t>
      </w:r>
      <w:r>
        <w:rPr>
          <w:rFonts w:hint="eastAsia"/>
          <w:lang w:val="en-US" w:eastAsia="zh-CN"/>
        </w:rPr>
        <w:t>各章内容</w:t>
      </w:r>
      <w:r>
        <w:rPr>
          <w:rFonts w:hint="eastAsia"/>
        </w:rPr>
        <w:t>安排如下：</w:t>
      </w:r>
    </w:p>
    <w:p w14:paraId="02933E61">
      <w:pPr>
        <w:ind w:firstLine="480"/>
        <w:rPr>
          <w:rFonts w:hint="eastAsia"/>
        </w:rPr>
      </w:pPr>
      <w:r>
        <w:rPr>
          <w:rFonts w:hint="eastAsia"/>
        </w:rPr>
        <w:t>第一章为绪论</w:t>
      </w:r>
      <w:r>
        <w:rPr>
          <w:rFonts w:hint="eastAsia"/>
          <w:lang w:eastAsia="zh-CN"/>
        </w:rPr>
        <w:t>，</w:t>
      </w:r>
      <w:r>
        <w:rPr>
          <w:rFonts w:hint="eastAsia"/>
          <w:lang w:val="en-US" w:eastAsia="zh-CN"/>
        </w:rPr>
        <w:t>首先</w:t>
      </w:r>
      <w:r>
        <w:rPr>
          <w:rFonts w:hint="eastAsia"/>
        </w:rPr>
        <w:t>介绍</w:t>
      </w:r>
      <w:r>
        <w:rPr>
          <w:rFonts w:hint="eastAsia"/>
          <w:lang w:val="en-US" w:eastAsia="zh-CN"/>
        </w:rPr>
        <w:t>RAG知识库安全的</w:t>
      </w:r>
      <w:r>
        <w:rPr>
          <w:rFonts w:hint="eastAsia"/>
        </w:rPr>
        <w:t>研究背景与意义，系统梳理 RAG技术、RAG知识库投毒攻击与防御等相关研究现状，并在此基础上给出本文的主要工作、创新点及全文结构安排。</w:t>
      </w:r>
    </w:p>
    <w:p w14:paraId="6C4B699A">
      <w:pPr>
        <w:ind w:firstLine="480"/>
        <w:rPr>
          <w:rFonts w:hint="eastAsia"/>
        </w:rPr>
      </w:pPr>
      <w:r>
        <w:rPr>
          <w:rFonts w:hint="eastAsia"/>
        </w:rPr>
        <w:t>第二章为相关理论及背景知识</w:t>
      </w:r>
      <w:r>
        <w:rPr>
          <w:rFonts w:hint="eastAsia"/>
          <w:lang w:eastAsia="zh-CN"/>
        </w:rPr>
        <w:t>，</w:t>
      </w:r>
      <w:r>
        <w:rPr>
          <w:rFonts w:hint="eastAsia"/>
        </w:rPr>
        <w:t>围绕本文研究所涉及的关键理论基础展开，主要介绍数字孪生理论、大语言模型与检索增强生成的基本原理、多目标遗传优化理论以及 RAG 知识库投毒攻防相关技术，为后续章节的方法设计与系统实现奠定理论基础。</w:t>
      </w:r>
    </w:p>
    <w:p w14:paraId="12C1C163">
      <w:pPr>
        <w:ind w:firstLine="480"/>
        <w:rPr>
          <w:rFonts w:hint="eastAsia"/>
        </w:rPr>
      </w:pPr>
      <w:r>
        <w:rPr>
          <w:rFonts w:hint="eastAsia"/>
        </w:rPr>
        <w:t>第三章为基于数字孪生的 AI 模型训推一体可视平台研发</w:t>
      </w:r>
      <w:r>
        <w:rPr>
          <w:rFonts w:hint="eastAsia"/>
          <w:lang w:eastAsia="zh-CN"/>
        </w:rPr>
        <w:t>，</w:t>
      </w:r>
      <w:r>
        <w:rPr>
          <w:rFonts w:hint="eastAsia"/>
        </w:rPr>
        <w:t>面向电力人工智能应用场景，完成平台总体架构设计、数据管理与知识库构建、AI 模型训推可视化子系统设计以及电力调度 RAG 应用系统构建，并进一步分析该业务场景下 RAG 链路存在的安全隐患，明确后续知识库投毒攻防研究的应用背景与问题边界。</w:t>
      </w:r>
    </w:p>
    <w:p w14:paraId="3281E6F0">
      <w:pPr>
        <w:ind w:firstLine="480"/>
        <w:rPr>
          <w:rFonts w:hint="eastAsia"/>
        </w:rPr>
      </w:pPr>
      <w:r>
        <w:rPr>
          <w:rFonts w:hint="eastAsia"/>
        </w:rPr>
        <w:t>第四章为基于遗传算法的 RAG 系统知识库毒化攻击方法</w:t>
      </w:r>
      <w:r>
        <w:rPr>
          <w:rFonts w:hint="eastAsia"/>
          <w:lang w:eastAsia="zh-CN"/>
        </w:rPr>
        <w:t>，</w:t>
      </w:r>
      <w:r>
        <w:rPr>
          <w:rFonts w:hint="eastAsia"/>
        </w:rPr>
        <w:t>针对开放知识接入条件下的知识库投毒风险，首先建立攻击场景与问题模型，然后设计基于双目标遗传优化的毒化攻击方法，最后通过实验从攻击效果与方法有效性等方面对所提方法进行验证与分析。</w:t>
      </w:r>
    </w:p>
    <w:p w14:paraId="0054E5F5">
      <w:pPr>
        <w:ind w:firstLine="480"/>
        <w:rPr>
          <w:rFonts w:hint="eastAsia"/>
          <w:lang w:val="en-US" w:eastAsia="zh-CN"/>
        </w:rPr>
      </w:pPr>
      <w:r>
        <w:rPr>
          <w:rFonts w:hint="eastAsia"/>
          <w:lang w:val="en-US" w:eastAsia="zh-CN"/>
        </w:rPr>
        <w:t>第五章为面向电力场景RAG系统知识库毒化防御技术，首先分析知识库投毒防御任务的目标与约束，在此基础上设计检索护栏，然后与开源输入护栏、输出护栏协同组成组合式防御框架，并通过实验验证所提方法在攻击抵御能力、正常问答能力保持以及工程部署可行性方面的综合性能。</w:t>
      </w:r>
    </w:p>
    <w:p w14:paraId="2E88257F">
      <w:pPr>
        <w:ind w:firstLine="480"/>
        <w:rPr>
          <w:rFonts w:hint="default"/>
          <w:lang w:val="en-US" w:eastAsia="zh-CN"/>
        </w:rPr>
      </w:pPr>
      <w:r>
        <w:rPr>
          <w:rFonts w:hint="default"/>
          <w:lang w:val="en-US" w:eastAsia="zh-CN"/>
        </w:rPr>
        <w:t>第六章为电力人工智能应用的安全靶场系统设计与实现</w:t>
      </w:r>
      <w:r>
        <w:rPr>
          <w:rFonts w:hint="eastAsia"/>
          <w:lang w:val="en-US" w:eastAsia="zh-CN"/>
        </w:rPr>
        <w:t>，在前述研究基础上，</w:t>
      </w:r>
      <w:r>
        <w:rPr>
          <w:rFonts w:hint="default"/>
          <w:lang w:val="en-US" w:eastAsia="zh-CN"/>
        </w:rPr>
        <w:t>面向电力人工智能应用安全攻防演练需求，完成靶场系统的需求分析、概要设计、详细设计、系统部署与测试，集成前文提出的攻击与防御方法，实现对知识库投毒安全问题的闭环验证与展示应用</w:t>
      </w:r>
      <w:r>
        <w:rPr>
          <w:rFonts w:hint="eastAsia"/>
          <w:lang w:val="en-US" w:eastAsia="zh-CN"/>
        </w:rPr>
        <w:t>，证明该系统适用性与可靠性。</w:t>
      </w:r>
    </w:p>
    <w:p w14:paraId="06DBFDD4">
      <w:pPr>
        <w:ind w:firstLine="480"/>
        <w:rPr>
          <w:rFonts w:hint="eastAsia"/>
          <w:lang w:val="en-US" w:eastAsia="zh-CN"/>
        </w:rPr>
        <w:sectPr>
          <w:headerReference r:id="rId18" w:type="default"/>
          <w:footerReference r:id="rId20" w:type="default"/>
          <w:headerReference r:id="rId19" w:type="even"/>
          <w:footerReference r:id="rId21" w:type="even"/>
          <w:footnotePr>
            <w:numFmt w:val="decimalEnclosedCircleChinese"/>
            <w:numRestart w:val="eachPage"/>
          </w:footnotePr>
          <w:pgSz w:w="11906" w:h="16838"/>
          <w:pgMar w:top="1440" w:right="1797" w:bottom="1440" w:left="1797" w:header="850" w:footer="992" w:gutter="0"/>
          <w:pgNumType w:fmt="decimal" w:start="1"/>
          <w:cols w:space="720" w:num="1"/>
          <w:docGrid w:type="lines" w:linePitch="326" w:charSpace="0"/>
        </w:sectPr>
      </w:pPr>
      <w:r>
        <w:rPr>
          <w:rFonts w:hint="eastAsia"/>
          <w:lang w:val="en-US" w:eastAsia="zh-CN"/>
        </w:rPr>
        <w:t>第七章，总结与展望。首先总结了本文的全部研究工作与成果，然后对不足之处进行总结并展望后续工作方向。</w:t>
      </w:r>
    </w:p>
    <w:p w14:paraId="697BFF57">
      <w:pPr>
        <w:rPr>
          <w:rFonts w:hint="eastAsia"/>
        </w:rPr>
      </w:pPr>
      <w:bookmarkStart w:id="38" w:name="_Toc31793_WPSOffice_Level1"/>
      <w:bookmarkStart w:id="39" w:name="_Toc22997"/>
      <w:bookmarkStart w:id="40" w:name="_Toc22659"/>
      <w:bookmarkStart w:id="41" w:name="_Toc11902"/>
      <w:bookmarkStart w:id="42" w:name="_Toc24015"/>
      <w:r>
        <w:rPr>
          <w:rFonts w:hint="eastAsia"/>
        </w:rPr>
        <w:br w:type="page"/>
      </w:r>
    </w:p>
    <w:p w14:paraId="377F2669">
      <w:pPr>
        <w:pStyle w:val="2"/>
        <w:spacing w:after="652"/>
      </w:pPr>
      <w:bookmarkStart w:id="43" w:name="_Toc32436"/>
      <w:r>
        <w:rPr>
          <w:rFonts w:hint="eastAsia"/>
        </w:rPr>
        <w:t xml:space="preserve">第二章  </w:t>
      </w:r>
      <w:bookmarkEnd w:id="38"/>
      <w:bookmarkEnd w:id="39"/>
      <w:bookmarkEnd w:id="40"/>
      <w:bookmarkEnd w:id="41"/>
      <w:bookmarkEnd w:id="42"/>
      <w:r>
        <w:rPr>
          <w:rFonts w:hint="eastAsia"/>
        </w:rPr>
        <w:t>相关理论及背景知识</w:t>
      </w:r>
      <w:bookmarkEnd w:id="43"/>
    </w:p>
    <w:p w14:paraId="0D346AC5">
      <w:pPr>
        <w:ind w:firstLine="480"/>
      </w:pPr>
      <w:r>
        <w:rPr>
          <w:rFonts w:hint="eastAsia"/>
        </w:rPr>
        <w:t>本章围绕本文研究所涉及的关键理论与技术基础展开，首先介绍数字孪生理论及其在AI训推场景中的应用，其次阐述大语言模型与检索增强生成的基本原理，然后分析多目标遗传优化方法，最后介绍RAG知识库投毒攻防相关技术。</w:t>
      </w:r>
    </w:p>
    <w:p w14:paraId="71E8BD34">
      <w:pPr>
        <w:pStyle w:val="3"/>
        <w:spacing w:before="163" w:after="163"/>
      </w:pPr>
      <w:bookmarkStart w:id="44" w:name="_Toc3838"/>
      <w:bookmarkStart w:id="45" w:name="_Toc946"/>
      <w:bookmarkStart w:id="46" w:name="_Toc4287"/>
      <w:bookmarkStart w:id="47" w:name="_Toc12161_WPSOffice_Level2"/>
      <w:bookmarkStart w:id="48" w:name="_Toc23885"/>
      <w:bookmarkStart w:id="49" w:name="_Toc12151"/>
      <w:r>
        <w:t>2.</w:t>
      </w:r>
      <w:r>
        <w:rPr>
          <w:rFonts w:hint="eastAsia"/>
        </w:rPr>
        <w:t>1  数字孪生理论</w:t>
      </w:r>
      <w:bookmarkEnd w:id="44"/>
    </w:p>
    <w:p w14:paraId="775F350D">
      <w:pPr>
        <w:pStyle w:val="4"/>
      </w:pPr>
      <w:bookmarkStart w:id="50" w:name="_Toc1069"/>
      <w:r>
        <w:t>2.</w:t>
      </w:r>
      <w:r>
        <w:rPr>
          <w:rFonts w:hint="eastAsia"/>
        </w:rPr>
        <w:t>1</w:t>
      </w:r>
      <w:r>
        <w:t>.1</w:t>
      </w:r>
      <w:r>
        <w:rPr>
          <w:rFonts w:hint="eastAsia"/>
        </w:rPr>
        <w:t xml:space="preserve">  数字孪生概念与体系架构</w:t>
      </w:r>
      <w:bookmarkEnd w:id="50"/>
    </w:p>
    <w:p w14:paraId="0C1E029E">
      <w:pPr>
        <w:ind w:firstLine="480"/>
      </w:pPr>
      <w:r>
        <w:rPr>
          <w:rFonts w:hint="eastAsia"/>
        </w:rPr>
        <w:t>数字孪生（Digital Twin）概念最早由美国密歇根大学的Grieves教授于2003年提出，概念为物理空间产品和虚拟空间产品之间的信息连接。2019年，陶飞等</w:t>
      </w:r>
      <w:r>
        <w:rPr>
          <w:rFonts w:hint="eastAsia"/>
          <w:vertAlign w:val="superscript"/>
        </w:rPr>
        <w:t>[</w:t>
      </w:r>
      <w:r>
        <w:rPr>
          <w:rFonts w:hint="eastAsia"/>
          <w:vertAlign w:val="superscript"/>
          <w:lang w:val="en-US" w:eastAsia="zh-CN"/>
        </w:rPr>
        <w:t>39</w:t>
      </w:r>
      <w:r>
        <w:rPr>
          <w:rFonts w:hint="eastAsia"/>
          <w:vertAlign w:val="superscript"/>
        </w:rPr>
        <w:t>]</w:t>
      </w:r>
      <w:r>
        <w:rPr>
          <w:rFonts w:hint="eastAsia"/>
        </w:rPr>
        <w:t>提出了如图2-1所示的具有代表性的数字孪生五维结构模型，认为数字孪生可由物理实体、虚拟实体、服务、数字孪生数据和连接五个维度共同构成。其中，物理实体是现实世界中的设备、系统或流程对象；虚拟实体是对物理对象进行多尺度、多视角描述的数字模型；服务维度面向监测、分析、预测、诊断和优化等业务需求；数字孪生数据贯穿于设计、制造、运行和维护全过程，既包括实时数据，也包括历史数据、仿真数据和知识数据；连接维度则用于实现五个维度之间的数据流动、状态同步和功能协同。</w:t>
      </w:r>
    </w:p>
    <w:p w14:paraId="5F9A8993">
      <w:pPr>
        <w:spacing w:line="240" w:lineRule="auto"/>
        <w:ind w:firstLine="0" w:firstLineChars="0"/>
      </w:pPr>
      <w:r>
        <w:drawing>
          <wp:inline distT="0" distB="0" distL="114300" distR="114300">
            <wp:extent cx="5276215" cy="3274695"/>
            <wp:effectExtent l="0" t="0" r="12065" b="1905"/>
            <wp:docPr id="5" name="图片 5" descr="fig2-1五维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五维模型"/>
                    <pic:cNvPicPr>
                      <a:picLocks noChangeAspect="1"/>
                    </pic:cNvPicPr>
                  </pic:nvPicPr>
                  <pic:blipFill>
                    <a:blip r:embed="rId43"/>
                    <a:stretch>
                      <a:fillRect/>
                    </a:stretch>
                  </pic:blipFill>
                  <pic:spPr>
                    <a:xfrm>
                      <a:off x="0" y="0"/>
                      <a:ext cx="5276215" cy="3274695"/>
                    </a:xfrm>
                    <a:prstGeom prst="rect">
                      <a:avLst/>
                    </a:prstGeom>
                  </pic:spPr>
                </pic:pic>
              </a:graphicData>
            </a:graphic>
          </wp:inline>
        </w:drawing>
      </w:r>
    </w:p>
    <w:p w14:paraId="64ABC631">
      <w:pPr>
        <w:pStyle w:val="92"/>
      </w:pPr>
      <w:r>
        <w:rPr>
          <w:rFonts w:hint="eastAsia"/>
        </w:rPr>
        <w:t>图2-1 数字孪生五维结构模型</w:t>
      </w:r>
    </w:p>
    <w:p w14:paraId="70F66B81">
      <w:pPr>
        <w:ind w:firstLine="480"/>
      </w:pPr>
      <w:r>
        <w:t>数字孪生是面向物理对象、过程或系统建立高保真数字映射，并通过数据连接实现状态感知、行为分析、结果预测与反馈优化的一类综合性技术体系</w:t>
      </w:r>
      <w:r>
        <w:rPr>
          <w:rFonts w:hint="eastAsia"/>
        </w:rPr>
        <w:t>，由多源感知、数据采集与融合、机理建模、仿真推演、可视化交互、智能分析与闭环控制等多项技术共同构成。其中，多源感知与数据采集技术负责持续获取物理实体在运行过程中的状态信息；数据融合技术用于整合来自传感器、日志、业务系统和历史记录的异构数据；机理模型、规则模型与数据驱动模型共同支撑对物理对象结构、行为和演化过程的数字化表达；仿真与推演技术用于在虚拟空间中复现、预测和验证对象运行过程；可视化与交互技术用于将复杂状态以直观形式呈现给用户；智能分析与优化控制技术则进一步支撑故障诊断、决策辅助和运行优化</w:t>
      </w:r>
      <w:r>
        <w:rPr>
          <w:rFonts w:hint="eastAsia"/>
          <w:vertAlign w:val="superscript"/>
          <w:lang w:val="en-US" w:eastAsia="zh-CN"/>
        </w:rPr>
        <w:t>[40]</w:t>
      </w:r>
      <w:r>
        <w:rPr>
          <w:rFonts w:hint="eastAsia"/>
        </w:rPr>
        <w:t>。</w:t>
      </w:r>
    </w:p>
    <w:p w14:paraId="7B1C76DD">
      <w:pPr>
        <w:ind w:firstLine="480"/>
      </w:pPr>
      <w:r>
        <w:t>数字孪生并不是对现实对象的简单镜像复制，而是一种以虚验实</w:t>
      </w:r>
      <w:r>
        <w:rPr>
          <w:rFonts w:hint="eastAsia"/>
        </w:rPr>
        <w:t>、</w:t>
      </w:r>
      <w:r>
        <w:t>以虚促实</w:t>
      </w:r>
      <w:r>
        <w:rPr>
          <w:rFonts w:hint="eastAsia"/>
        </w:rPr>
        <w:t>、</w:t>
      </w:r>
      <w:r>
        <w:t>虚实融合</w:t>
      </w:r>
      <w:r>
        <w:rPr>
          <w:rFonts w:hint="eastAsia"/>
        </w:rPr>
        <w:t>的</w:t>
      </w:r>
      <w:r>
        <w:t>方法</w:t>
      </w:r>
      <w:r>
        <w:rPr>
          <w:rFonts w:hint="eastAsia"/>
        </w:rPr>
        <w:t>集合，其核心特征如下：</w:t>
      </w:r>
    </w:p>
    <w:p w14:paraId="05A9D3CF">
      <w:pPr>
        <w:numPr>
          <w:ilvl w:val="0"/>
          <w:numId w:val="3"/>
        </w:numPr>
        <w:ind w:firstLine="480"/>
      </w:pPr>
      <w:r>
        <w:rPr>
          <w:rFonts w:hint="eastAsia"/>
        </w:rPr>
        <w:t>虚实映射：即物理世界中的对象、过程和关系能够在数字空间中形成可识别、可计算、可追踪的映射表达。</w:t>
      </w:r>
    </w:p>
    <w:p w14:paraId="3ABD4849">
      <w:pPr>
        <w:numPr>
          <w:ilvl w:val="0"/>
          <w:numId w:val="3"/>
        </w:numPr>
        <w:ind w:firstLine="480"/>
      </w:pPr>
      <w:r>
        <w:rPr>
          <w:rFonts w:ascii="宋体" w:hAnsi="宋体" w:cs="宋体"/>
        </w:rPr>
        <w:t>实时交互</w:t>
      </w:r>
      <w:r>
        <w:rPr>
          <w:rFonts w:hint="eastAsia" w:ascii="宋体" w:hAnsi="宋体" w:cs="宋体"/>
        </w:rPr>
        <w:t>：</w:t>
      </w:r>
      <w:r>
        <w:rPr>
          <w:rFonts w:ascii="宋体" w:hAnsi="宋体" w:cs="宋体"/>
        </w:rPr>
        <w:t>即虚拟空间中的状态并非离线静态结果，而是随着物理对象状态变化持续更新，并可反向作用于现实系统</w:t>
      </w:r>
      <w:r>
        <w:rPr>
          <w:rFonts w:hint="eastAsia" w:ascii="宋体" w:hAnsi="宋体" w:cs="宋体"/>
        </w:rPr>
        <w:t>。</w:t>
      </w:r>
    </w:p>
    <w:p w14:paraId="5F779C89">
      <w:pPr>
        <w:numPr>
          <w:ilvl w:val="0"/>
          <w:numId w:val="3"/>
        </w:numPr>
        <w:ind w:firstLine="480"/>
      </w:pPr>
      <w:r>
        <w:rPr>
          <w:rFonts w:ascii="宋体" w:hAnsi="宋体" w:cs="宋体"/>
        </w:rPr>
        <w:t>闭环优化</w:t>
      </w:r>
      <w:r>
        <w:rPr>
          <w:rFonts w:hint="eastAsia" w:ascii="宋体" w:hAnsi="宋体" w:cs="宋体"/>
        </w:rPr>
        <w:t>：</w:t>
      </w:r>
      <w:r>
        <w:rPr>
          <w:rFonts w:ascii="宋体" w:hAnsi="宋体" w:cs="宋体"/>
        </w:rPr>
        <w:t>即数字孪生不止于“看见”和“表示”，而是进一步服务于预测、诊断、评估和优化，从而实现由认知到决策再到执行的闭环。</w:t>
      </w:r>
    </w:p>
    <w:p w14:paraId="1795F0BE">
      <w:pPr>
        <w:pStyle w:val="4"/>
      </w:pPr>
      <w:bookmarkStart w:id="51" w:name="_Toc3820"/>
      <w:r>
        <w:t>2.</w:t>
      </w:r>
      <w:r>
        <w:rPr>
          <w:rFonts w:hint="eastAsia"/>
        </w:rPr>
        <w:t>1</w:t>
      </w:r>
      <w:r>
        <w:t>.</w:t>
      </w:r>
      <w:r>
        <w:rPr>
          <w:rFonts w:hint="eastAsia"/>
        </w:rPr>
        <w:t>2  面向AI训推场景的数字孪生应用</w:t>
      </w:r>
      <w:bookmarkEnd w:id="51"/>
    </w:p>
    <w:p w14:paraId="197D8A53">
      <w:pPr>
        <w:ind w:firstLine="480"/>
      </w:pPr>
      <w:r>
        <w:rPr>
          <w:rFonts w:hint="eastAsia"/>
        </w:rPr>
        <w:t>在电力场景中，数字孪生的应用对象已不再局限于单台设备或单个生产环节，而是逐步扩展到电网运行状态感知、设备健康管理、调度决策推演、故障诊断分析和全局运行优化等复杂系统层面</w:t>
      </w:r>
      <w:r>
        <w:rPr>
          <w:rFonts w:hint="eastAsia"/>
          <w:vertAlign w:val="superscript"/>
          <w:lang w:val="en-US" w:eastAsia="zh-CN"/>
        </w:rPr>
        <w:t>[41]</w:t>
      </w:r>
      <w:r>
        <w:rPr>
          <w:rFonts w:hint="eastAsia"/>
        </w:rPr>
        <w:t>。已有研究指出，电力系统数字孪生强调多源异构数据驱动、虚实双向交互和动态演化一致性，其目标是在数字空间中建立与物理电网同步演进的高保真映射体，从而支撑运行监视、状态评估、风险预警和辅助决策。与传统电力仿真相比，数字孪生更强调实时性、双向性和在线闭环能力，因此更适合面向复杂、动态和高可靠要求的电力业务场景。</w:t>
      </w:r>
    </w:p>
    <w:p w14:paraId="0CE9273E">
      <w:pPr>
        <w:ind w:firstLine="480"/>
      </w:pPr>
      <w:r>
        <w:rPr>
          <w:rFonts w:hint="eastAsia"/>
        </w:rPr>
        <w:t>面向AI训推场景的数字孪生需要同时刻画算力资源、数据资产、模型资产和业务应用四类核心对象。也就是说，其孪生对象不仅包括服务器、GPU、存储和网络等基础设施，还包括数据集、标注任务、模型版本、训练任务、推理服务以及与之关联的业务流程。这样，数字孪生才能支撑从数据接入、模型训练、部署推理到业务调用的全链路统一表达。</w:t>
      </w:r>
    </w:p>
    <w:p w14:paraId="19AD7ECC">
      <w:pPr>
        <w:pStyle w:val="3"/>
        <w:spacing w:before="163" w:after="163"/>
        <w:rPr>
          <w:sz w:val="24"/>
        </w:rPr>
      </w:pPr>
      <w:bookmarkStart w:id="52" w:name="_Toc23164"/>
      <w:r>
        <w:t>2.</w:t>
      </w:r>
      <w:r>
        <w:rPr>
          <w:rFonts w:hint="eastAsia"/>
        </w:rPr>
        <w:t xml:space="preserve">2  </w:t>
      </w:r>
      <w:bookmarkEnd w:id="45"/>
      <w:bookmarkEnd w:id="46"/>
      <w:bookmarkEnd w:id="47"/>
      <w:bookmarkEnd w:id="48"/>
      <w:bookmarkEnd w:id="49"/>
      <w:r>
        <w:rPr>
          <w:rFonts w:hint="eastAsia"/>
        </w:rPr>
        <w:t>大语言模型与检索增强生成</w:t>
      </w:r>
      <w:bookmarkEnd w:id="52"/>
    </w:p>
    <w:p w14:paraId="6BCBCD2A">
      <w:pPr>
        <w:pStyle w:val="4"/>
      </w:pPr>
      <w:bookmarkStart w:id="53" w:name="_Toc12161_WPSOffice_Level3"/>
      <w:bookmarkStart w:id="54" w:name="_Toc16328"/>
      <w:bookmarkStart w:id="55" w:name="_Toc22161"/>
      <w:bookmarkStart w:id="56" w:name="_Toc29775"/>
      <w:r>
        <w:t>2.</w:t>
      </w:r>
      <w:r>
        <w:rPr>
          <w:rFonts w:hint="eastAsia"/>
        </w:rPr>
        <w:t>2</w:t>
      </w:r>
      <w:r>
        <w:t>.1</w:t>
      </w:r>
      <w:r>
        <w:rPr>
          <w:rFonts w:hint="eastAsia"/>
        </w:rPr>
        <w:t xml:space="preserve">  </w:t>
      </w:r>
      <w:bookmarkEnd w:id="53"/>
      <w:bookmarkEnd w:id="54"/>
      <w:bookmarkEnd w:id="55"/>
      <w:r>
        <w:rPr>
          <w:rFonts w:hint="eastAsia"/>
        </w:rPr>
        <w:t>大语言模型基本原理</w:t>
      </w:r>
      <w:bookmarkEnd w:id="56"/>
    </w:p>
    <w:p w14:paraId="16E57B04">
      <w:pPr>
        <w:snapToGrid w:val="0"/>
        <w:ind w:firstLine="480"/>
        <w:rPr>
          <w:snapToGrid w:val="0"/>
        </w:rPr>
      </w:pPr>
      <w:r>
        <w:rPr>
          <w:rFonts w:hint="eastAsia"/>
          <w:snapToGrid w:val="0"/>
        </w:rPr>
        <w:t>大语言模型的技术基础建立在Transformer架构之上。Transformer通过自注意力机制（Self-Attention Mechanism）在不依赖循环结构和卷积结构的前提下建模序列内部的全局依赖关系，从而显著提升了并行计算能力和长距离语义关联建模能力</w:t>
      </w:r>
      <w:r>
        <w:rPr>
          <w:rFonts w:hint="eastAsia"/>
          <w:snapToGrid w:val="0"/>
          <w:vertAlign w:val="superscript"/>
        </w:rPr>
        <w:t>[</w:t>
      </w:r>
      <w:r>
        <w:rPr>
          <w:rFonts w:hint="eastAsia"/>
          <w:snapToGrid w:val="0"/>
          <w:vertAlign w:val="superscript"/>
          <w:lang w:val="en-US" w:eastAsia="zh-CN"/>
        </w:rPr>
        <w:t>42</w:t>
      </w:r>
      <w:r>
        <w:rPr>
          <w:rFonts w:hint="eastAsia"/>
          <w:snapToGrid w:val="0"/>
          <w:vertAlign w:val="superscript"/>
        </w:rPr>
        <w:t>]</w:t>
      </w:r>
      <w:r>
        <w:rPr>
          <w:rFonts w:hint="eastAsia"/>
          <w:snapToGrid w:val="0"/>
        </w:rPr>
        <w:t>。这一架构为后续GPT、BERT、LLaMA、Qwen等</w:t>
      </w:r>
      <w:r>
        <w:rPr>
          <w:rFonts w:hint="eastAsia"/>
          <w:vertAlign w:val="superscript"/>
          <w:lang w:val="en-US" w:eastAsia="zh-CN"/>
        </w:rPr>
        <w:t>[43-44]</w:t>
      </w:r>
      <w:r>
        <w:rPr>
          <w:rFonts w:hint="eastAsia"/>
          <w:snapToGrid w:val="0"/>
        </w:rPr>
        <w:t>大模型的发展奠定了基础，使语言模型能够在海量语料上学习语法规律、语义关联和世界知识，并在下游任务中表现出较强的泛化能力</w:t>
      </w:r>
      <w:r>
        <w:rPr>
          <w:rFonts w:hint="eastAsia"/>
          <w:vertAlign w:val="superscript"/>
          <w:lang w:val="en-US" w:eastAsia="zh-CN"/>
        </w:rPr>
        <w:t>[45]</w:t>
      </w:r>
      <w:r>
        <w:rPr>
          <w:rFonts w:hint="eastAsia"/>
          <w:snapToGrid w:val="0"/>
        </w:rPr>
        <w:t>。</w:t>
      </w:r>
    </w:p>
    <w:p w14:paraId="46B54F87">
      <w:pPr>
        <w:ind w:firstLine="480"/>
      </w:pPr>
      <w:r>
        <w:rPr>
          <w:rFonts w:hint="eastAsia"/>
        </w:rPr>
        <w:t>Transformer总体结构如图2-2所示，其经典架构由编码器（Encoder）和解码器（Decoder）两部分堆叠组成。输入序列首先经过词嵌入（Embedding）和位置编码（Positional Encoding）处理，以同时保留词元语义信息和序列位置信息；随后送入多层编码器结构中进行特征提取。每个编码器层主要包括多头自注意力机制和前馈神经网络，并通过残差连接与层归一化增强训练稳定性。解码器部分同样采用多层堆叠结构，但在自注意力模块中引入掩码机制，以保证当前位置只能关注已生成的历史词元；同时，解码器还通过编码器—解码器注意力模块接收来自编码器输出的上下文信息，从而实现条件生成。</w:t>
      </w:r>
    </w:p>
    <w:p w14:paraId="2669FB92">
      <w:pPr>
        <w:snapToGrid w:val="0"/>
        <w:spacing w:line="240" w:lineRule="auto"/>
        <w:ind w:firstLine="0" w:firstLineChars="0"/>
        <w:jc w:val="center"/>
        <w:rPr>
          <w:snapToGrid w:val="0"/>
        </w:rPr>
      </w:pPr>
      <w:r>
        <w:rPr>
          <w:rFonts w:hint="eastAsia"/>
          <w:snapToGrid w:val="0"/>
        </w:rPr>
        <w:drawing>
          <wp:inline distT="0" distB="0" distL="114300" distR="114300">
            <wp:extent cx="3477895" cy="4951095"/>
            <wp:effectExtent l="0" t="0" r="12065" b="1905"/>
            <wp:docPr id="25" name="图片 25" descr="fig2-2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2-2Transformer"/>
                    <pic:cNvPicPr>
                      <a:picLocks noChangeAspect="1"/>
                    </pic:cNvPicPr>
                  </pic:nvPicPr>
                  <pic:blipFill>
                    <a:blip r:embed="rId44"/>
                    <a:stretch>
                      <a:fillRect/>
                    </a:stretch>
                  </pic:blipFill>
                  <pic:spPr>
                    <a:xfrm>
                      <a:off x="0" y="0"/>
                      <a:ext cx="3477895" cy="4951095"/>
                    </a:xfrm>
                    <a:prstGeom prst="rect">
                      <a:avLst/>
                    </a:prstGeom>
                  </pic:spPr>
                </pic:pic>
              </a:graphicData>
            </a:graphic>
          </wp:inline>
        </w:drawing>
      </w:r>
    </w:p>
    <w:p w14:paraId="0FD8CAC2">
      <w:pPr>
        <w:pStyle w:val="92"/>
      </w:pPr>
      <w:r>
        <w:rPr>
          <w:rFonts w:hint="eastAsia"/>
        </w:rPr>
        <w:t>图2-2 Transformer结构图</w:t>
      </w:r>
    </w:p>
    <w:p w14:paraId="73969214">
      <w:pPr>
        <w:ind w:firstLine="480"/>
      </w:pPr>
      <w:r>
        <w:rPr>
          <w:rFonts w:hint="eastAsia"/>
        </w:rPr>
        <w:t>尽管不同模型在具体结构上有所差异，例如BERT主要采用编码器结构，GPT系列主要采用解码器结构，但其核心仍建立在Transformer的注意力计算框架之上。Transformer中的核心运算为缩放点积注意力，其计算形式为：</w:t>
      </w:r>
    </w:p>
    <w:p w14:paraId="5E85A8DF">
      <w:pPr>
        <w:pStyle w:val="86"/>
        <w:ind w:firstLine="480"/>
        <w:rPr>
          <w:rFonts w:hint="eastAsia"/>
          <w:i w:val="0"/>
          <w:lang w:val="en-US" w:eastAsia="zh-CN"/>
        </w:rPr>
      </w:pPr>
      <m:oMathPara>
        <m:oMath>
          <m:eqArr>
            <m:eqArrPr>
              <m:maxDist m:val="1"/>
              <m:ctrlPr>
                <w:rPr>
                  <w:rFonts w:hint="eastAsia"/>
                  <w:i w:val="0"/>
                  <w:lang w:val="en-US" w:eastAsia="zh-CN"/>
                </w:rPr>
              </m:ctrlPr>
            </m:eqArrPr>
            <m:e>
              <m:r>
                <m:rPr>
                  <m:sty m:val="p"/>
                </m:rPr>
                <m:t>Attention</m:t>
              </m:r>
              <m:r>
                <m:rPr/>
                <m:t>(Q,K,V)=</m:t>
              </m:r>
              <m:r>
                <m:rPr>
                  <m:sty m:val="p"/>
                </m:rPr>
                <m:t>softmax</m:t>
              </m:r>
              <m:d>
                <m:dPr/>
                <m:e>
                  <m:f>
                    <m:fPr/>
                    <m:num>
                      <m:r>
                        <m:rPr/>
                        <m:t>Q</m:t>
                      </m:r>
                      <m:sSup>
                        <m:sSupPr/>
                        <m:e>
                          <m:r>
                            <m:rPr/>
                            <m:t>K</m:t>
                          </m:r>
                        </m:e>
                        <m:sup>
                          <m:r>
                            <m:rPr/>
                            <m:t>T</m:t>
                          </m:r>
                        </m:sup>
                      </m:sSup>
                    </m:num>
                    <m:den>
                      <m:rad>
                        <m:radPr>
                          <m:degHide m:val="1"/>
                        </m:radPr>
                        <m:deg/>
                        <m:e>
                          <m:sSub>
                            <m:sSubPr/>
                            <m:e>
                              <m:r>
                                <m:rPr/>
                                <m:t>d</m:t>
                              </m:r>
                            </m:e>
                            <m:sub>
                              <m:r>
                                <m:rPr/>
                                <m:t>k</m:t>
                              </m:r>
                            </m:sub>
                          </m:sSub>
                        </m:e>
                      </m:rad>
                    </m:den>
                  </m:f>
                </m:e>
              </m:d>
              <m:r>
                <m:rPr/>
                <m:t>V</m:t>
              </m:r>
              <m:r>
                <m:rPr>
                  <m:sty m:val="p"/>
                </m:rPr>
                <w:rPr>
                  <w:rFonts w:hint="default"/>
                  <w:lang w:val="en-US" w:eastAsia="zh-CN"/>
                </w:rPr>
                <m:t>#</m:t>
              </m:r>
              <m:r>
                <m:rPr>
                  <m:sty m:val="p"/>
                </m:rPr>
                <w:rPr>
                  <w:rFonts w:hint="eastAsia"/>
                  <w:lang w:val="en-US" w:eastAsia="zh-CN"/>
                </w:rPr>
                <m:t>（</m:t>
              </m:r>
              <m:r>
                <m:rPr>
                  <m:sty m:val="p"/>
                </m:rPr>
                <w:rPr>
                  <w:rFonts w:hint="default"/>
                  <w:lang w:val="en-US" w:eastAsia="zh-CN"/>
                </w:rPr>
                <m:t>2−1</m:t>
              </m:r>
              <m:r>
                <m:rPr>
                  <m:sty m:val="p"/>
                </m:rPr>
                <w:rPr>
                  <w:rFonts w:hint="eastAsia"/>
                  <w:lang w:val="en-US" w:eastAsia="zh-CN"/>
                </w:rPr>
                <m:t>）</m:t>
              </m:r>
              <m:ctrlPr>
                <w:rPr>
                  <w:rFonts w:hint="eastAsia"/>
                  <w:i w:val="0"/>
                  <w:lang w:val="en-US" w:eastAsia="zh-CN"/>
                </w:rPr>
              </m:ctrlPr>
            </m:e>
          </m:eqArr>
        </m:oMath>
      </m:oMathPara>
    </w:p>
    <w:p w14:paraId="6B51411F">
      <w:pPr>
        <w:ind w:firstLine="480"/>
      </w:pPr>
      <w:r>
        <w:rPr>
          <w:rFonts w:hint="eastAsia"/>
        </w:rPr>
        <w:t>其中，Q、K、V为键向量维度。该式表明，序列中任一位置的表示都可以与其余位置建立加权关联，从而实现对上下文依赖关系的自适应建模。在大语言模型中，多头注意力、前馈网络、残差连接和层归一化等模块共同构成深层表示学习骨架，使模型具备强大的上下文理解与文本生成能力。</w:t>
      </w:r>
    </w:p>
    <w:p w14:paraId="1AD19E47">
      <w:pPr>
        <w:ind w:firstLine="480"/>
      </w:pPr>
      <w:r>
        <w:rPr>
          <w:rFonts w:hint="eastAsia"/>
        </w:rPr>
        <w:t>从训练目标看，大语言模型通常采用自回归或掩码建模范式进行大规模预训练。对自回归生成模型而言，其核心目标是在给定前文条件下最大化下一个词元的条件概率，即：</w:t>
      </w:r>
    </w:p>
    <w:p w14:paraId="60F6F021">
      <w:pPr>
        <w:pStyle w:val="86"/>
        <w:ind w:firstLine="480"/>
        <w:rPr>
          <w:rFonts w:hint="eastAsia"/>
          <w:b w:val="0"/>
          <w:i w:val="0"/>
          <w:lang w:val="en-US" w:eastAsia="zh-CN"/>
        </w:rPr>
      </w:pPr>
      <m:oMathPara>
        <m:oMath>
          <m:eqArr>
            <m:eqArrPr>
              <m:maxDist m:val="1"/>
              <m:ctrlPr>
                <w:rPr>
                  <w:rFonts w:hint="eastAsia"/>
                  <w:b w:val="0"/>
                  <w:i w:val="0"/>
                  <w:lang w:val="en-US" w:eastAsia="zh-CN"/>
                </w:rPr>
              </m:ctrlPr>
            </m:eqArrPr>
            <m:e>
              <m:r>
                <m:rPr/>
                <m:t>P</m:t>
              </m:r>
              <m:r>
                <m:rPr>
                  <m:sty m:val="p"/>
                </m:rPr>
                <m:t>(</m:t>
              </m:r>
              <m:sSub>
                <m:sSubPr/>
                <m:e>
                  <m:r>
                    <m:rPr/>
                    <m:t>x</m:t>
                  </m:r>
                </m:e>
                <m:sub>
                  <m:r>
                    <m:rPr>
                      <m:sty m:val="p"/>
                    </m:rPr>
                    <m:t>1</m:t>
                  </m:r>
                </m:sub>
              </m:sSub>
              <m:r>
                <m:rPr>
                  <m:sty m:val="p"/>
                </m:rPr>
                <m:t>,</m:t>
              </m:r>
              <m:sSub>
                <m:sSubPr/>
                <m:e>
                  <m:r>
                    <m:rPr/>
                    <m:t>x</m:t>
                  </m:r>
                </m:e>
                <m:sub>
                  <m:r>
                    <m:rPr>
                      <m:sty m:val="p"/>
                    </m:rPr>
                    <m:t>2</m:t>
                  </m:r>
                </m:sub>
              </m:sSub>
              <m:r>
                <m:rPr>
                  <m:sty m:val="p"/>
                </m:rPr>
                <m:t>,…,</m:t>
              </m:r>
              <m:sSub>
                <m:sSubPr/>
                <m:e>
                  <m:r>
                    <m:rPr/>
                    <m:t>x</m:t>
                  </m:r>
                </m:e>
                <m:sub>
                  <m:r>
                    <m:rPr/>
                    <m:t>n</m:t>
                  </m:r>
                </m:sub>
              </m:sSub>
              <m:r>
                <m:rPr>
                  <m:sty m:val="p"/>
                </m:rPr>
                <m:t>)=</m:t>
              </m:r>
              <m:nary>
                <m:naryPr>
                  <m:chr m:val="∏"/>
                  <m:grow m:val="1"/>
                  <m:limLoc m:val="undOvr"/>
                </m:naryPr>
                <m:sub>
                  <m:r>
                    <m:rPr/>
                    <m:t>t</m:t>
                  </m:r>
                  <m:r>
                    <m:rPr>
                      <m:sty m:val="p"/>
                    </m:rPr>
                    <m:t>=1</m:t>
                  </m:r>
                </m:sub>
                <m:sup>
                  <m:r>
                    <m:rPr/>
                    <m:t>n</m:t>
                  </m:r>
                </m:sup>
                <m:e>
                  <m:r>
                    <m:rPr>
                      <m:sty m:val="p"/>
                    </m:rPr>
                    <m:t> </m:t>
                  </m:r>
                </m:e>
              </m:nary>
              <m:r>
                <m:rPr/>
                <m:t>P</m:t>
              </m:r>
              <m:r>
                <m:rPr>
                  <m:sty m:val="p"/>
                </m:rPr>
                <m:t>(</m:t>
              </m:r>
              <m:sSub>
                <m:sSubPr/>
                <m:e>
                  <m:r>
                    <m:rPr/>
                    <m:t>x</m:t>
                  </m:r>
                </m:e>
                <m:sub>
                  <m:r>
                    <m:rPr/>
                    <m:t>t</m:t>
                  </m:r>
                </m:sub>
              </m:sSub>
              <m:r>
                <m:rPr>
                  <m:sty m:val="p"/>
                </m:rPr>
                <m:t>∣</m:t>
              </m:r>
              <m:sSub>
                <m:sSubPr/>
                <m:e>
                  <m:r>
                    <m:rPr/>
                    <m:t>x</m:t>
                  </m:r>
                </m:e>
                <m:sub>
                  <m:r>
                    <m:rPr>
                      <m:sty m:val="p"/>
                    </m:rPr>
                    <m:t>&lt;</m:t>
                  </m:r>
                  <m:r>
                    <m:rPr/>
                    <m:t>t</m:t>
                  </m:r>
                </m:sub>
              </m:sSub>
              <m:r>
                <m:rPr>
                  <m:sty m:val="p"/>
                </m:rPr>
                <m:t>)</m:t>
              </m:r>
              <m:r>
                <m:rPr>
                  <m:sty m:val="p"/>
                </m:rPr>
                <w:rPr>
                  <w:rFonts w:hint="default"/>
                  <w:lang w:val="en-US" w:eastAsia="zh-CN"/>
                </w:rPr>
                <m:t>#</m:t>
              </m:r>
              <m:r>
                <m:rPr>
                  <m:sty m:val="p"/>
                </m:rPr>
                <w:rPr>
                  <w:rFonts w:hint="eastAsia"/>
                  <w:lang w:val="en-US" w:eastAsia="zh-CN"/>
                </w:rPr>
                <m:t>（</m:t>
              </m:r>
              <m:r>
                <m:rPr>
                  <m:sty m:val="p"/>
                </m:rPr>
                <w:rPr>
                  <w:rFonts w:hint="default"/>
                  <w:lang w:val="en-US" w:eastAsia="zh-CN"/>
                </w:rPr>
                <m:t>2−2</m:t>
              </m:r>
              <m:r>
                <m:rPr>
                  <m:sty m:val="p"/>
                </m:rPr>
                <w:rPr>
                  <w:rFonts w:hint="eastAsia"/>
                  <w:lang w:val="en-US" w:eastAsia="zh-CN"/>
                </w:rPr>
                <m:t>）</m:t>
              </m:r>
              <m:ctrlPr>
                <w:rPr>
                  <w:rFonts w:hint="eastAsia"/>
                  <w:b w:val="0"/>
                  <w:i w:val="0"/>
                  <w:lang w:val="en-US" w:eastAsia="zh-CN"/>
                </w:rPr>
              </m:ctrlPr>
            </m:e>
          </m:eqArr>
        </m:oMath>
      </m:oMathPara>
    </w:p>
    <w:p w14:paraId="72E7CA28">
      <w:pPr>
        <w:ind w:firstLine="0" w:firstLineChars="0"/>
      </w:pPr>
      <w:r>
        <w:rPr>
          <w:rFonts w:hint="eastAsia"/>
        </w:rPr>
        <w:t>大语言模型本质上是在学习序列的概率分布，并通过参数化方式将语言规律和知识压缩进模型参数中。这一方式在赋予模型强大生成能力的同时，也带来了知识更新困难、事实可追溯性不足以及幻觉现象等问题。在电力调度等高可信业务场景中，仅依赖参数化知识往往难以满足对实时性、专业性和证据可解释性的要求，这也是后续RAG范式被广泛引入的重要原因</w:t>
      </w:r>
      <w:r>
        <w:rPr>
          <w:rFonts w:hint="eastAsia"/>
          <w:vertAlign w:val="superscript"/>
          <w:lang w:val="en-US" w:eastAsia="zh-CN"/>
        </w:rPr>
        <w:t>[11]</w:t>
      </w:r>
      <w:r>
        <w:rPr>
          <w:rFonts w:hint="eastAsia"/>
        </w:rPr>
        <w:t>。</w:t>
      </w:r>
    </w:p>
    <w:p w14:paraId="3A23C456">
      <w:pPr>
        <w:pStyle w:val="4"/>
      </w:pPr>
      <w:bookmarkStart w:id="57" w:name="_Toc12671"/>
      <w:r>
        <w:rPr>
          <w:rFonts w:hint="eastAsia"/>
        </w:rPr>
        <w:t>2.2.2  RAG系统架构</w:t>
      </w:r>
      <w:bookmarkEnd w:id="57"/>
    </w:p>
    <w:p w14:paraId="21010C38">
      <w:pPr>
        <w:ind w:firstLine="480"/>
      </w:pPr>
      <w:r>
        <w:t>检索增强生成的基本思想是将外部知识检索与大语言模型生成能力结合起来，以缓解参数化知识静态固化所带来的时效性不足和事实不稳定问题</w:t>
      </w:r>
      <w:r>
        <w:rPr>
          <w:rFonts w:hint="eastAsia"/>
          <w:vertAlign w:val="superscript"/>
          <w:lang w:val="en-US" w:eastAsia="zh-CN"/>
        </w:rPr>
        <w:t>[11]</w:t>
      </w:r>
      <w:r>
        <w:t>。</w:t>
      </w:r>
    </w:p>
    <w:p w14:paraId="14ADA203">
      <w:pPr>
        <w:ind w:firstLine="480"/>
      </w:pPr>
      <w:r>
        <w:t>RAG</w:t>
      </w:r>
      <w:r>
        <w:rPr>
          <w:rFonts w:hint="eastAsia"/>
        </w:rPr>
        <w:t>流程</w:t>
      </w:r>
      <w:r>
        <w:t>一般包括四个关键阶段：第一，接收用户查询并进行查询表达；第二，从外部知识库中检索与查询相关的候选证据；第三，对召回结果进行截断、重排或拼接，形成增强上下文；第四，将增强上下文与原始问题共同输入生成模型，输出最终回答。其生成过程可形式化表示为</w:t>
      </w:r>
      <w:r>
        <w:rPr>
          <w:rFonts w:hint="eastAsia"/>
        </w:rPr>
        <w:t>：</w:t>
      </w:r>
    </w:p>
    <w:p w14:paraId="5BF1A036">
      <w:pPr>
        <w:pStyle w:val="86"/>
        <w:ind w:firstLine="480"/>
        <w:rPr>
          <w:rFonts w:hint="eastAsia" w:hAnsi="Times New Roman"/>
          <w:b w:val="0"/>
          <w:i w:val="0"/>
          <w:lang w:val="en-US" w:eastAsia="zh-CN"/>
        </w:rPr>
      </w:pPr>
      <m:oMathPara>
        <m:oMath>
          <m:eqArr>
            <m:eqArrPr>
              <m:maxDist m:val="1"/>
              <m:ctrlPr>
                <w:rPr>
                  <w:rFonts w:hint="eastAsia" w:hAnsi="Times New Roman"/>
                  <w:b w:val="0"/>
                  <w:i w:val="0"/>
                  <w:lang w:val="en-US" w:eastAsia="zh-CN"/>
                </w:rPr>
              </m:ctrlPr>
            </m:eqArrPr>
            <m:e>
              <m:r>
                <m:rPr>
                  <m:sty m:val="p"/>
                </m:rPr>
                <w:rPr>
                  <w:rFonts w:ascii="Times New Roman" w:hAnsi="Times New Roman"/>
                </w:rPr>
                <m:t>p(y∣x)≈</m:t>
              </m:r>
              <m:nary>
                <m:naryPr>
                  <m:chr m:val="∑"/>
                  <m:grow m:val="1"/>
                  <m:limLoc m:val="undOvr"/>
                  <m:supHide m:val="1"/>
                </m:naryPr>
                <m:sub>
                  <m:r>
                    <m:rPr>
                      <m:sty m:val="p"/>
                    </m:rPr>
                    <w:rPr>
                      <w:rFonts w:ascii="Times New Roman" w:hAnsi="Times New Roman"/>
                    </w:rPr>
                    <m:t>z∈Top−k</m:t>
                  </m:r>
                </m:sub>
                <m:sup/>
                <m:e>
                  <m:r>
                    <m:rPr>
                      <m:sty m:val="p"/>
                    </m:rPr>
                    <w:rPr>
                      <w:rFonts w:ascii="Times New Roman" w:hAnsi="Times New Roman"/>
                    </w:rPr>
                    <m:t> </m:t>
                  </m:r>
                </m:e>
              </m:nary>
              <m:sSub>
                <m:sSubPr/>
                <m:e>
                  <m:r>
                    <m:rPr>
                      <m:sty m:val="p"/>
                    </m:rPr>
                    <w:rPr>
                      <w:rFonts w:ascii="Times New Roman" w:hAnsi="Times New Roman"/>
                    </w:rPr>
                    <m:t>p</m:t>
                  </m:r>
                </m:e>
                <m:sub>
                  <m:r>
                    <m:rPr>
                      <m:sty m:val="p"/>
                    </m:rPr>
                    <w:rPr>
                      <w:rFonts w:ascii="Times New Roman" w:hAnsi="Times New Roman"/>
                    </w:rPr>
                    <m:t>η</m:t>
                  </m:r>
                </m:sub>
              </m:sSub>
              <m:r>
                <m:rPr>
                  <m:sty m:val="p"/>
                </m:rPr>
                <w:rPr>
                  <w:rFonts w:ascii="Times New Roman" w:hAnsi="Times New Roman"/>
                </w:rPr>
                <m:t>(z∣x)</m:t>
              </m:r>
              <m:sSub>
                <m:sSubPr/>
                <m:e>
                  <m:r>
                    <m:rPr>
                      <m:sty m:val="p"/>
                    </m:rPr>
                    <w:rPr>
                      <w:rFonts w:ascii="Times New Roman" w:hAnsi="Times New Roman"/>
                    </w:rPr>
                    <m:t>p</m:t>
                  </m:r>
                </m:e>
                <m:sub>
                  <m:r>
                    <m:rPr>
                      <m:sty m:val="p"/>
                    </m:rPr>
                    <w:rPr>
                      <w:rFonts w:ascii="Times New Roman" w:hAnsi="Times New Roman"/>
                    </w:rPr>
                    <m:t>θ</m:t>
                  </m:r>
                </m:sub>
              </m:sSub>
              <m:r>
                <m:rPr>
                  <m:sty m:val="p"/>
                </m:rPr>
                <w:rPr>
                  <w:rFonts w:ascii="Times New Roman" w:hAnsi="Times New Roman"/>
                </w:rPr>
                <m:t>(y∣x,z)</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2−3</m:t>
              </m:r>
              <m:r>
                <m:rPr>
                  <m:sty m:val="p"/>
                </m:rPr>
                <w:rPr>
                  <w:rFonts w:hint="eastAsia" w:ascii="Times New Roman" w:hAnsi="Times New Roman"/>
                  <w:lang w:val="en-US" w:eastAsia="zh-CN"/>
                </w:rPr>
                <m:t>）</m:t>
              </m:r>
              <m:ctrlPr>
                <w:rPr>
                  <w:rFonts w:hint="eastAsia" w:hAnsi="Times New Roman"/>
                  <w:b w:val="0"/>
                  <w:i w:val="0"/>
                  <w:lang w:val="en-US" w:eastAsia="zh-CN"/>
                </w:rPr>
              </m:ctrlPr>
            </m:e>
          </m:eqArr>
        </m:oMath>
      </m:oMathPara>
    </w:p>
    <w:p w14:paraId="4E59B6F9">
      <w:pPr>
        <w:ind w:firstLine="0" w:firstLineChars="0"/>
      </w:pPr>
      <w:r>
        <w:rPr>
          <w:rFonts w:hint="eastAsia"/>
        </w:rPr>
        <w:t>其中，</w:t>
      </w:r>
      <m:oMath>
        <m:r>
          <m:rPr>
            <m:sty m:val="p"/>
          </m:rPr>
          <m:t>x</m:t>
        </m:r>
      </m:oMath>
      <w:r>
        <w:rPr>
          <w:rFonts w:hint="eastAsia"/>
        </w:rPr>
        <w:t>为用户查询，</w:t>
      </w:r>
      <m:oMath>
        <m:r>
          <m:rPr>
            <m:sty m:val="p"/>
          </m:rPr>
          <m:t>z</m:t>
        </m:r>
      </m:oMath>
      <w:r>
        <w:rPr>
          <w:rFonts w:hint="eastAsia"/>
        </w:rPr>
        <w:t>为检索到的证据文档，</w:t>
      </w:r>
      <m:oMath>
        <m:sSub>
          <m:sSubPr>
            <m:ctrlPr>
              <w:rPr>
                <w:rFonts w:ascii="Cambria Math" w:hAnsi="Cambria Math"/>
              </w:rPr>
            </m:ctrlPr>
          </m:sSubPr>
          <m:e>
            <m:r>
              <m:rPr>
                <m:sty m:val="p"/>
              </m:rPr>
              <m:t>p</m:t>
            </m:r>
            <m:ctrlPr>
              <w:rPr>
                <w:rFonts w:ascii="Cambria Math" w:hAnsi="Cambria Math"/>
              </w:rPr>
            </m:ctrlPr>
          </m:e>
          <m:sub>
            <m:r>
              <m:rPr>
                <m:sty m:val="p"/>
              </m:rPr>
              <m:t>η</m:t>
            </m:r>
            <m:ctrlPr>
              <w:rPr>
                <w:rFonts w:ascii="Cambria Math" w:hAnsi="Cambria Math"/>
              </w:rPr>
            </m:ctrlPr>
          </m:sub>
        </m:sSub>
        <m:r>
          <m:rPr>
            <m:sty m:val="p"/>
          </m:rPr>
          <m:t>(z∣x)</m:t>
        </m:r>
      </m:oMath>
      <w:r>
        <w:rPr>
          <w:rFonts w:hint="eastAsia"/>
        </w:rPr>
        <w:t>为检索器给出的文档相关概率，</w:t>
      </w:r>
      <m:oMath>
        <m:sSub>
          <m:sSubPr>
            <m:ctrlPr>
              <w:rPr>
                <w:rFonts w:ascii="Cambria Math" w:hAnsi="Cambria Math"/>
              </w:rPr>
            </m:ctrlPr>
          </m:sSubPr>
          <m:e>
            <m:r>
              <m:rPr>
                <m:sty m:val="p"/>
              </m:rPr>
              <m:t>p</m:t>
            </m:r>
            <m:ctrlPr>
              <w:rPr>
                <w:rFonts w:ascii="Cambria Math" w:hAnsi="Cambria Math"/>
              </w:rPr>
            </m:ctrlPr>
          </m:e>
          <m:sub>
            <m:r>
              <m:rPr>
                <m:sty m:val="p"/>
              </m:rPr>
              <m:t>θ</m:t>
            </m:r>
            <m:ctrlPr>
              <w:rPr>
                <w:rFonts w:ascii="Cambria Math" w:hAnsi="Cambria Math"/>
              </w:rPr>
            </m:ctrlPr>
          </m:sub>
        </m:sSub>
        <m:r>
          <m:rPr>
            <m:sty m:val="p"/>
          </m:rPr>
          <m:t>(y∣x,z)</m:t>
        </m:r>
      </m:oMath>
      <w:r>
        <w:rPr>
          <w:rFonts w:hint="eastAsia"/>
        </w:rPr>
        <w:t>为生成模型在给定查询与证据条件下输出答案</w:t>
      </w:r>
      <m:oMath>
        <m:r>
          <m:rPr>
            <m:sty m:val="p"/>
          </m:rPr>
          <m:t>y</m:t>
        </m:r>
      </m:oMath>
      <w:r>
        <w:rPr>
          <w:rFonts w:hint="eastAsia"/>
        </w:rPr>
        <w:t>的条件概率。RAG最终输出依赖于“检索质量”和“生成采信”两个连续环节，而知识库投毒攻击也正是利用了这一链式依赖关系。如图2-3为RAG基本工作流程图，其中检索阶段负责从外部知识库中召回支撑证据，生成阶段则在证据增强的提示下完成回答输出。</w:t>
      </w:r>
    </w:p>
    <w:p w14:paraId="40F9C92C">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7485" cy="4251325"/>
            <wp:effectExtent l="0" t="0" r="10795" b="635"/>
            <wp:docPr id="28" name="图片 28" descr="fig2-3RAG流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2-3RAG流程2"/>
                    <pic:cNvPicPr>
                      <a:picLocks noChangeAspect="1"/>
                    </pic:cNvPicPr>
                  </pic:nvPicPr>
                  <pic:blipFill>
                    <a:blip r:embed="rId45"/>
                    <a:stretch>
                      <a:fillRect/>
                    </a:stretch>
                  </pic:blipFill>
                  <pic:spPr>
                    <a:xfrm>
                      <a:off x="0" y="0"/>
                      <a:ext cx="5277485" cy="4251325"/>
                    </a:xfrm>
                    <a:prstGeom prst="rect">
                      <a:avLst/>
                    </a:prstGeom>
                  </pic:spPr>
                </pic:pic>
              </a:graphicData>
            </a:graphic>
          </wp:inline>
        </w:drawing>
      </w:r>
    </w:p>
    <w:p w14:paraId="22721E87">
      <w:pPr>
        <w:pStyle w:val="92"/>
      </w:pPr>
      <w:r>
        <w:rPr>
          <w:rFonts w:hint="eastAsia"/>
        </w:rPr>
        <w:t>图2-3 RAG工作流程图</w:t>
      </w:r>
    </w:p>
    <w:p w14:paraId="76B646C6">
      <w:pPr>
        <w:pStyle w:val="4"/>
      </w:pPr>
      <w:bookmarkStart w:id="58" w:name="_Toc6500"/>
      <w:r>
        <w:rPr>
          <w:rFonts w:hint="eastAsia"/>
        </w:rPr>
        <w:t>2.2.3  文本向量化与检索</w:t>
      </w:r>
      <w:bookmarkEnd w:id="58"/>
    </w:p>
    <w:p w14:paraId="2AEE14C5">
      <w:pPr>
        <w:ind w:firstLine="480"/>
        <w:rPr>
          <w:rFonts w:hint="eastAsia"/>
        </w:rPr>
      </w:pPr>
      <w:r>
        <w:rPr>
          <w:rFonts w:hint="eastAsia"/>
        </w:rPr>
        <w:t>RAG系统中外部知识能否被有效利用，很大程度上取决于检索阶段的文本表示与索引机制。按照表示方式的不同，常见检索方法可分为稀疏检索、稠密检索和混合检索三类。稀疏检索以词项匹配为核心，将文本表示为高维稀疏特征，检索结果主要依赖关键词是否出现及其统计权重，因此具有实现简单、可解释性强的特点，但对同义表达、语义改写和跨表述匹配的适应能力较弱</w:t>
      </w:r>
      <w:r>
        <w:rPr>
          <w:rFonts w:hint="eastAsia"/>
          <w:vertAlign w:val="superscript"/>
          <w:lang w:val="en-US" w:eastAsia="zh-CN"/>
        </w:rPr>
        <w:t>[46]</w:t>
      </w:r>
      <w:r>
        <w:rPr>
          <w:rFonts w:hint="eastAsia"/>
        </w:rPr>
        <w:t>。稠密检索则利用神经网络编码器将查询和文档映射到连续语义空间中，通过向量之间的距离或相似度衡量二者的语义相关性，能够更好地捕捉深层语义信息</w:t>
      </w:r>
      <w:r>
        <w:rPr>
          <w:rFonts w:hint="eastAsia"/>
          <w:vertAlign w:val="superscript"/>
          <w:lang w:val="en-US" w:eastAsia="zh-CN"/>
        </w:rPr>
        <w:t>[47]</w:t>
      </w:r>
      <w:r>
        <w:rPr>
          <w:rFonts w:hint="eastAsia"/>
        </w:rPr>
        <w:t>。混合检索则综合利用稀疏检索的精确词项匹配能力与稠密检索的语义泛化能力，在实际系统中常用于兼顾召回准确性与鲁棒性。</w:t>
      </w:r>
    </w:p>
    <w:p w14:paraId="26577720">
      <w:pPr>
        <w:ind w:firstLine="480"/>
        <w:rPr>
          <w:rFonts w:hint="default" w:eastAsia="宋体"/>
          <w:lang w:val="en-US" w:eastAsia="zh-CN"/>
        </w:rPr>
      </w:pPr>
      <w:r>
        <w:rPr>
          <w:rFonts w:hint="eastAsia"/>
        </w:rPr>
        <w:t>在完成向量化表示后，系统需要计算查询与候选文档之间的相似程度。对于查询向量</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q</m:t>
            </m:r>
            <m:ctrlPr>
              <w:rPr>
                <w:rFonts w:ascii="Cambria Math" w:hAnsi="Cambria Math"/>
              </w:rPr>
            </m:ctrlPr>
          </m:sub>
        </m:sSub>
      </m:oMath>
      <w:r>
        <w:rPr>
          <w:rFonts w:hint="eastAsia" w:hAnsi="Cambria Math"/>
          <w:i w:val="0"/>
          <w:lang w:val="en-US" w:eastAsia="zh-CN"/>
        </w:rPr>
        <w:t>与文档向量</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d</m:t>
            </m:r>
            <m:ctrlPr>
              <w:rPr>
                <w:rFonts w:ascii="Cambria Math" w:hAnsi="Cambria Math"/>
              </w:rPr>
            </m:ctrlPr>
          </m:sub>
        </m:sSub>
      </m:oMath>
      <w:r>
        <w:rPr>
          <w:rFonts w:hint="eastAsia" w:hAnsi="Cambria Math"/>
          <w:i w:val="0"/>
          <w:lang w:eastAsia="zh-CN"/>
        </w:rPr>
        <w:t>，</w:t>
      </w:r>
      <w:r>
        <w:rPr>
          <w:rFonts w:hint="eastAsia" w:hAnsi="Cambria Math"/>
          <w:i w:val="0"/>
          <w:lang w:val="en-US" w:eastAsia="zh-CN"/>
        </w:rPr>
        <w:t>其相似度通常采用余弦相似度进行度量，即：</w:t>
      </w:r>
    </w:p>
    <w:p w14:paraId="2A29C68E">
      <w:pPr>
        <w:pStyle w:val="86"/>
        <w:bidi w:val="0"/>
        <w:rPr>
          <w:rFonts w:hint="eastAsia"/>
          <w:i w:val="0"/>
          <w:lang w:val="en-US" w:eastAsia="zh-CN"/>
        </w:rPr>
      </w:pPr>
      <m:oMathPara>
        <m:oMath>
          <m:eqArr>
            <m:eqArrPr>
              <m:maxDist m:val="1"/>
              <m:ctrlPr>
                <w:rPr>
                  <w:rFonts w:hint="eastAsia"/>
                  <w:i w:val="0"/>
                  <w:lang w:val="en-US" w:eastAsia="zh-CN"/>
                </w:rPr>
              </m:ctrlPr>
            </m:eqArrPr>
            <m:e>
              <m:r>
                <m:rPr>
                  <m:sty m:val="p"/>
                </m:rPr>
                <w:rPr>
                  <w:rFonts w:ascii="Times New Roman" w:hAnsi="Times New Roman"/>
                </w:rPr>
                <m:t>si</m:t>
              </m:r>
              <m:r>
                <m:rPr>
                  <m:sty m:val="p"/>
                </m:rPr>
                <w:rPr>
                  <w:rFonts w:hint="default" w:ascii="Times New Roman" w:hAnsi="Times New Roman"/>
                  <w:lang w:val="en-US" w:eastAsia="zh-CN"/>
                </w:rPr>
                <m:t>m</m:t>
              </m:r>
              <m:r>
                <m:rPr>
                  <m:sty m:val="p"/>
                </m:rPr>
                <w:rPr>
                  <w:rFonts w:ascii="Times New Roman" w:hAnsi="Times New Roman"/>
                </w:rPr>
                <m:t>⁡(q,d)=cos⁡(</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q</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q</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d</m:t>
                      </m:r>
                      <m:ctrlPr>
                        <w:rPr>
                          <w:rFonts w:ascii="Cambria Math" w:hAnsi="Cambria Math"/>
                        </w:rPr>
                      </m:ctrlPr>
                    </m:sub>
                  </m:sSub>
                  <m:ctrlPr>
                    <w:rPr>
                      <w:rFonts w:ascii="Cambria Math" w:hAnsi="Cambria Math"/>
                    </w:rPr>
                  </m:ctrlPr>
                </m:num>
                <m:den>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q</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ctrlPr>
                    <w:rPr>
                      <w:rFonts w:ascii="Cambria Math" w:hAnsi="Cambria Math"/>
                    </w:rPr>
                  </m:ctrlPr>
                </m:den>
              </m:f>
              <m:r>
                <m:rPr>
                  <m:sty m:val="p"/>
                </m:rPr>
                <w:rPr>
                  <w:rFonts w:hint="default"/>
                  <w:lang w:val="en-US" w:eastAsia="zh-CN"/>
                </w:rPr>
                <m:t>#</m:t>
              </m:r>
              <m:r>
                <m:rPr>
                  <m:sty m:val="p"/>
                </m:rPr>
                <w:rPr>
                  <w:rFonts w:hint="eastAsia"/>
                  <w:lang w:val="en-US" w:eastAsia="zh-CN"/>
                </w:rPr>
                <m:t>（</m:t>
              </m:r>
              <m:r>
                <m:rPr>
                  <m:sty m:val="p"/>
                </m:rPr>
                <w:rPr>
                  <w:rFonts w:hint="default"/>
                  <w:lang w:val="en-US" w:eastAsia="zh-CN"/>
                </w:rPr>
                <m:t>2−4</m:t>
              </m:r>
              <m:r>
                <m:rPr>
                  <m:sty m:val="p"/>
                </m:rPr>
                <w:rPr>
                  <w:rFonts w:hint="eastAsia"/>
                  <w:lang w:val="en-US" w:eastAsia="zh-CN"/>
                </w:rPr>
                <m:t>）</m:t>
              </m:r>
              <m:ctrlPr>
                <w:rPr>
                  <w:rFonts w:hint="eastAsia"/>
                  <w:i w:val="0"/>
                  <w:lang w:val="en-US" w:eastAsia="zh-CN"/>
                </w:rPr>
              </m:ctrlPr>
            </m:e>
          </m:eqArr>
        </m:oMath>
      </m:oMathPara>
    </w:p>
    <w:p w14:paraId="0035AC51">
      <w:pPr>
        <w:bidi w:val="0"/>
        <w:ind w:left="0" w:leftChars="0" w:firstLine="0" w:firstLineChars="0"/>
        <w:rPr>
          <w:rFonts w:hint="eastAsia"/>
          <w:b w:val="0"/>
          <w:i w:val="0"/>
          <w:lang w:val="en-US" w:eastAsia="zh-CN"/>
        </w:rPr>
      </w:pPr>
      <w:r>
        <w:rPr>
          <w:rFonts w:hint="eastAsia"/>
          <w:lang w:val="en-US" w:eastAsia="zh-CN"/>
        </w:rPr>
        <w:t>其中</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q</m:t>
            </m:r>
            <m:ctrlPr>
              <w:rPr>
                <w:rFonts w:ascii="Cambria Math" w:hAnsi="Cambria Math"/>
              </w:rPr>
            </m:ctrlPr>
          </m:sub>
        </m:sSub>
        <m:r>
          <m:rPr>
            <m:sty m:val="p"/>
          </m:rPr>
          <w:rPr>
            <w:rFonts w:ascii="Times New Roman" w:hAnsi="Times New Roman"/>
          </w:rPr>
          <m:t>∥</m:t>
        </m:r>
      </m:oMath>
      <w:r>
        <w:rPr>
          <w:rFonts w:hint="eastAsia"/>
          <w:b w:val="0"/>
          <w:i w:val="0"/>
          <w:lang w:val="en-US" w:eastAsia="zh-CN"/>
        </w:rPr>
        <w:t>和</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oMath>
      <w:r>
        <w:rPr>
          <w:rFonts w:hint="eastAsia"/>
          <w:b w:val="0"/>
          <w:i w:val="0"/>
          <w:lang w:val="en-US" w:eastAsia="zh-CN"/>
        </w:rPr>
        <w:t>分别表示两向量的模长。余弦相似度反映的是两个向量在方向上的接近程度，其值越大，说明查询与文档在语义空间中的相关性越强。RAG系统通常根据式（2-4）计算查询与各候选文档片段之间的相似度，并按得分从高到低排序，选取Top-k条结果作为后续生成模型的支撑证据。</w:t>
      </w:r>
    </w:p>
    <w:p w14:paraId="2B95DF00">
      <w:pPr>
        <w:bidi w:val="0"/>
        <w:ind w:left="0" w:leftChars="0" w:firstLine="480" w:firstLineChars="0"/>
        <w:rPr>
          <w:rFonts w:hint="default"/>
          <w:b w:val="0"/>
          <w:i w:val="0"/>
          <w:lang w:val="en-US" w:eastAsia="zh-CN"/>
        </w:rPr>
      </w:pPr>
      <w:r>
        <w:rPr>
          <w:rFonts w:hint="default"/>
          <w:b w:val="0"/>
          <w:i w:val="0"/>
          <w:lang w:val="en-US" w:eastAsia="zh-CN"/>
        </w:rPr>
        <w:t>当知识库规模较小时，系统可以直接对全部文档向量逐一计算相似度并完成排序；但在实际应用中，向量库规模往往达到百万级甚至更高，若仍采用暴力最近邻搜索，将带来较大的计算开销和响应时延。为提高检索效率，通常需要在向量库之上构建近似最近邻索引，其中HNSW是一种应用较为广泛的层次化图索引方法。该方法通过建立多层小世界图结构，将高维向量组织为具有层级关系的邻接网络，在检索时先从高层进行快速路由，再逐步下沉到低层完成精细搜索，从而在保证较高召回率的同时显著降低检索延迟</w:t>
      </w:r>
      <w:r>
        <w:rPr>
          <w:rFonts w:hint="eastAsia"/>
          <w:vertAlign w:val="superscript"/>
          <w:lang w:val="en-US" w:eastAsia="zh-CN"/>
        </w:rPr>
        <w:t>[48]</w:t>
      </w:r>
      <w:r>
        <w:rPr>
          <w:rFonts w:hint="default"/>
          <w:b w:val="0"/>
          <w:i w:val="0"/>
          <w:lang w:val="en-US" w:eastAsia="zh-CN"/>
        </w:rPr>
        <w:t>。对于RAG系统而言，HNSW能够较好地兼顾检索速度与检索质量，因此常被用于支持大规模语义检索任务。</w:t>
      </w:r>
    </w:p>
    <w:p w14:paraId="4FD5BCEA">
      <w:pPr>
        <w:pStyle w:val="3"/>
        <w:spacing w:before="163" w:after="163"/>
      </w:pPr>
      <w:bookmarkStart w:id="59" w:name="_Toc1289"/>
      <w:r>
        <w:t>2.</w:t>
      </w:r>
      <w:r>
        <w:rPr>
          <w:rFonts w:hint="eastAsia"/>
        </w:rPr>
        <w:t>3  多目标遗传优化理论</w:t>
      </w:r>
      <w:bookmarkEnd w:id="59"/>
    </w:p>
    <w:p w14:paraId="56F2E80F">
      <w:pPr>
        <w:pStyle w:val="4"/>
      </w:pPr>
      <w:bookmarkStart w:id="60" w:name="_Toc4884"/>
      <w:r>
        <w:rPr>
          <w:rFonts w:hint="eastAsia"/>
        </w:rPr>
        <w:t>2.3.1  遗传算法基本原理</w:t>
      </w:r>
      <w:bookmarkEnd w:id="60"/>
    </w:p>
    <w:p w14:paraId="26212BF0">
      <w:pPr>
        <w:ind w:firstLine="480"/>
      </w:pPr>
      <w:r>
        <w:rPr>
          <w:rFonts w:hint="eastAsia"/>
        </w:rPr>
        <w:t>遗传算法是一类借鉴自然选择与遗传进化机制的随机搜索与优化方法。其基本做法是将候选解编码为个体，通过初始化种群、适应度评估、选择、交叉、变异和代际更新等步骤，使种群逐步向更优解区域演化</w:t>
      </w:r>
      <w:r>
        <w:rPr>
          <w:rFonts w:hint="eastAsia"/>
          <w:vertAlign w:val="superscript"/>
          <w:lang w:val="en-US" w:eastAsia="zh-CN"/>
        </w:rPr>
        <w:t>[49]</w:t>
      </w:r>
      <w:r>
        <w:rPr>
          <w:rFonts w:hint="eastAsia"/>
        </w:rPr>
        <w:t>。由于遗传算法不依赖目标函数的梯度信息，因此特别适合处理非凸、不可导、离散以及黑盒环境下的优化问题。</w:t>
      </w:r>
    </w:p>
    <w:p w14:paraId="23A24D6F">
      <w:pPr>
        <w:ind w:firstLine="480"/>
      </w:pPr>
      <w:r>
        <w:rPr>
          <w:rFonts w:hint="eastAsia"/>
        </w:rPr>
        <w:t>对于大小为N的种群</w:t>
      </w:r>
      <m:oMath>
        <m:r>
          <m:rPr>
            <m:scr m:val="script"/>
          </m:rPr>
          <w:rPr>
            <w:rFonts w:ascii="Cambria Math" w:hAnsi="Cambria Math"/>
          </w:rPr>
          <m:t>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oMath>
      <w:r>
        <w:rPr>
          <w:rFonts w:hint="eastAsia" w:hAnsi="Cambria Math"/>
        </w:rPr>
        <w:t>，遗传算法通常以适应度函数</w:t>
      </w:r>
      <m:oMath>
        <m:r>
          <m:rPr>
            <m:sty m:val="p"/>
          </m:rPr>
          <w:rPr>
            <w:rFonts w:ascii="Cambria Math" w:hAnsi="Cambria Math"/>
          </w:rPr>
          <m:t>F</m:t>
        </m:r>
        <m:r>
          <m:rPr/>
          <w:rPr>
            <w:rFonts w:ascii="Cambria Math" w:hAnsi="Cambria Math"/>
          </w:rPr>
          <m:t>(x)</m:t>
        </m:r>
      </m:oMath>
      <w:r>
        <w:rPr>
          <w:rFonts w:hint="eastAsia" w:hAnsi="Cambria Math"/>
        </w:rPr>
        <w:t>评价个体优劣，依据适应度进行父代选择。交叉操作用于组合不同个体的局部优点，变异操作用于引入随机扰动并防止种群早熟收敛。若将第</w:t>
      </w:r>
      <m:oMath>
        <m:r>
          <m:rPr/>
          <w:rPr>
            <w:rFonts w:ascii="Cambria Math" w:hAnsi="Cambria Math"/>
          </w:rPr>
          <m:t>g</m:t>
        </m:r>
      </m:oMath>
      <w:r>
        <w:rPr>
          <w:rFonts w:hint="eastAsia" w:hAnsi="Cambria Math"/>
        </w:rPr>
        <w:t>代种群记为</w:t>
      </w:r>
      <m:oMath>
        <m:sSup>
          <m:sSupPr>
            <m:ctrlPr>
              <w:rPr>
                <w:rFonts w:ascii="Cambria Math" w:hAnsi="Cambria Math"/>
              </w:rPr>
            </m:ctrlPr>
          </m:sSupPr>
          <m:e>
            <m:r>
              <m:rPr>
                <m:scr m:val="script"/>
              </m:rPr>
              <w:rPr>
                <w:rFonts w:ascii="Cambria Math" w:hAnsi="Cambria Math"/>
              </w:rPr>
              <m:t>P</m:t>
            </m:r>
            <m:ctrlPr>
              <w:rPr>
                <w:rFonts w:ascii="Cambria Math" w:hAnsi="Cambria Math"/>
              </w:rPr>
            </m:ctrlPr>
          </m:e>
          <m:sup>
            <m:r>
              <m:rPr/>
              <w:rPr>
                <w:rFonts w:ascii="Cambria Math" w:hAnsi="Cambria Math"/>
              </w:rPr>
              <m:t>(g)</m:t>
            </m:r>
            <m:ctrlPr>
              <w:rPr>
                <w:rFonts w:ascii="Cambria Math" w:hAnsi="Cambria Math"/>
              </w:rPr>
            </m:ctrlPr>
          </m:sup>
        </m:sSup>
      </m:oMath>
      <w:r>
        <w:rPr>
          <w:rFonts w:hint="eastAsia" w:hAnsi="Cambria Math"/>
        </w:rPr>
        <w:t>，则其基本迭代过程可抽象为：</w:t>
      </w:r>
    </w:p>
    <w:p w14:paraId="78839110">
      <w:pPr>
        <w:bidi w:val="0"/>
        <w:rPr>
          <w:rFonts w:hint="eastAsia"/>
          <w:lang w:val="en-US" w:eastAsia="zh-CN"/>
        </w:rPr>
      </w:pPr>
      <m:oMathPara>
        <m:oMath>
          <m:eqArr>
            <m:eqArrPr>
              <m:maxDist m:val="1"/>
              <m:ctrlPr>
                <w:rPr>
                  <w:rFonts w:hint="eastAsia"/>
                  <w:lang w:val="en-US" w:eastAsia="zh-CN"/>
                </w:rPr>
              </m:ctrlPr>
            </m:eqArrPr>
            <m:e>
              <m:sSup>
                <m:sSupPr>
                  <m:ctrlPr>
                    <w:rPr>
                      <w:rFonts w:ascii="Cambria Math" w:hAnsi="Cambria Math"/>
                    </w:rPr>
                  </m:ctrlPr>
                </m:sSupPr>
                <m:e>
                  <m:r>
                    <m:rPr>
                      <m:sty m:val="p"/>
                      <m:scr m:val="script"/>
                    </m:rPr>
                    <w:rPr>
                      <w:rFonts w:ascii="Times New Roman" w:hAnsi="Times New Roman" w:eastAsia="MS Mincho"/>
                    </w:rPr>
                    <m:t>P</m:t>
                  </m:r>
                  <m:ctrlPr>
                    <w:rPr>
                      <w:rFonts w:ascii="Cambria Math" w:hAnsi="Cambria Math"/>
                    </w:rPr>
                  </m:ctrlPr>
                </m:e>
                <m:sup>
                  <m:r>
                    <m:rPr>
                      <m:sty m:val="p"/>
                    </m:rPr>
                    <w:rPr>
                      <w:rFonts w:ascii="Times New Roman" w:hAnsi="Times New Roman"/>
                    </w:rPr>
                    <m:t>(g+1)</m:t>
                  </m:r>
                  <m:ctrlPr>
                    <w:rPr>
                      <w:rFonts w:ascii="Cambria Math" w:hAnsi="Cambria Math"/>
                    </w:rPr>
                  </m:ctrlPr>
                </m:sup>
              </m:sSup>
              <m:r>
                <m:rPr>
                  <m:sty m:val="p"/>
                </m:rPr>
                <w:rPr>
                  <w:rFonts w:ascii="Times New Roman" w:hAnsi="Times New Roman"/>
                </w:rPr>
                <m:t>=Γ(</m:t>
              </m:r>
              <m:sSup>
                <m:sSupPr>
                  <m:ctrlPr>
                    <w:rPr>
                      <w:rFonts w:ascii="Cambria Math" w:hAnsi="Cambria Math"/>
                    </w:rPr>
                  </m:ctrlPr>
                </m:sSupPr>
                <m:e>
                  <m:r>
                    <m:rPr>
                      <m:sty m:val="p"/>
                      <m:scr m:val="script"/>
                    </m:rPr>
                    <w:rPr>
                      <w:rFonts w:ascii="Times New Roman" w:hAnsi="Times New Roman" w:eastAsia="MS Mincho"/>
                    </w:rPr>
                    <m:t>P</m:t>
                  </m:r>
                  <m:ctrlPr>
                    <w:rPr>
                      <w:rFonts w:ascii="Cambria Math" w:hAnsi="Cambria Math"/>
                    </w:rPr>
                  </m:ctrlPr>
                </m:e>
                <m:sup>
                  <m:r>
                    <m:rPr>
                      <m:sty m:val="p"/>
                    </m:rPr>
                    <w:rPr>
                      <w:rFonts w:ascii="Times New Roman" w:hAnsi="Times New Roman"/>
                    </w:rPr>
                    <m:t>(g)</m:t>
                  </m:r>
                  <m:ctrlPr>
                    <w:rPr>
                      <w:rFonts w:ascii="Cambria Math" w:hAnsi="Cambria Math"/>
                    </w:rPr>
                  </m:ctrlPr>
                </m:sup>
              </m:sSup>
              <m:r>
                <m:rPr>
                  <m:sty m:val="p"/>
                </m:rPr>
                <w:rPr>
                  <w:rFonts w:ascii="Times New Roman" w:hAnsi="Times New Roman"/>
                </w:rPr>
                <m:t>,F,</m:t>
              </m:r>
              <m:r>
                <m:rPr>
                  <m:sty m:val="p"/>
                  <m:scr m:val="script"/>
                </m:rPr>
                <w:rPr>
                  <w:rFonts w:ascii="Times New Roman" w:hAnsi="Times New Roman" w:eastAsia="MS Mincho"/>
                </w:rPr>
                <m:t>S,C,V)</m:t>
              </m:r>
              <m:r>
                <m:rPr>
                  <m:sty m:val="p"/>
                </m:rPr>
                <w:rPr>
                  <w:rFonts w:hint="default"/>
                  <w:lang w:val="en-US" w:eastAsia="zh-CN"/>
                </w:rPr>
                <m:t>#</m:t>
              </m:r>
              <m:r>
                <m:rPr>
                  <m:sty m:val="p"/>
                </m:rPr>
                <w:rPr>
                  <w:rFonts w:hint="eastAsia"/>
                  <w:lang w:val="en-US" w:eastAsia="zh-CN"/>
                </w:rPr>
                <m:t>（</m:t>
              </m:r>
              <m:r>
                <m:rPr>
                  <m:sty m:val="p"/>
                </m:rPr>
                <w:rPr>
                  <w:rFonts w:hint="default"/>
                  <w:lang w:val="en-US" w:eastAsia="zh-CN"/>
                </w:rPr>
                <m:t>2−5</m:t>
              </m:r>
              <m:r>
                <m:rPr>
                  <m:sty m:val="p"/>
                </m:rPr>
                <w:rPr>
                  <w:rFonts w:hint="eastAsia"/>
                  <w:lang w:val="en-US" w:eastAsia="zh-CN"/>
                </w:rPr>
                <m:t>）</m:t>
              </m:r>
              <m:ctrlPr>
                <w:rPr>
                  <w:rFonts w:hint="eastAsia"/>
                  <w:lang w:val="en-US" w:eastAsia="zh-CN"/>
                </w:rPr>
              </m:ctrlPr>
            </m:e>
          </m:eqArr>
        </m:oMath>
      </m:oMathPara>
    </w:p>
    <w:p w14:paraId="3953FC03">
      <w:pPr>
        <w:ind w:firstLine="0" w:firstLineChars="0"/>
      </w:pPr>
      <w:r>
        <w:rPr>
          <w:rFonts w:hint="eastAsia" w:hAnsi="Cambria Math"/>
        </w:rPr>
        <w:t>其中</w:t>
      </w:r>
      <m:oMath>
        <m:r>
          <m:rPr>
            <m:scr m:val="script"/>
          </m:rPr>
          <w:rPr>
            <w:rFonts w:ascii="Cambria Math" w:hAnsi="Cambria Math"/>
          </w:rPr>
          <m:t>S,C,V</m:t>
        </m:r>
      </m:oMath>
      <w:r>
        <w:rPr>
          <w:rFonts w:hint="eastAsia" w:hAnsi="Cambria Math"/>
        </w:rPr>
        <w:t>分别表示选择、交叉和变异算子，</w:t>
      </w:r>
      <m:oMath>
        <m:r>
          <m:rPr>
            <m:sty m:val="p"/>
          </m:rPr>
          <w:rPr>
            <w:rFonts w:ascii="Cambria Math" w:hAnsi="Cambria Math"/>
          </w:rPr>
          <m:t>Γ</m:t>
        </m:r>
        <m:r>
          <m:rPr/>
          <w:rPr>
            <w:rFonts w:ascii="Cambria Math" w:hAnsi="Cambria Math"/>
          </w:rPr>
          <m:t>(</m:t>
        </m:r>
        <m:r>
          <m:rPr/>
          <w:rPr>
            <w:rFonts w:hint="eastAsia" w:ascii="Cambria Math" w:hAnsi="Cambria Math"/>
          </w:rPr>
          <m:t>·</m:t>
        </m:r>
        <m:r>
          <m:rPr/>
          <w:rPr>
            <w:rFonts w:ascii="Cambria Math" w:hAnsi="Cambria Math"/>
          </w:rPr>
          <m:t>)</m:t>
        </m:r>
      </m:oMath>
      <w:r>
        <w:rPr>
          <w:rFonts w:hint="eastAsia" w:hAnsi="Cambria Math"/>
        </w:rPr>
        <w:t>表示种群更新过程。遗传算法的优化能力并不依赖单一步骤，而来源于多种演化操作的协同作用。</w:t>
      </w:r>
    </w:p>
    <w:p w14:paraId="637F0D8A">
      <w:pPr>
        <w:pStyle w:val="4"/>
      </w:pPr>
      <w:bookmarkStart w:id="61" w:name="_Toc1332"/>
      <w:r>
        <w:rPr>
          <w:rFonts w:hint="eastAsia"/>
        </w:rPr>
        <w:t>2.3.2  NSGA-II多目标优化</w:t>
      </w:r>
      <w:bookmarkEnd w:id="61"/>
    </w:p>
    <w:p w14:paraId="396D1719">
      <w:pPr>
        <w:ind w:firstLine="480"/>
      </w:pPr>
      <w:r>
        <w:rPr>
          <w:rFonts w:hint="eastAsia"/>
        </w:rPr>
        <w:t>很多实际问题并非只有单一目标，而是需要在多个相互冲突的目标之间寻求折中。NSGA-II是经典的多目标进化优化算法</w:t>
      </w:r>
      <w:r>
        <w:rPr>
          <w:rFonts w:hint="eastAsia"/>
          <w:vertAlign w:val="superscript"/>
        </w:rPr>
        <w:t>[</w:t>
      </w:r>
      <w:r>
        <w:rPr>
          <w:rFonts w:hint="eastAsia"/>
          <w:vertAlign w:val="superscript"/>
          <w:lang w:val="en-US" w:eastAsia="zh-CN"/>
        </w:rPr>
        <w:t>50</w:t>
      </w:r>
      <w:r>
        <w:rPr>
          <w:rFonts w:hint="eastAsia"/>
          <w:vertAlign w:val="superscript"/>
        </w:rPr>
        <w:t>]</w:t>
      </w:r>
      <w:r>
        <w:rPr>
          <w:rFonts w:hint="eastAsia"/>
        </w:rPr>
        <w:t>，其核心在于通过快速非支配排序和拥挤距离计算，在保持解集收敛性的同时维持解的多样性。与单目标遗传算法追求唯一最优解不同，多目标优化关注一组互不支配的Pareto最优解，以刻画不同目标之间的平衡边界。</w:t>
      </w:r>
    </w:p>
    <w:p w14:paraId="361B9AA6">
      <w:pPr>
        <w:ind w:firstLine="480"/>
        <w:rPr>
          <w:rFonts w:hAnsi="Cambria Math"/>
        </w:rPr>
      </w:pPr>
      <w:r>
        <w:rPr>
          <w:rFonts w:hint="eastAsia"/>
        </w:rPr>
        <w:t>设优化目标为最小化向量函数</w:t>
      </w:r>
      <m:oMath>
        <m:r>
          <m:rPr>
            <m:sty m:val="b"/>
          </m:rPr>
          <w:rPr>
            <w:rFonts w:ascii="Cambria Math" w:hAnsi="Cambria Math"/>
          </w:rPr>
          <m:t>f</m:t>
        </m:r>
        <m:r>
          <m:rPr/>
          <w:rPr>
            <w:rFonts w:ascii="Cambria Math" w:hAnsi="Cambria Math"/>
          </w:rPr>
          <m:t>(x)=</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(x)</m:t>
                </m:r>
                <m:ctrlPr>
                  <w:rPr>
                    <w:rFonts w:ascii="Cambria Math" w:hAnsi="Cambria Math"/>
                  </w:rPr>
                </m:ctrlPr>
              </m:e>
            </m:eqArr>
            <m:ctrlPr>
              <w:rPr>
                <w:rFonts w:ascii="Cambria Math" w:hAnsi="Cambria Math"/>
              </w:rPr>
            </m:ctrlPr>
          </m:e>
        </m:d>
      </m:oMath>
      <w:r>
        <w:rPr>
          <w:rFonts w:hint="eastAsia" w:hAnsi="Cambria Math"/>
        </w:rPr>
        <w:t>。对于两个候选解</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hAnsi="Cambria Math"/>
        </w:rPr>
        <w:t>和</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hAnsi="Cambria Math"/>
        </w:rPr>
        <w:t>，若满足</w:t>
      </w:r>
    </w:p>
    <w:p w14:paraId="6D8756E2">
      <w:pPr>
        <w:ind w:firstLine="480"/>
        <w:rPr>
          <w:rFonts w:hint="eastAsia"/>
          <w:lang w:val="en-US" w:eastAsia="zh-CN"/>
        </w:rPr>
      </w:pPr>
      <m:oMathPara>
        <m:oMath>
          <m:eqArr>
            <m:eqArrPr>
              <m:maxDist m:val="1"/>
              <m:ctrlPr>
                <w:rPr>
                  <w:rFonts w:hint="eastAsia"/>
                  <w:lang w:val="en-US" w:eastAsia="zh-CN"/>
                </w:rPr>
              </m:ctrlPr>
            </m:eqArrPr>
            <m:e>
              <m:r>
                <m:rPr>
                  <m:sty m:val="p"/>
                </m:rPr>
                <w:rPr>
                  <w:rFonts w:ascii="Cambria Math" w:hAnsi="Cambria Math"/>
                </w:rPr>
                <m:t>∀</m:t>
              </m:r>
              <m:r>
                <m:rPr/>
                <w:rPr>
                  <w:rFonts w:ascii="Cambria Math" w:hAnsi="Cambria Math"/>
                </w:rPr>
                <m:t>i,</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r>
                <m:rPr>
                  <m:sty m:val="p"/>
                </m:rPr>
                <w:rPr>
                  <w:rFonts w:ascii="Cambria Math" w:hAnsi="Cambria Math"/>
                </w:rPr>
                <m:t>∃</m:t>
              </m:r>
              <m:r>
                <m:rPr/>
                <w:rPr>
                  <w:rFonts w:ascii="Cambria Math" w:hAnsi="Cambria Math"/>
                </w:rPr>
                <m:t>j,</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r>
                <m:rPr>
                  <m:sty m:val="p"/>
                </m:rPr>
                <w:rPr>
                  <w:rFonts w:hint="default" w:ascii="Cambria Math" w:hAnsi="Cambria Math"/>
                  <w:lang w:val="en-US" w:eastAsia="zh-CN"/>
                </w:rPr>
                <m:t>#</m:t>
              </m:r>
              <m:r>
                <m:rPr>
                  <m:sty m:val="p"/>
                </m:rPr>
                <w:rPr>
                  <w:rFonts w:hint="eastAsia"/>
                  <w:lang w:val="en-US" w:eastAsia="zh-CN"/>
                </w:rPr>
                <m:t>（</m:t>
              </m:r>
              <m:r>
                <m:rPr>
                  <m:sty m:val="p"/>
                </m:rPr>
                <w:rPr>
                  <w:rFonts w:hint="default"/>
                  <w:lang w:val="en-US" w:eastAsia="zh-CN"/>
                </w:rPr>
                <m:t>2−6</m:t>
              </m:r>
              <m:r>
                <m:rPr>
                  <m:sty m:val="p"/>
                </m:rPr>
                <w:rPr>
                  <w:rFonts w:hint="eastAsia"/>
                  <w:lang w:val="en-US" w:eastAsia="zh-CN"/>
                </w:rPr>
                <m:t>）</m:t>
              </m:r>
              <m:ctrlPr>
                <w:rPr>
                  <w:rFonts w:hint="eastAsia"/>
                  <w:lang w:val="en-US" w:eastAsia="zh-CN"/>
                </w:rPr>
              </m:ctrlPr>
            </m:e>
          </m:eqArr>
        </m:oMath>
      </m:oMathPara>
    </w:p>
    <w:p w14:paraId="55718158">
      <w:pPr>
        <w:ind w:firstLine="0" w:firstLineChars="0"/>
        <w:rPr>
          <w:rFonts w:hAnsi="Cambria Math"/>
        </w:rPr>
      </w:pPr>
      <w:r>
        <w:rPr>
          <w:rFonts w:hint="eastAsia" w:hAnsi="Cambria Math"/>
        </w:rPr>
        <w:t>则称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hAnsi="Cambria Math"/>
        </w:rPr>
        <w:t>支配</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hAnsi="Cambria Math"/>
        </w:rPr>
        <w:t>。所有不被其他个体支配的解构成Pareto前沿。NSGA-II首先依据上式对种群进行分层排序，再在同一层中利用拥挤距离估计个体周围解的稀疏程度，从而优先保留既优又分散的候选解。这一机制使NSGA-II能够同时兼顾多目标优化中的“收敛到前沿”和“保持分布均匀”两项要求。图2-4展示了Pareto前沿的基本含义：前沿上的非支配解在任一目标上的进一步改进，通常都需要以牺牲另一目标为代价。</w:t>
      </w:r>
    </w:p>
    <w:p w14:paraId="573026E8">
      <w:pPr>
        <w:spacing w:line="240" w:lineRule="auto"/>
        <w:ind w:firstLine="0" w:firstLineChars="0"/>
        <w:jc w:val="center"/>
        <w:rPr>
          <w:rFonts w:hAnsi="Cambria Math"/>
        </w:rPr>
      </w:pPr>
      <w:r>
        <w:rPr>
          <w:rFonts w:hAnsi="Cambria Math"/>
        </w:rPr>
        <w:drawing>
          <wp:inline distT="0" distB="0" distL="114300" distR="114300">
            <wp:extent cx="3048000" cy="2000250"/>
            <wp:effectExtent l="0" t="0" r="0" b="11430"/>
            <wp:docPr id="27" name="图片 27" descr="fig2-4Pareto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2-4Pareto前沿"/>
                    <pic:cNvPicPr>
                      <a:picLocks noChangeAspect="1"/>
                    </pic:cNvPicPr>
                  </pic:nvPicPr>
                  <pic:blipFill>
                    <a:blip r:embed="rId46"/>
                    <a:stretch>
                      <a:fillRect/>
                    </a:stretch>
                  </pic:blipFill>
                  <pic:spPr>
                    <a:xfrm>
                      <a:off x="0" y="0"/>
                      <a:ext cx="3048000" cy="2000250"/>
                    </a:xfrm>
                    <a:prstGeom prst="rect">
                      <a:avLst/>
                    </a:prstGeom>
                  </pic:spPr>
                </pic:pic>
              </a:graphicData>
            </a:graphic>
          </wp:inline>
        </w:drawing>
      </w:r>
    </w:p>
    <w:p w14:paraId="44D65E4B">
      <w:pPr>
        <w:pStyle w:val="92"/>
        <w:rPr>
          <w:rFonts w:hAnsi="Cambria Math"/>
        </w:rPr>
      </w:pPr>
      <w:r>
        <w:rPr>
          <w:rFonts w:hint="eastAsia"/>
        </w:rPr>
        <w:t>图2-4 Pareto前沿示意图</w:t>
      </w:r>
    </w:p>
    <w:p w14:paraId="6C3C07FB">
      <w:pPr>
        <w:pStyle w:val="3"/>
        <w:spacing w:before="163" w:after="163"/>
      </w:pPr>
      <w:bookmarkStart w:id="62" w:name="_Toc27773"/>
      <w:r>
        <w:t>2.</w:t>
      </w:r>
      <w:r>
        <w:rPr>
          <w:rFonts w:hint="eastAsia"/>
        </w:rPr>
        <w:t>4  RAG知识库投毒攻防相关技术</w:t>
      </w:r>
      <w:bookmarkEnd w:id="62"/>
    </w:p>
    <w:p w14:paraId="150E3CFD">
      <w:pPr>
        <w:pStyle w:val="4"/>
      </w:pPr>
      <w:bookmarkStart w:id="63" w:name="_Toc1620"/>
      <w:r>
        <w:rPr>
          <w:rFonts w:hint="eastAsia"/>
        </w:rPr>
        <w:t>2.4.1  知识库白盒投毒攻击</w:t>
      </w:r>
      <w:bookmarkEnd w:id="63"/>
    </w:p>
    <w:p w14:paraId="1BB640A4">
      <w:pPr>
        <w:ind w:firstLine="480"/>
      </w:pPr>
      <w:r>
        <w:t>知识库白盒投毒攻击是指攻击者掌握目标RAG系统的内部信息，例如检索器结构、嵌入模型参数、相似度计算方式、向量索引配置，甚至生成模型的提示模板或部分反馈信号。在这种条件下，攻击者不需要依赖外部试探即可直接围绕系统内部机制构造毒化文档，使其在目标查询下更容易被检索命中，并在进入增强上下文后进一步诱导生成模型输出攻击者期望的内容。</w:t>
      </w:r>
    </w:p>
    <w:p w14:paraId="4A5328FA">
      <w:pPr>
        <w:ind w:firstLine="480"/>
      </w:pPr>
      <w:r>
        <w:rPr>
          <w:rFonts w:hint="eastAsia"/>
        </w:rPr>
        <w:t>白盒投毒通常把候选毒化文档表示为可优化对象，并根据目标函数对文档内容进行迭代更新。对于检索器而言，攻击者可以直接利用文档向量与目标查询向量之间的相似度梯度，推动毒化文档在向量空间中向目标查询靠近，从而提高其进入Top-K检索结果的概率；对于生成阶段，攻击者则可进一步围绕目标答案构造生成损失，使毒化文档在被读取后更倾向于引导模型产生指定输出。由于自然语言文本是离散符号序列，不能像连续向量那样直接沿梯度微调，因此白盒攻击中通常需要借助梯度引导的离散搜索方法，将连续梯度信息映射为离散词元替换、插入或删除操作。</w:t>
      </w:r>
    </w:p>
    <w:p w14:paraId="0254A39F">
      <w:pPr>
        <w:ind w:firstLine="480"/>
      </w:pPr>
      <w:r>
        <w:rPr>
          <w:rFonts w:hint="eastAsia"/>
        </w:rPr>
        <w:t>HotFlip算法是这类梯度引导离散优化中的典型代表</w:t>
      </w:r>
      <w:r>
        <w:rPr>
          <w:rFonts w:hint="eastAsia"/>
          <w:vertAlign w:val="superscript"/>
          <w:lang w:val="en-US" w:eastAsia="zh-CN"/>
        </w:rPr>
        <w:t>[51]</w:t>
      </w:r>
      <w:r>
        <w:rPr>
          <w:rFonts w:hint="eastAsia"/>
        </w:rPr>
        <w:t>。其基本思想是将文本扰动分解为最基本的“词元翻转”操作，即把某一位置上的原词元替换为另一个词元，并利用目标损失函数对输入one-hot表示的梯度，近似评估该替换对目标函数的影响。若将位置i处原始词元a替换为词元b，则该操作引起的损失变化可近似表示为：</w:t>
      </w:r>
    </w:p>
    <w:p w14:paraId="3EC0F883">
      <w:pPr>
        <w:ind w:firstLine="0" w:firstLineChars="0"/>
        <w:rPr>
          <w:rFonts w:hint="eastAsia"/>
          <w:lang w:val="en-US" w:eastAsia="zh-CN"/>
        </w:rPr>
      </w:pPr>
      <m:oMathPara>
        <m:oMath>
          <m:eqArr>
            <m:eqArrPr>
              <m:maxDist m:val="1"/>
              <m:ctrlPr>
                <w:rPr>
                  <w:rFonts w:hint="eastAsia"/>
                  <w:lang w:val="en-US" w:eastAsia="zh-CN"/>
                </w:rPr>
              </m:ctrlPr>
            </m:eqArrPr>
            <m:e>
              <m:r>
                <m:rPr>
                  <m:sty m:val="p"/>
                </m:rPr>
                <w:rPr>
                  <w:rFonts w:ascii="Cambria Math" w:hAnsi="Cambria Math"/>
                </w:rPr>
                <m:t>Δ</m:t>
              </m:r>
              <m:r>
                <m:rPr/>
                <w:rPr>
                  <w:rFonts w:ascii="Cambria Math" w:hAnsi="Cambria Math"/>
                </w:rPr>
                <m:t>J≈</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J(x</m:t>
              </m:r>
              <m:sSup>
                <m:sSupPr>
                  <m:ctrlPr>
                    <w:rPr>
                      <w:rFonts w:ascii="Cambria Math" w:hAnsi="Cambria Math"/>
                    </w:rPr>
                  </m:ctrlPr>
                </m:sSupPr>
                <m:e>
                  <m:r>
                    <m:rPr/>
                    <w:rPr>
                      <w:rFonts w:ascii="Cambria Math" w:hAnsi="Cambria Math"/>
                    </w:rPr>
                    <m:t>)</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(i)</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up>
                  <m:r>
                    <m:rPr/>
                    <w:rPr>
                      <w:rFonts w:ascii="Cambria Math" w:hAnsi="Cambria Math"/>
                    </w:rPr>
                    <m:t>(i)</m:t>
                  </m:r>
                  <m:ctrlPr>
                    <w:rPr>
                      <w:rFonts w:ascii="Cambria Math" w:hAnsi="Cambria Math"/>
                    </w:rPr>
                  </m:ctrlPr>
                </m:sup>
              </m:sSubSup>
              <m:r>
                <m:rPr/>
                <w:rPr>
                  <w:rFonts w:ascii="Cambria Math" w:hAnsi="Cambria Math"/>
                </w:rPr>
                <m:t>)</m:t>
              </m:r>
              <m:r>
                <m:rPr>
                  <m:sty m:val="p"/>
                </m:rPr>
                <w:rPr>
                  <w:rFonts w:hint="default" w:ascii="Cambria Math" w:hAnsi="Cambria Math"/>
                  <w:lang w:val="en-US" w:eastAsia="zh-CN"/>
                </w:rPr>
                <m:t>#</m:t>
              </m:r>
              <m:r>
                <m:rPr>
                  <m:sty m:val="p"/>
                </m:rPr>
                <w:rPr>
                  <w:rFonts w:hint="eastAsia"/>
                  <w:snapToGrid w:val="0"/>
                  <w:sz w:val="24"/>
                </w:rPr>
                <m:t>（</m:t>
              </m:r>
              <m:r>
                <m:rPr>
                  <m:sty m:val="p"/>
                </m:rPr>
                <w:rPr>
                  <w:rFonts w:hint="default"/>
                  <w:snapToGrid w:val="0"/>
                  <w:sz w:val="24"/>
                  <w:lang w:val="en-US" w:eastAsia="zh-CN"/>
                </w:rPr>
                <m:t>2</m:t>
              </m:r>
              <m:r>
                <m:rPr>
                  <m:sty m:val="p"/>
                </m:rPr>
                <w:rPr>
                  <w:rFonts w:hint="eastAsia"/>
                  <w:snapToGrid w:val="0"/>
                  <w:sz w:val="24"/>
                </w:rPr>
                <m:t>−</m:t>
              </m:r>
              <m:r>
                <m:rPr>
                  <m:sty m:val="p"/>
                </m:rPr>
                <w:rPr>
                  <w:rFonts w:hint="default"/>
                  <w:snapToGrid w:val="0"/>
                  <w:sz w:val="24"/>
                  <w:lang w:val="en-US" w:eastAsia="zh-CN"/>
                </w:rPr>
                <m:t>7</m:t>
              </m:r>
              <m:r>
                <m:rPr>
                  <m:sty m:val="p"/>
                </m:rPr>
                <w:rPr>
                  <w:rFonts w:hint="eastAsia"/>
                  <w:snapToGrid w:val="0"/>
                  <w:sz w:val="24"/>
                </w:rPr>
                <m:t>）</m:t>
              </m:r>
              <m:ctrlPr>
                <w:rPr>
                  <w:rFonts w:hint="eastAsia"/>
                  <w:lang w:val="en-US" w:eastAsia="zh-CN"/>
                </w:rPr>
              </m:ctrlPr>
            </m:e>
          </m:eqArr>
        </m:oMath>
      </m:oMathPara>
    </w:p>
    <w:p w14:paraId="339AEAF4">
      <w:pPr>
        <w:ind w:firstLine="0" w:firstLineChars="0"/>
      </w:pPr>
      <w:r>
        <w:rPr>
          <w:rFonts w:hint="eastAsia"/>
        </w:rPr>
        <w:t>其中，</w:t>
      </w:r>
      <m:oMath>
        <m:r>
          <m:rPr/>
          <w:rPr>
            <w:rFonts w:ascii="Cambria Math" w:hAnsi="Cambria Math"/>
          </w:rPr>
          <m:t>J(x)</m:t>
        </m:r>
      </m:oMath>
      <w:r>
        <w:rPr>
          <w:rFonts w:hint="eastAsia"/>
        </w:rPr>
        <w:t>表示目标损失函数，</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up>
            <m:r>
              <m:rPr/>
              <w:rPr>
                <w:rFonts w:ascii="Cambria Math" w:hAnsi="Cambria Math"/>
              </w:rPr>
              <m:t>(i)</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(i)</m:t>
            </m:r>
            <m:ctrlPr>
              <w:rPr>
                <w:rFonts w:ascii="Cambria Math" w:hAnsi="Cambria Math"/>
              </w:rPr>
            </m:ctrlPr>
          </m:sup>
        </m:sSubSup>
      </m:oMath>
      <w:r>
        <w:rPr>
          <w:rFonts w:hint="eastAsia"/>
        </w:rPr>
        <w:t>分别表示位置i处原词元与目标词元对应的one-hot向量。只要比较不同候选替换在梯度方向上的变化量，就可以优先选择最能推动目标损失变化的词元修改方案。</w:t>
      </w:r>
    </w:p>
    <w:p w14:paraId="01EB6033">
      <w:pPr>
        <w:ind w:firstLine="480" w:firstLineChars="0"/>
        <w:rPr>
          <w:rFonts w:hint="eastAsia"/>
        </w:rPr>
      </w:pPr>
      <w:r>
        <w:rPr>
          <w:rFonts w:hint="eastAsia"/>
        </w:rPr>
        <w:t>知识库白盒投毒攻击具有优化效率高、目标针对性强和攻击成功率高等特点，但这类攻击对先验条件要求较高，通常需要掌握目标系统的内部结构或代理梯度信息，因此在真实工业部署中往往更适合作为威胁分析与上界评估手段。</w:t>
      </w:r>
    </w:p>
    <w:p w14:paraId="08EAF5B3">
      <w:pPr>
        <w:pStyle w:val="4"/>
        <w:rPr>
          <w:rFonts w:hint="eastAsia"/>
        </w:rPr>
      </w:pPr>
      <w:bookmarkStart w:id="64" w:name="_Toc28587"/>
      <w:r>
        <w:rPr>
          <w:rFonts w:hint="eastAsia"/>
        </w:rPr>
        <w:t>2.4.2  知识库黑盒投毒攻击</w:t>
      </w:r>
      <w:bookmarkEnd w:id="64"/>
    </w:p>
    <w:p w14:paraId="26BBCB8D">
      <w:pPr>
        <w:rPr>
          <w:rFonts w:hint="eastAsia"/>
          <w:lang w:eastAsia="zh-CN"/>
        </w:rPr>
      </w:pPr>
      <w:r>
        <w:rPr>
          <w:rFonts w:hint="eastAsia"/>
        </w:rPr>
        <w:t>知识库黑盒投毒攻击是指攻击者无法访问目标RAG系统的内部参数、梯度信息和精确打分函数，只能依据系统对外暴露的有限信息实施攻击</w:t>
      </w:r>
      <w:r>
        <w:rPr>
          <w:rFonts w:hint="eastAsia"/>
          <w:lang w:eastAsia="zh-CN"/>
        </w:rPr>
        <w:t>。相较于白盒攻击，黑盒攻击更加贴近实际部署场景，因为真实系统中的检索器参数、嵌入模型和提示模板通常并不对外公开</w:t>
      </w:r>
      <w:r>
        <w:rPr>
          <w:rFonts w:hint="eastAsia"/>
          <w:vertAlign w:val="superscript"/>
          <w:lang w:val="en-US" w:eastAsia="zh-CN"/>
        </w:rPr>
        <w:t>[19]</w:t>
      </w:r>
      <w:r>
        <w:rPr>
          <w:rFonts w:hint="eastAsia"/>
          <w:lang w:eastAsia="zh-CN"/>
        </w:rPr>
        <w:t>。</w:t>
      </w:r>
    </w:p>
    <w:p w14:paraId="3E073444">
      <w:pPr>
        <w:rPr>
          <w:rFonts w:hint="default" w:eastAsia="宋体"/>
          <w:lang w:val="en-US" w:eastAsia="zh-CN"/>
        </w:rPr>
      </w:pPr>
      <w:r>
        <w:rPr>
          <w:rFonts w:hint="eastAsia"/>
        </w:rPr>
        <w:t>黑盒投毒同样依赖“检索命中”和“生成误导”两个环节。设知识库为</w:t>
      </w:r>
      <m:oMath>
        <m:r>
          <m:rPr>
            <m:scr m:val="script"/>
          </m:rPr>
          <w:rPr>
            <w:rFonts w:ascii="Cambria Math" w:hAnsi="Cambria Math"/>
          </w:rPr>
          <m:t>K</m:t>
        </m:r>
      </m:oMath>
      <w:r>
        <w:rPr>
          <w:rFonts w:hint="eastAsia" w:hAnsi="Cambria Math"/>
          <w:i w:val="0"/>
          <w:lang w:eastAsia="zh-CN"/>
        </w:rPr>
        <w:t>，攻击者注入毒化文档集合</w:t>
      </w:r>
      <m:oMath>
        <m:r>
          <m:rPr>
            <m:scr m:val="script"/>
          </m:rPr>
          <w:rPr>
            <w:rFonts w:ascii="Cambria Math" w:hAnsi="Cambria Math"/>
          </w:rPr>
          <m:t>P</m:t>
        </m:r>
      </m:oMath>
      <w:r>
        <w:rPr>
          <w:rFonts w:hint="eastAsia" w:hAnsi="Cambria Math"/>
          <w:i w:val="0"/>
          <w:lang w:eastAsia="zh-CN"/>
        </w:rPr>
        <w:t>，则系统在用户查询</w:t>
      </w:r>
      <m:oMath>
        <m:r>
          <m:rPr/>
          <w:rPr>
            <w:rFonts w:ascii="Cambria Math" w:hAnsi="Cambria Math"/>
          </w:rPr>
          <m:t>q</m:t>
        </m:r>
      </m:oMath>
      <w:r>
        <w:rPr>
          <w:rFonts w:hint="eastAsia" w:hAnsi="Cambria Math"/>
          <w:i w:val="0"/>
          <w:lang w:val="en-US" w:eastAsia="zh-CN"/>
        </w:rPr>
        <w:t>下的召回结果可表示为：</w:t>
      </w:r>
    </w:p>
    <w:p w14:paraId="77B15819">
      <w:pPr>
        <w:ind w:firstLine="480"/>
        <w:rPr>
          <w:rFonts w:hint="eastAsia"/>
          <w:lang w:val="en-US" w:eastAsia="zh-CN"/>
        </w:rPr>
      </w:pPr>
      <m:oMathPara>
        <m:oMath>
          <m:eqArr>
            <m:eqArrPr>
              <m:maxDist m:val="1"/>
              <m:ctrlPr>
                <w:rPr>
                  <w:rFonts w:hint="eastAsia"/>
                  <w:lang w:val="en-US" w:eastAsia="zh-CN"/>
                </w:rPr>
              </m:ctrlPr>
            </m:eqArrPr>
            <m:e>
              <m:r>
                <m:rPr/>
                <w:rPr>
                  <w:rFonts w:hint="default" w:ascii="Cambria Math" w:hAnsi="Cambria Math"/>
                </w:rPr>
                <m:t>Z=Top−k(ℛ(q,K∪P))</m:t>
              </m:r>
              <m:r>
                <m:rPr>
                  <m:sty m:val="p"/>
                </m:rPr>
                <w:rPr>
                  <w:rFonts w:hint="default" w:ascii="Cambria Math" w:hAnsi="Cambria Math"/>
                  <w:lang w:val="en-US" w:eastAsia="zh-CN"/>
                </w:rPr>
                <m:t>#</m:t>
              </m:r>
              <m:r>
                <m:rPr>
                  <m:sty m:val="p"/>
                </m:rPr>
                <w:rPr>
                  <w:rFonts w:hint="eastAsia"/>
                  <w:snapToGrid w:val="0"/>
                  <w:sz w:val="24"/>
                </w:rPr>
                <m:t>（</m:t>
              </m:r>
              <m:r>
                <m:rPr>
                  <m:sty m:val="p"/>
                </m:rPr>
                <w:rPr>
                  <w:rFonts w:hint="default"/>
                  <w:snapToGrid w:val="0"/>
                  <w:sz w:val="24"/>
                  <w:lang w:val="en-US" w:eastAsia="zh-CN"/>
                </w:rPr>
                <m:t>2</m:t>
              </m:r>
              <m:r>
                <m:rPr>
                  <m:sty m:val="p"/>
                </m:rPr>
                <w:rPr>
                  <w:rFonts w:hint="eastAsia"/>
                  <w:snapToGrid w:val="0"/>
                  <w:sz w:val="24"/>
                </w:rPr>
                <m:t>−</m:t>
              </m:r>
              <m:r>
                <m:rPr>
                  <m:sty m:val="p"/>
                </m:rPr>
                <w:rPr>
                  <w:rFonts w:hint="default"/>
                  <w:snapToGrid w:val="0"/>
                  <w:sz w:val="24"/>
                  <w:lang w:val="en-US" w:eastAsia="zh-CN"/>
                </w:rPr>
                <m:t>8</m:t>
              </m:r>
              <m:r>
                <m:rPr>
                  <m:sty m:val="p"/>
                </m:rPr>
                <w:rPr>
                  <w:rFonts w:hint="eastAsia"/>
                  <w:snapToGrid w:val="0"/>
                  <w:sz w:val="24"/>
                </w:rPr>
                <m:t>）</m:t>
              </m:r>
              <m:ctrlPr>
                <w:rPr>
                  <w:rFonts w:hint="eastAsia"/>
                  <w:lang w:val="en-US" w:eastAsia="zh-CN"/>
                </w:rPr>
              </m:ctrlPr>
            </m:e>
          </m:eqArr>
        </m:oMath>
      </m:oMathPara>
    </w:p>
    <w:p w14:paraId="7BBBC78C">
      <w:pPr>
        <w:ind w:left="0" w:leftChars="0" w:firstLine="0" w:firstLineChars="0"/>
        <w:rPr>
          <w:rFonts w:hint="eastAsia" w:hAnsi="Cambria Math"/>
          <w:i w:val="0"/>
        </w:rPr>
      </w:pPr>
      <w:r>
        <w:rPr>
          <w:rFonts w:hint="eastAsia" w:hAnsi="Cambria Math"/>
          <w:i w:val="0"/>
        </w:rPr>
        <w:t>由于攻击者看不到系统内部梯度，因此无法直接进行精确优化，只能通过外部反馈不断评估候选毒化文档的效果。</w:t>
      </w:r>
    </w:p>
    <w:p w14:paraId="53960E0E">
      <w:pPr>
        <w:ind w:left="0" w:leftChars="0" w:firstLine="480" w:firstLineChars="0"/>
        <w:rPr>
          <w:rFonts w:hint="eastAsia" w:hAnsi="Cambria Math"/>
          <w:i w:val="0"/>
        </w:rPr>
      </w:pPr>
      <w:r>
        <w:rPr>
          <w:rFonts w:hint="eastAsia" w:hAnsi="Cambria Math"/>
          <w:i w:val="0"/>
        </w:rPr>
        <w:t>黑盒投毒通常采用基于搜索的离散文本优化路线。其基本过程一般包括目标确定、候选生成、效果评估与迭代更新四个环节。首先，攻击者选择目标问题、目标知识点或目标误导方向；其次，围绕该目标生成一批候选毒化文档，这些文档往往会刻意加入与目标查询高度相关的专业术语、业务场景描述、规程化表达和看似合理的处置逻辑，以提高文本的可检索性与可信度；然后，通过系统外部反馈或代理模型评分，对候选文档在检索相关性、回答诱导性和语义自然性等维度进行综合评价；最后，依据评价结果继续进行改写、交叉、变异或重组，逐步筛选出更具攻击效果的毒化文本。黑盒知识库投毒本质上是一个受多重约束的离散组合优化问题：攻击者既要提升毒化文档的检索命中能力，又要增强其对生成模型的误导作用，同时还要尽量降低被检测的风险。</w:t>
      </w:r>
    </w:p>
    <w:p w14:paraId="5FB4DD32">
      <w:pPr>
        <w:pStyle w:val="4"/>
        <w:rPr>
          <w:rFonts w:hint="eastAsia"/>
        </w:rPr>
      </w:pPr>
      <w:bookmarkStart w:id="65" w:name="_Toc23869"/>
      <w:r>
        <w:rPr>
          <w:rFonts w:hint="eastAsia"/>
        </w:rPr>
        <w:t>2.4.3  知识库投毒防御</w:t>
      </w:r>
      <w:bookmarkEnd w:id="65"/>
    </w:p>
    <w:p w14:paraId="6992BC65">
      <w:pPr>
        <w:rPr>
          <w:rFonts w:hint="eastAsia"/>
        </w:rPr>
      </w:pPr>
      <w:r>
        <w:rPr>
          <w:rFonts w:hint="eastAsia"/>
          <w:lang w:val="en-US" w:eastAsia="zh-CN"/>
        </w:rPr>
        <w:t>知识库投毒</w:t>
      </w:r>
      <w:r>
        <w:rPr>
          <w:rFonts w:hint="eastAsia"/>
        </w:rPr>
        <w:t>防御围绕知识入库、检索阶段和生成阶段协同展开。知识库投毒防御的核心目标，是在尽量保持系统正常问答能力的前提下，降低恶意文档进入增强上下文并误导最终回答的概率。换言之，防御的重点并不是简单删除所有可疑文本，而是在安全性、可用性和部署成本之间取得平衡。</w:t>
      </w:r>
    </w:p>
    <w:p w14:paraId="3309BE64">
      <w:pPr>
        <w:rPr>
          <w:rFonts w:hint="eastAsia"/>
        </w:rPr>
      </w:pPr>
      <w:r>
        <w:rPr>
          <w:rFonts w:hint="eastAsia"/>
        </w:rPr>
        <w:t>在知识入库阶段，防御重点在于降低污染文本进入知识库的可能性。常见做法包括对外部数据源进行可信度校验，对文档来源、时间、版本和格式进行检查，并在入库前完成重复性检测、异常内容过滤和基础清洗。对于开放知识源，由于难以依赖人工逐条审核，更可行的方式是结合规则过滤与自动检测，对明显异常、语义混乱或来源可疑的文本进行预筛查，从源头减少高风险内容注入。</w:t>
      </w:r>
    </w:p>
    <w:p w14:paraId="20AD49D1">
      <w:pPr>
        <w:rPr>
          <w:rFonts w:hint="eastAsia" w:eastAsia="宋体"/>
          <w:lang w:eastAsia="zh-CN"/>
        </w:rPr>
      </w:pPr>
      <w:r>
        <w:rPr>
          <w:rFonts w:hint="eastAsia"/>
        </w:rPr>
        <w:t>在检索阶段，防御的关键是识别并削弱污染证据对召回结果的影响。由于毒化文档必须先进入候选证据集合，才能进一步误导生成模型，因此检索侧是最核心的防御位置。一种常见思路是扩大候选集合后再进行二次筛选，以避免系统仅依赖少量高分结果；另一种思路是利用嵌入空间中的异常分布、文本相似性异常或证据间冲突关系，对可疑文档进行过滤或重排序。此外，还可以结合语言流畅性特征识别局部异常片段，其中困惑度是常用指标，其定义为</w:t>
      </w:r>
      <w:r>
        <w:rPr>
          <w:rFonts w:hint="eastAsia"/>
          <w:vertAlign w:val="superscript"/>
          <w:lang w:val="en-US" w:eastAsia="zh-CN"/>
        </w:rPr>
        <w:t>[10]</w:t>
      </w:r>
      <w:r>
        <w:rPr>
          <w:rFonts w:hint="eastAsia"/>
          <w:lang w:eastAsia="zh-CN"/>
        </w:rPr>
        <w:t>：</w:t>
      </w:r>
    </w:p>
    <w:p w14:paraId="78C4C7F8">
      <w:pPr>
        <w:pStyle w:val="86"/>
        <w:bidi w:val="0"/>
        <w:rPr>
          <w:rFonts w:hint="eastAsia" w:hAnsi="Cambria Math"/>
          <w:i w:val="0"/>
          <w:lang w:val="en-US" w:eastAsia="zh-CN"/>
        </w:rPr>
      </w:pPr>
      <m:oMathPara>
        <m:oMath>
          <m:eqArr>
            <m:eqArrPr>
              <m:maxDist m:val="1"/>
              <m:ctrlPr>
                <w:rPr>
                  <w:rFonts w:hint="eastAsia" w:hAnsi="Cambria Math"/>
                  <w:i w:val="0"/>
                  <w:lang w:val="en-US" w:eastAsia="zh-CN"/>
                </w:rPr>
              </m:ctrlPr>
            </m:eqArrPr>
            <m:e>
              <m:r>
                <m:rPr>
                  <m:sty m:val="p"/>
                </m:rPr>
                <w:rPr>
                  <w:rFonts w:ascii="Times New Roman" w:hAnsi="Times New Roman"/>
                </w:rPr>
                <m:t>PPL(</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1:n</m:t>
                  </m:r>
                  <m:ctrlPr>
                    <w:rPr>
                      <w:rFonts w:ascii="Cambria Math" w:hAnsi="Cambria Math"/>
                    </w:rPr>
                  </m:ctrlPr>
                </m:sub>
              </m:sSub>
              <m:r>
                <m:rPr>
                  <m:sty m:val="p"/>
                </m:rPr>
                <w:rPr>
                  <w:rFonts w:ascii="Times New Roman" w:hAnsi="Times New Roman"/>
                </w:rPr>
                <m:t>)=exp⁡</m:t>
              </m:r>
              <m:d>
                <m:dPr>
                  <m:ctrlPr>
                    <w:rPr>
                      <w:rFonts w:ascii="Cambria Math" w:hAnsi="Cambria Math"/>
                    </w:rPr>
                  </m:ctrlPr>
                </m:dPr>
                <m:e>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n</m:t>
                      </m:r>
                      <m:ctrlPr>
                        <w:rPr>
                          <w:rFonts w:ascii="Cambria Math" w:hAnsi="Cambria Math"/>
                        </w:rPr>
                      </m:ctrlPr>
                    </m:den>
                  </m:f>
                  <m:nary>
                    <m:naryPr>
                      <m:chr m:val="∑"/>
                      <m:grow m:val="1"/>
                      <m:limLoc m:val="undOvr"/>
                      <m:ctrlPr>
                        <w:rPr>
                          <w:rFonts w:ascii="Cambria Math" w:hAnsi="Cambria Math"/>
                        </w:rPr>
                      </m:ctrlPr>
                    </m:naryPr>
                    <m:sub>
                      <m:r>
                        <m:rPr>
                          <m:sty m:val="p"/>
                        </m:rPr>
                        <w:rPr>
                          <w:rFonts w:ascii="Times New Roman" w:hAnsi="Times New Roman"/>
                        </w:rPr>
                        <m:t>i=1</m:t>
                      </m:r>
                      <m:ctrlPr>
                        <w:rPr>
                          <w:rFonts w:ascii="Cambria Math" w:hAnsi="Cambria Math"/>
                        </w:rPr>
                      </m:ctrlPr>
                    </m:sub>
                    <m:sup>
                      <m:r>
                        <m:rPr>
                          <m:sty m:val="p"/>
                        </m:rPr>
                        <w:rPr>
                          <w:rFonts w:ascii="Times New Roman" w:hAnsi="Times New Roman"/>
                        </w:rPr>
                        <m:t>n</m:t>
                      </m:r>
                      <m:ctrlPr>
                        <w:rPr>
                          <w:rFonts w:ascii="Cambria Math" w:hAnsi="Cambria Math"/>
                        </w:rPr>
                      </m:ctrlPr>
                    </m:sup>
                    <m:e>
                      <m:r>
                        <m:rPr>
                          <m:sty m:val="p"/>
                        </m:rPr>
                        <w:rPr>
                          <w:rFonts w:ascii="Times New Roman" w:hAnsi="Times New Roman"/>
                        </w:rPr>
                        <m:t> </m:t>
                      </m:r>
                      <m:ctrlPr>
                        <w:rPr>
                          <w:rFonts w:ascii="Cambria Math" w:hAnsi="Cambria Math"/>
                        </w:rPr>
                      </m:ctrlPr>
                    </m:e>
                  </m:nary>
                  <m:r>
                    <m:rPr>
                      <m:sty m:val="p"/>
                    </m:rPr>
                    <w:rPr>
                      <w:rFonts w:ascii="Times New Roman" w:hAnsi="Times New Roman"/>
                    </w:rPr>
                    <m:t>log⁡p(</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&lt;i</m:t>
                      </m:r>
                      <m:ctrlPr>
                        <w:rPr>
                          <w:rFonts w:ascii="Cambria Math" w:hAnsi="Cambria Math"/>
                        </w:rPr>
                      </m:ctrlPr>
                    </m:sub>
                  </m:sSub>
                  <m:r>
                    <m:rPr>
                      <m:sty m:val="p"/>
                    </m:rPr>
                    <w:rPr>
                      <w:rFonts w:ascii="Times New Roman" w:hAnsi="Times New Roman"/>
                    </w:rPr>
                    <m:t>)</m:t>
                  </m:r>
                  <m:ctrlPr>
                    <w:rPr>
                      <w:rFonts w:ascii="Cambria Math" w:hAnsi="Cambria Math"/>
                    </w:rPr>
                  </m:ctrlPr>
                </m:e>
              </m:d>
              <m:r>
                <m:rPr>
                  <m:sty m:val="p"/>
                </m:rPr>
                <w:rPr>
                  <w:rFonts w:hint="default" w:ascii="Cambria Math" w:hAnsi="Cambria Math"/>
                  <w:lang w:val="en-US" w:eastAsia="zh-CN"/>
                </w:rPr>
                <m:t>#</m:t>
              </m:r>
              <m:r>
                <m:rPr>
                  <m:sty m:val="p"/>
                </m:rPr>
                <w:rPr>
                  <w:rFonts w:hint="eastAsia"/>
                  <w:snapToGrid w:val="0"/>
                  <w:sz w:val="24"/>
                </w:rPr>
                <m:t>（</m:t>
              </m:r>
              <m:r>
                <m:rPr>
                  <m:sty m:val="p"/>
                </m:rPr>
                <w:rPr>
                  <w:rFonts w:hint="default"/>
                  <w:snapToGrid w:val="0"/>
                  <w:sz w:val="24"/>
                  <w:lang w:val="en-US" w:eastAsia="zh-CN"/>
                </w:rPr>
                <m:t>2−9</m:t>
              </m:r>
              <m:r>
                <m:rPr>
                  <m:sty m:val="p"/>
                </m:rPr>
                <w:rPr>
                  <w:rFonts w:hint="eastAsia"/>
                  <w:snapToGrid w:val="0"/>
                  <w:sz w:val="24"/>
                </w:rPr>
                <m:t>）</m:t>
              </m:r>
              <m:ctrlPr>
                <w:rPr>
                  <w:rFonts w:hint="eastAsia" w:hAnsi="Cambria Math"/>
                  <w:i w:val="0"/>
                  <w:lang w:val="en-US" w:eastAsia="zh-CN"/>
                </w:rPr>
              </m:ctrlPr>
            </m:e>
          </m:eqArr>
        </m:oMath>
      </m:oMathPara>
    </w:p>
    <w:p w14:paraId="24C37060">
      <w:pPr>
        <w:bidi w:val="0"/>
        <w:ind w:left="0" w:leftChars="0" w:firstLine="0" w:firstLineChars="0"/>
        <w:rPr>
          <w:rFonts w:hint="eastAsia" w:hAnsi="Cambria Math"/>
          <w:i w:val="0"/>
          <w:lang w:val="en-US" w:eastAsia="zh-CN"/>
        </w:rPr>
      </w:pPr>
      <w:r>
        <w:rPr>
          <w:rFonts w:hint="eastAsia"/>
          <w:lang w:val="en-US" w:eastAsia="zh-CN"/>
        </w:rPr>
        <w:t>其中</w:t>
      </w:r>
      <m:oMath>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1:n</m:t>
            </m:r>
            <m:ctrlPr>
              <w:rPr>
                <w:rFonts w:ascii="Cambria Math" w:hAnsi="Cambria Math"/>
              </w:rPr>
            </m:ctrlPr>
          </m:sub>
        </m:sSub>
      </m:oMath>
      <w:r>
        <w:rPr>
          <w:rFonts w:hint="eastAsia" w:hAnsi="Cambria Math"/>
          <w:i w:val="0"/>
          <w:lang w:val="en-US" w:eastAsia="zh-CN"/>
        </w:rPr>
        <w:t>表示长度为n的文本序列，</w:t>
      </w:r>
      <m:oMath>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&lt;i</m:t>
            </m:r>
            <m:ctrlPr>
              <w:rPr>
                <w:rFonts w:ascii="Cambria Math" w:hAnsi="Cambria Math"/>
              </w:rPr>
            </m:ctrlPr>
          </m:sub>
        </m:sSub>
        <m:r>
          <m:rPr>
            <m:sty m:val="p"/>
          </m:rPr>
          <w:rPr>
            <w:rFonts w:ascii="Times New Roman" w:hAnsi="Times New Roman"/>
          </w:rPr>
          <m:t>)</m:t>
        </m:r>
      </m:oMath>
      <w:r>
        <w:rPr>
          <w:rFonts w:hint="eastAsia"/>
          <w:b w:val="0"/>
          <w:i w:val="0"/>
          <w:lang w:val="en-US" w:eastAsia="zh-CN"/>
        </w:rPr>
        <w:t>表示在前文条件下生成词元</w:t>
      </w:r>
      <m:oMath>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m:t>
            </m:r>
            <m:ctrlPr>
              <w:rPr>
                <w:rFonts w:ascii="Cambria Math" w:hAnsi="Cambria Math"/>
              </w:rPr>
            </m:ctrlPr>
          </m:sub>
        </m:sSub>
      </m:oMath>
      <w:r>
        <w:rPr>
          <w:rFonts w:hint="eastAsia" w:hAnsi="Cambria Math"/>
          <w:i w:val="0"/>
          <w:lang w:val="en-US" w:eastAsia="zh-CN"/>
        </w:rPr>
        <w:t>的概率。困惑度反映了语言模型对文本的“意外程度”，若某一文本块的困惑度明显偏高，或在局部位置出现异常波动，通常说明该片段可能存在风格断裂、语义拼接或人为篡改痕迹。因此，基于分块困惑度的检测可以作为识别毒化文本的重要辅助手段。</w:t>
      </w:r>
    </w:p>
    <w:p w14:paraId="3E69AC91">
      <w:pPr>
        <w:bidi w:val="0"/>
        <w:ind w:left="0" w:leftChars="0" w:firstLine="480" w:firstLineChars="0"/>
        <w:rPr>
          <w:rFonts w:hint="default" w:hAnsi="Cambria Math"/>
          <w:i w:val="0"/>
          <w:lang w:val="en-US" w:eastAsia="zh-CN"/>
        </w:rPr>
      </w:pPr>
      <w:r>
        <w:rPr>
          <w:rFonts w:hint="default" w:hAnsi="Cambria Math"/>
          <w:i w:val="0"/>
          <w:lang w:val="en-US" w:eastAsia="zh-CN"/>
        </w:rPr>
        <w:t>在生成阶段，防御主要用于减轻已进入上下文的污染证据对最终答案的误导。常见做法包括限制模型优先依据高可信证据作答，对生成结果与支撑文档之间的一致性进行校验，并对高风险回答进行拦截、重写或人工复核。对于高安全场景，还可以将输入护栏、检索护栏和输出护栏结合起来，形成贯穿全流程的分层防御机制。</w:t>
      </w:r>
    </w:p>
    <w:p w14:paraId="7399B5F9">
      <w:pPr>
        <w:bidi w:val="0"/>
        <w:ind w:left="0" w:leftChars="0" w:firstLine="480" w:firstLineChars="0"/>
        <w:rPr>
          <w:rFonts w:hint="default" w:hAnsi="Cambria Math"/>
          <w:i w:val="0"/>
          <w:lang w:val="en-US" w:eastAsia="zh-CN"/>
        </w:rPr>
      </w:pPr>
      <w:r>
        <w:rPr>
          <w:rFonts w:hint="eastAsia" w:hAnsi="Cambria Math"/>
          <w:i w:val="0"/>
          <w:lang w:val="en-US" w:eastAsia="zh-CN"/>
        </w:rPr>
        <w:t>总体而言，知识库投毒防御并不存在单一且绝对有效的方法。由于攻击者可以同时利用语义相似性、文本自然性和来源伪装性提高隐蔽性，因此更有效的策略是融合知识治理、检索过滤和输出校验等多种手段，在提高污染证据识别能力的同时，尽量避免对正常问答性能造成明显影响。</w:t>
      </w:r>
    </w:p>
    <w:p w14:paraId="2237C20F">
      <w:pPr>
        <w:pStyle w:val="3"/>
        <w:spacing w:before="163" w:after="163"/>
      </w:pPr>
      <w:bookmarkStart w:id="66" w:name="_Toc27955"/>
      <w:r>
        <w:t>2.</w:t>
      </w:r>
      <w:r>
        <w:rPr>
          <w:rFonts w:hint="eastAsia"/>
        </w:rPr>
        <w:t>5  本章小结</w:t>
      </w:r>
      <w:bookmarkEnd w:id="66"/>
    </w:p>
    <w:p w14:paraId="7B994493">
      <w:pPr>
        <w:ind w:firstLine="480"/>
        <w:rPr>
          <w:rFonts w:hint="eastAsia"/>
        </w:rPr>
      </w:pPr>
      <w:r>
        <w:rPr>
          <w:rFonts w:hint="eastAsia"/>
        </w:rPr>
        <w:t>本章围绕本文研究所涉及的核心理论与背景知识进行了系统阐述。首先介绍了数字孪生的基本概念、体系架构及其在AI训推场景中的应用特点，说明数字孪生能够为电力人工智能系统提供统一的虚实映射、状态同步和过程追踪能力。其次，从Transformer架构、大语言模型训练机制和RAG系统流程出发，分析了文本向量化、语义检索与增强生成的基本原理，明确了RAG系统“检索—生成”链路的关键依赖关系。随后，介绍了遗传算法和NSGA-II多目标优化理论，为后续知识库毒化文本的双目标搜索提供方法基础。最后，围绕RAG知识库投毒攻击与防御相关技术，梳理了白盒与黑盒投毒的作用机理以及检索阶段防御的基本思路。上述内容共同构成了后续章节平台设计、攻击方法提出与防御框架构建的理论基础。</w:t>
      </w:r>
    </w:p>
    <w:p w14:paraId="2E8D8008">
      <w:pPr>
        <w:ind w:firstLine="480"/>
        <w:rPr>
          <w:rFonts w:hint="eastAsia"/>
        </w:rPr>
        <w:sectPr>
          <w:headerReference r:id="rId22" w:type="default"/>
          <w:headerReference r:id="rId23" w:type="even"/>
          <w:footerReference r:id="rId24" w:type="even"/>
          <w:footnotePr>
            <w:numFmt w:val="decimalEnclosedCircleChinese"/>
            <w:numRestart w:val="eachPage"/>
          </w:footnotePr>
          <w:type w:val="evenPage"/>
          <w:pgSz w:w="11906" w:h="16838"/>
          <w:pgMar w:top="1440" w:right="1797" w:bottom="1440" w:left="1797" w:header="850" w:footer="992" w:gutter="0"/>
          <w:pgNumType w:fmt="decimal"/>
          <w:cols w:space="720" w:num="1"/>
          <w:docGrid w:type="lines" w:linePitch="326" w:charSpace="0"/>
        </w:sectPr>
      </w:pPr>
    </w:p>
    <w:p w14:paraId="2E9116A4">
      <w:pPr>
        <w:pStyle w:val="2"/>
        <w:bidi w:val="0"/>
        <w:rPr>
          <w:rFonts w:hint="default"/>
          <w:lang w:val="en-US"/>
        </w:rPr>
      </w:pPr>
      <w:bookmarkStart w:id="67" w:name="_Toc29436"/>
      <w:r>
        <w:t xml:space="preserve">第三章 </w:t>
      </w:r>
      <w:r>
        <w:rPr>
          <w:rFonts w:hint="eastAsia"/>
          <w:lang w:val="en-US" w:eastAsia="zh-CN"/>
        </w:rPr>
        <w:t xml:space="preserve"> 面向电力场景可信训推与RAG安全研究的孪生可视平台研发</w:t>
      </w:r>
      <w:bookmarkEnd w:id="67"/>
    </w:p>
    <w:p w14:paraId="0F1E4B0D">
      <w:pPr>
        <w:ind w:firstLine="480"/>
      </w:pPr>
      <w:r>
        <w:rPr>
          <w:rFonts w:hint="eastAsia"/>
        </w:rPr>
        <w:t>伴随着人工智能技术的迅猛发展，其高效智能、实时响应和精准分析等优势逐步深入到电力智能调度、设备监控、故障诊断等业务场景，为庞大且复杂的电力系统带来了全新的技术支持。然而，电力AI系统在数据资产、模型训练推理与算力资源层面呈现多源异构、动态变化的特征，跨层关联分析困难、运行态势难以统一表达，进而制约安全管控的精细化实施与闭环验证。</w:t>
      </w:r>
      <w:r>
        <w:t>本章</w:t>
      </w:r>
      <w:r>
        <w:rPr>
          <w:rFonts w:hint="eastAsia"/>
        </w:rPr>
        <w:t>首先研发面向电力系统、</w:t>
      </w:r>
      <w:r>
        <w:t>基于数字孪生技术的AI</w:t>
      </w:r>
      <w:r>
        <w:rPr>
          <w:rFonts w:hint="eastAsia"/>
        </w:rPr>
        <w:t>模型训推一体</w:t>
      </w:r>
      <w:r>
        <w:t>可视化平台</w:t>
      </w:r>
      <w:r>
        <w:rPr>
          <w:rFonts w:hint="eastAsia"/>
        </w:rPr>
        <w:t>：构建物理模型、数据、计算资源等AI基础设施与数字空间的双向映射，实现状态实时同步与统一可视化管理，支撑数据资产管理、模型训推全流程监控及基于RAG的业务应用。具体实施上，先完成总体架构与孪生建模框架设计，然后实现关键对象的映射与同步机制，再集成数据管理、训推监控与RAG模块，最终形成可用于后续攻防研究的实验环境与数据支撑</w:t>
      </w:r>
      <w:r>
        <w:t>。</w:t>
      </w:r>
    </w:p>
    <w:p w14:paraId="1831F16A">
      <w:pPr>
        <w:pStyle w:val="3"/>
        <w:spacing w:before="163" w:after="163"/>
      </w:pPr>
      <w:bookmarkStart w:id="68" w:name="_Toc16783"/>
      <w:r>
        <w:t>3.1</w:t>
      </w:r>
      <w:r>
        <w:rPr>
          <w:rFonts w:hint="eastAsia"/>
        </w:rPr>
        <w:t xml:space="preserve">  </w:t>
      </w:r>
      <w:r>
        <w:t>平台总体设计</w:t>
      </w:r>
      <w:bookmarkEnd w:id="68"/>
    </w:p>
    <w:p w14:paraId="4F07321E">
      <w:pPr>
        <w:ind w:firstLine="480"/>
      </w:pPr>
      <w:r>
        <w:rPr>
          <w:rFonts w:hint="eastAsia"/>
        </w:rPr>
        <w:t>面向电力场景的</w:t>
      </w:r>
      <w:r>
        <w:rPr>
          <w:rFonts w:hint="eastAsia"/>
          <w:lang w:val="en-US" w:eastAsia="zh-CN"/>
        </w:rPr>
        <w:t>AI</w:t>
      </w:r>
      <w:r>
        <w:rPr>
          <w:rFonts w:hint="eastAsia"/>
        </w:rPr>
        <w:t>应用并不是单一模型调用问题，而是由数据治理、模型</w:t>
      </w:r>
      <w:r>
        <w:rPr>
          <w:rFonts w:hint="eastAsia"/>
          <w:lang w:val="en-US" w:eastAsia="zh-CN"/>
        </w:rPr>
        <w:t>训练推理</w:t>
      </w:r>
      <w:r>
        <w:rPr>
          <w:rFonts w:hint="eastAsia"/>
        </w:rPr>
        <w:t>服务和业务应用协同构成的复杂系统问题。本节</w:t>
      </w:r>
      <w:r>
        <w:rPr>
          <w:rFonts w:hint="eastAsia"/>
          <w:lang w:val="en-US" w:eastAsia="zh-CN"/>
        </w:rPr>
        <w:t>从平台体系架构、功能逻辑以及孪生机制三个方面</w:t>
      </w:r>
      <w:r>
        <w:rPr>
          <w:rFonts w:hint="eastAsia"/>
        </w:rPr>
        <w:t>对可视平台进行详尽设计，构建逻辑清晰、结构完整的架构体系，统一表达电力场景下数据、模型、知识、资源与业务流程之间的关联关系，并为可信推理和安全观测提供</w:t>
      </w:r>
      <w:r>
        <w:rPr>
          <w:rFonts w:hint="eastAsia"/>
          <w:lang w:val="en-US" w:eastAsia="zh-CN"/>
        </w:rPr>
        <w:t>重要</w:t>
      </w:r>
      <w:r>
        <w:rPr>
          <w:rFonts w:hint="eastAsia"/>
        </w:rPr>
        <w:t>支撑。</w:t>
      </w:r>
    </w:p>
    <w:p w14:paraId="621A9518">
      <w:pPr>
        <w:pStyle w:val="4"/>
      </w:pPr>
      <w:bookmarkStart w:id="69" w:name="_Toc29504"/>
      <w:r>
        <w:t>3.1.1</w:t>
      </w:r>
      <w:r>
        <w:rPr>
          <w:rFonts w:hint="eastAsia"/>
        </w:rPr>
        <w:t xml:space="preserve">  </w:t>
      </w:r>
      <w:r>
        <w:t>架构设计</w:t>
      </w:r>
      <w:bookmarkEnd w:id="69"/>
    </w:p>
    <w:p w14:paraId="30D69EA6">
      <w:pPr>
        <w:ind w:firstLine="480"/>
        <w:rPr>
          <w:rFonts w:hint="eastAsia"/>
        </w:rPr>
      </w:pPr>
      <w:r>
        <w:rPr>
          <w:rFonts w:hint="eastAsia"/>
        </w:rPr>
        <w:t>平台总体架构遵循“虚实一体、分层解耦、</w:t>
      </w:r>
      <w:r>
        <w:rPr>
          <w:rFonts w:hint="eastAsia"/>
          <w:lang w:val="en-US" w:eastAsia="zh-CN"/>
        </w:rPr>
        <w:t>过程可视</w:t>
      </w:r>
      <w:r>
        <w:rPr>
          <w:rFonts w:hint="eastAsia"/>
        </w:rPr>
        <w:t>、</w:t>
      </w:r>
      <w:r>
        <w:rPr>
          <w:rFonts w:hint="eastAsia"/>
          <w:lang w:val="en-US" w:eastAsia="zh-CN"/>
        </w:rPr>
        <w:t>安全可信</w:t>
      </w:r>
      <w:r>
        <w:rPr>
          <w:rFonts w:hint="eastAsia"/>
        </w:rPr>
        <w:t>”的设计原则，形成由孪生建模层、数据知识层、训推管理层、业务应用层构成的整体框架</w:t>
      </w:r>
      <w:r>
        <w:rPr>
          <w:rFonts w:hint="eastAsia"/>
          <w:lang w:eastAsia="zh-CN"/>
        </w:rPr>
        <w:t>，</w:t>
      </w:r>
      <w:r>
        <w:rPr>
          <w:rFonts w:hint="eastAsia"/>
        </w:rPr>
        <w:t>如图3-1所示。</w:t>
      </w:r>
    </w:p>
    <w:p w14:paraId="45912C30">
      <w:pPr>
        <w:ind w:firstLine="480"/>
      </w:pPr>
      <w:r>
        <w:rPr>
          <w:rFonts w:hint="eastAsia"/>
        </w:rPr>
        <w:t>孪生建模层是平台的</w:t>
      </w:r>
      <w:r>
        <w:rPr>
          <w:rFonts w:hint="eastAsia"/>
          <w:lang w:val="en-US" w:eastAsia="zh-CN"/>
        </w:rPr>
        <w:t>表示基础</w:t>
      </w:r>
      <w:r>
        <w:rPr>
          <w:rFonts w:hint="eastAsia"/>
        </w:rPr>
        <w:t>，负责对训练节点、推理节点、存储资源、网络资源、数据资产、模型资产、知识资产以及业务应用对象进行统一抽象，通过传感器、监控代理和API接口实时采集</w:t>
      </w:r>
      <w:r>
        <w:rPr>
          <w:rFonts w:hint="eastAsia"/>
          <w:lang w:val="en-US" w:eastAsia="zh-CN"/>
        </w:rPr>
        <w:t>信息，</w:t>
      </w:r>
      <w:r>
        <w:rPr>
          <w:rFonts w:hint="eastAsia"/>
        </w:rPr>
        <w:t>使物理世界中的设备、服务和过程在数字空间中拥有可计算、可关联、可追溯的对应体</w:t>
      </w:r>
      <w:r>
        <w:rPr>
          <w:rFonts w:hint="eastAsia"/>
          <w:lang w:eastAsia="zh-CN"/>
        </w:rPr>
        <w:t>，</w:t>
      </w:r>
      <w:r>
        <w:rPr>
          <w:rFonts w:hint="eastAsia"/>
        </w:rPr>
        <w:t>从而为后续跨层关联分析与态势统一表达提供统一语义与可追溯的结构化载体。</w:t>
      </w:r>
    </w:p>
    <w:p w14:paraId="230681F9">
      <w:pPr>
        <w:ind w:firstLine="480"/>
        <w:rPr>
          <w:rFonts w:hint="eastAsia"/>
        </w:rPr>
      </w:pPr>
      <w:r>
        <w:rPr>
          <w:rFonts w:hint="eastAsia"/>
        </w:rPr>
        <w:t>数据知识层</w:t>
      </w:r>
      <w:r>
        <w:rPr>
          <w:rFonts w:hint="eastAsia"/>
          <w:lang w:val="en-US" w:eastAsia="zh-CN"/>
        </w:rPr>
        <w:t>面向平台数据全生命周期管理及知识管理需求，包括</w:t>
      </w:r>
      <w:r>
        <w:rPr>
          <w:rFonts w:hint="eastAsia"/>
        </w:rPr>
        <w:t>数据采集、清洗、</w:t>
      </w:r>
      <w:r>
        <w:rPr>
          <w:rFonts w:hint="eastAsia"/>
          <w:lang w:val="en-US" w:eastAsia="zh-CN"/>
        </w:rPr>
        <w:t>分级分类</w:t>
      </w:r>
      <w:r>
        <w:rPr>
          <w:rFonts w:hint="eastAsia"/>
        </w:rPr>
        <w:t>、数据集</w:t>
      </w:r>
      <w:r>
        <w:rPr>
          <w:rFonts w:hint="eastAsia"/>
          <w:lang w:val="en-US" w:eastAsia="zh-CN"/>
        </w:rPr>
        <w:t>构建与标注、数据血缘</w:t>
      </w:r>
      <w:r>
        <w:rPr>
          <w:rFonts w:hint="eastAsia"/>
        </w:rPr>
        <w:t>，以及面向RAG的知识预处理、入库与索引构建。该层既服务于模型训练所需的数据准备，又</w:t>
      </w:r>
      <w:r>
        <w:rPr>
          <w:rFonts w:hint="eastAsia"/>
          <w:lang w:val="en-US" w:eastAsia="zh-CN"/>
        </w:rPr>
        <w:t>为电力</w:t>
      </w:r>
      <w:r>
        <w:rPr>
          <w:rFonts w:hint="eastAsia"/>
        </w:rPr>
        <w:t>业务应用供给外部知识</w:t>
      </w:r>
      <w:r>
        <w:t>。</w:t>
      </w:r>
      <w:r>
        <w:rPr>
          <w:rFonts w:hint="eastAsia"/>
        </w:rPr>
        <w:t>在存储与管理方面，数据集、标注集、模型产物与知识原文进入对象存储与元数据目录以支撑版本化管理与血缘追踪；RAG知识片段则在保留原文可回溯的同时构建向量索引与关键词/结构化索引，实现面向“对象—时间—来源—可信标签”的快速检索与证据定位。</w:t>
      </w:r>
    </w:p>
    <w:p w14:paraId="3491137B">
      <w:pPr>
        <w:spacing w:line="240" w:lineRule="auto"/>
        <w:ind w:firstLine="0" w:firstLineChars="0"/>
        <w:jc w:val="center"/>
        <w:rPr>
          <w:rFonts w:hint="eastAsia" w:eastAsia="宋体"/>
          <w:b/>
          <w:bCs/>
          <w:lang w:eastAsia="zh-CN"/>
        </w:rPr>
      </w:pPr>
      <w:r>
        <w:rPr>
          <w:rFonts w:hint="eastAsia" w:eastAsia="宋体"/>
          <w:b/>
          <w:bCs/>
          <w:lang w:eastAsia="zh-CN"/>
        </w:rPr>
        <w:drawing>
          <wp:inline distT="0" distB="0" distL="114300" distR="114300">
            <wp:extent cx="5269230" cy="3312795"/>
            <wp:effectExtent l="0" t="0" r="3810" b="9525"/>
            <wp:docPr id="10" name="图片 10" descr="fig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3-1.2"/>
                    <pic:cNvPicPr>
                      <a:picLocks noChangeAspect="1"/>
                    </pic:cNvPicPr>
                  </pic:nvPicPr>
                  <pic:blipFill>
                    <a:blip r:embed="rId47"/>
                    <a:stretch>
                      <a:fillRect/>
                    </a:stretch>
                  </pic:blipFill>
                  <pic:spPr>
                    <a:xfrm>
                      <a:off x="0" y="0"/>
                      <a:ext cx="5269230" cy="3312795"/>
                    </a:xfrm>
                    <a:prstGeom prst="rect">
                      <a:avLst/>
                    </a:prstGeom>
                  </pic:spPr>
                </pic:pic>
              </a:graphicData>
            </a:graphic>
          </wp:inline>
        </w:drawing>
      </w:r>
    </w:p>
    <w:p w14:paraId="1CF8B388">
      <w:pPr>
        <w:pStyle w:val="92"/>
      </w:pPr>
      <w:r>
        <w:rPr>
          <w:rFonts w:hint="eastAsia"/>
        </w:rPr>
        <w:t>图</w:t>
      </w:r>
      <w:r>
        <w:rPr>
          <w:rFonts w:hint="eastAsia"/>
          <w:lang w:val="en-US" w:eastAsia="zh-CN"/>
        </w:rPr>
        <w:t>3</w:t>
      </w:r>
      <w:r>
        <w:rPr>
          <w:rFonts w:hint="eastAsia"/>
        </w:rPr>
        <w:t>-</w:t>
      </w:r>
      <w:r>
        <w:rPr>
          <w:rFonts w:hint="eastAsia"/>
          <w:lang w:val="en-US" w:eastAsia="zh-CN"/>
        </w:rPr>
        <w:t>1</w:t>
      </w:r>
      <w:r>
        <w:rPr>
          <w:rFonts w:hint="eastAsia"/>
        </w:rPr>
        <w:t xml:space="preserve"> </w:t>
      </w:r>
      <w:r>
        <w:rPr>
          <w:rFonts w:hint="eastAsia"/>
          <w:lang w:val="en-US" w:eastAsia="zh-CN"/>
        </w:rPr>
        <w:t>平台总体架构</w:t>
      </w:r>
      <w:r>
        <w:rPr>
          <w:rFonts w:hint="eastAsia"/>
        </w:rPr>
        <w:t>图</w:t>
      </w:r>
    </w:p>
    <w:p w14:paraId="4B3DD20E">
      <w:pPr>
        <w:ind w:firstLine="480"/>
      </w:pPr>
      <w:r>
        <w:rPr>
          <w:rFonts w:hint="eastAsia"/>
        </w:rPr>
        <w:t>训推管理层</w:t>
      </w:r>
      <w:r>
        <w:rPr>
          <w:rFonts w:hint="eastAsia"/>
          <w:lang w:val="en-US" w:eastAsia="zh-CN"/>
        </w:rPr>
        <w:t>展现</w:t>
      </w:r>
      <w:r>
        <w:rPr>
          <w:rFonts w:hint="eastAsia"/>
        </w:rPr>
        <w:t>模型开发、训练、评估、部署和在线推理全过程</w:t>
      </w:r>
      <w:r>
        <w:rPr>
          <w:rFonts w:hint="eastAsia"/>
          <w:lang w:val="en-US" w:eastAsia="zh-CN"/>
        </w:rPr>
        <w:t>画像</w:t>
      </w:r>
      <w:r>
        <w:rPr>
          <w:rFonts w:hint="eastAsia"/>
        </w:rPr>
        <w:t>，形成统一的模型生命周期管理与可视化监测能力。</w:t>
      </w:r>
      <w:r>
        <w:t>该层强调把训练与推理视为同一条可追踪链路：</w:t>
      </w:r>
      <w:r>
        <w:rPr>
          <w:rFonts w:hint="eastAsia"/>
        </w:rPr>
        <w:t>一方面，训练阶段的数据版本、参数配置、资源占用和实验结果可被完整记录；另一方面，部署后的推理服务可与其对应的模型版本、知识检索结果和业务请求上下文形成关联，从而支撑高安全场景中的可信推理、过程审计和异常定位。</w:t>
      </w:r>
    </w:p>
    <w:p w14:paraId="56B6E08B">
      <w:pPr>
        <w:ind w:firstLine="480"/>
      </w:pPr>
      <w:r>
        <w:rPr>
          <w:rFonts w:hint="eastAsia"/>
        </w:rPr>
        <w:t>业务应用层</w:t>
      </w:r>
      <w:r>
        <w:rPr>
          <w:rFonts w:hint="eastAsia"/>
          <w:lang w:val="en-US" w:eastAsia="zh-CN"/>
        </w:rPr>
        <w:t>作为</w:t>
      </w:r>
      <w:r>
        <w:rPr>
          <w:rFonts w:hint="eastAsia"/>
        </w:rPr>
        <w:t>面向典型电力业务场景运行与验证的一体化入口</w:t>
      </w:r>
      <w:r>
        <w:rPr>
          <w:rFonts w:hint="eastAsia"/>
          <w:lang w:eastAsia="zh-CN"/>
        </w:rPr>
        <w:t>，</w:t>
      </w:r>
      <w:r>
        <w:rPr>
          <w:rFonts w:hint="eastAsia"/>
        </w:rPr>
        <w:t>联动呈现算力、数据、模型、知识库与业务链路，支持从业务结果反向定位到模型版本、知识证据与资源状态，实现可解释、可审计的可信推理流程</w:t>
      </w:r>
      <w:r>
        <w:rPr>
          <w:rFonts w:hint="eastAsia"/>
          <w:lang w:eastAsia="zh-CN"/>
        </w:rPr>
        <w:t>。</w:t>
      </w:r>
      <w:r>
        <w:rPr>
          <w:rFonts w:hint="eastAsia"/>
          <w:lang w:val="en-US" w:eastAsia="zh-CN"/>
        </w:rPr>
        <w:t>此外</w:t>
      </w:r>
      <w:r>
        <w:rPr>
          <w:rFonts w:hint="eastAsia"/>
          <w:lang w:eastAsia="zh-CN"/>
        </w:rPr>
        <w:t>，</w:t>
      </w:r>
      <w:r>
        <w:rPr>
          <w:rFonts w:hint="eastAsia"/>
          <w:lang w:val="en-US" w:eastAsia="zh-CN"/>
        </w:rPr>
        <w:t>本文以基于RAG的电力调度决策业务作为</w:t>
      </w:r>
      <w:r>
        <w:rPr>
          <w:rFonts w:hint="eastAsia"/>
        </w:rPr>
        <w:t>典型业务</w:t>
      </w:r>
      <w:r>
        <w:rPr>
          <w:rFonts w:hint="eastAsia"/>
          <w:lang w:val="en-US" w:eastAsia="zh-CN"/>
        </w:rPr>
        <w:t>案例</w:t>
      </w:r>
      <w:r>
        <w:rPr>
          <w:rFonts w:hint="eastAsia"/>
        </w:rPr>
        <w:t>，将知识入库、检索命中、提示注入、输出合规等关键环节纳入可观测与可审计范围，使攻击作用点、影响路径与防御效果能够以同一套孪生语义在平台内闭环呈现与验证。</w:t>
      </w:r>
    </w:p>
    <w:p w14:paraId="0DF5B813">
      <w:pPr>
        <w:pStyle w:val="4"/>
        <w:rPr>
          <w:rFonts w:hint="eastAsia" w:eastAsia="黑体"/>
          <w:lang w:eastAsia="zh-CN"/>
        </w:rPr>
      </w:pPr>
      <w:bookmarkStart w:id="70" w:name="_Toc3686"/>
      <w:r>
        <w:t xml:space="preserve">3.1.2  </w:t>
      </w:r>
      <w:r>
        <w:rPr>
          <w:rFonts w:hint="eastAsia"/>
          <w:lang w:val="en-US" w:eastAsia="zh-CN"/>
        </w:rPr>
        <w:t>平台功能设计</w:t>
      </w:r>
      <w:bookmarkEnd w:id="70"/>
    </w:p>
    <w:p w14:paraId="55BED6FA">
      <w:pPr>
        <w:keepNext w:val="0"/>
        <w:keepLines w:val="0"/>
        <w:pageBreakBefore w:val="0"/>
        <w:widowControl w:val="0"/>
        <w:kinsoku/>
        <w:wordWrap/>
        <w:overflowPunct/>
        <w:topLinePunct w:val="0"/>
        <w:autoSpaceDE/>
        <w:autoSpaceDN/>
        <w:bidi w:val="0"/>
        <w:adjustRightInd/>
        <w:snapToGrid/>
        <w:ind w:firstLine="480"/>
        <w:textAlignment w:val="auto"/>
        <w:rPr>
          <w:rFonts w:hint="eastAsia"/>
        </w:rPr>
      </w:pPr>
      <w:r>
        <w:rPr>
          <w:rFonts w:hint="eastAsia"/>
        </w:rPr>
        <w:t>在总体架构基础上，平台进一步按照业务逻辑划分功能模块，形成清晰的功能组织关系，如图3-2所示。平台主要包括数据管理、模型管理、RAG调度决策和系统管理</w:t>
      </w:r>
      <w:r>
        <w:rPr>
          <w:rFonts w:hint="eastAsia"/>
          <w:lang w:val="en-US" w:eastAsia="zh-CN"/>
        </w:rPr>
        <w:t>四</w:t>
      </w:r>
      <w:r>
        <w:rPr>
          <w:rFonts w:hint="eastAsia"/>
        </w:rPr>
        <w:t>类功能。</w:t>
      </w:r>
    </w:p>
    <w:p w14:paraId="78713ADC">
      <w:pPr>
        <w:ind w:firstLine="480"/>
        <w:rPr>
          <w:rFonts w:hint="eastAsia"/>
          <w:lang w:val="en-US" w:eastAsia="zh-CN"/>
        </w:rPr>
      </w:pPr>
      <w:r>
        <w:rPr>
          <w:rFonts w:hint="eastAsia"/>
        </w:rPr>
        <w:t>数据管理是平台的基础功能模块，</w:t>
      </w:r>
      <w:r>
        <w:rPr>
          <w:rFonts w:hint="eastAsia"/>
          <w:lang w:val="en-US" w:eastAsia="zh-CN"/>
        </w:rPr>
        <w:t>该模块围绕数据全生命周期治理与应用展开，主要包含数据采集清洗、数据集创建与管理、数据标注、分级分类、数据血缘和资产明细等功能。该模块既要完成多源异构数据的标准化处理与组织管理，还要通过目录、分类和血缘关系建立数据对象之间的关联，为后续模型训练与业务推理提供可信、可追溯的数据底座。</w:t>
      </w:r>
    </w:p>
    <w:p w14:paraId="1293C716">
      <w:pPr>
        <w:ind w:firstLine="480"/>
        <w:rPr>
          <w:rFonts w:hint="eastAsia"/>
          <w:lang w:val="en-US" w:eastAsia="zh-CN"/>
        </w:rPr>
      </w:pPr>
      <w:r>
        <w:rPr>
          <w:rFonts w:hint="default"/>
          <w:lang w:val="en-US" w:eastAsia="zh-CN"/>
        </w:rPr>
        <w:t>模型管理是平台的核心功能模块之一，主要包括模型产线、模型库、模型标签、训推可视化和部署服务等功能。其中，模型产线面向模型开发、训练和迭代过程，支撑实验组织与流程编排；模型库用于沉淀各类模型资产并支持检索、筛选和复用；模型标签用于从任务类型、适用场景、框架来源等维度对模型进行统一标识</w:t>
      </w:r>
      <w:r>
        <w:rPr>
          <w:rFonts w:hint="eastAsia"/>
          <w:lang w:val="en-US" w:eastAsia="zh-CN"/>
        </w:rPr>
        <w:t>；部署服务则负责将模型能力转化为在线可调用服务，最终四者实现模型开发管理。而训推可视化用于查看训练和推理过程状态，这不仅用于运行监测和资源管理，更是旨在支撑高安全场景下的可信推理要求。</w:t>
      </w:r>
    </w:p>
    <w:p w14:paraId="7116003C">
      <w:pPr>
        <w:ind w:firstLine="480"/>
        <w:rPr>
          <w:rFonts w:hint="eastAsia"/>
          <w:lang w:val="en-US" w:eastAsia="zh-CN"/>
        </w:rPr>
      </w:pPr>
      <w:r>
        <w:rPr>
          <w:rFonts w:hint="default"/>
          <w:lang w:val="en-US" w:eastAsia="zh-CN"/>
        </w:rPr>
        <w:t>RAG调度决策是</w:t>
      </w:r>
      <w:r>
        <w:rPr>
          <w:rFonts w:hint="eastAsia"/>
          <w:lang w:val="en-US" w:eastAsia="zh-CN"/>
        </w:rPr>
        <w:t>本文</w:t>
      </w:r>
      <w:r>
        <w:rPr>
          <w:rFonts w:hint="default"/>
          <w:lang w:val="en-US" w:eastAsia="zh-CN"/>
        </w:rPr>
        <w:t>面向电力业务场景落地应用</w:t>
      </w:r>
      <w:r>
        <w:rPr>
          <w:rFonts w:hint="eastAsia"/>
          <w:lang w:val="en-US" w:eastAsia="zh-CN"/>
        </w:rPr>
        <w:t>的典型举例</w:t>
      </w:r>
      <w:r>
        <w:rPr>
          <w:rFonts w:hint="default"/>
          <w:lang w:val="en-US" w:eastAsia="zh-CN"/>
        </w:rPr>
        <w:t>，</w:t>
      </w:r>
      <w:r>
        <w:rPr>
          <w:rFonts w:hint="eastAsia"/>
          <w:lang w:val="en-US" w:eastAsia="zh-CN"/>
        </w:rPr>
        <w:t>核心是对话形式的</w:t>
      </w:r>
      <w:r>
        <w:rPr>
          <w:rFonts w:hint="default"/>
          <w:lang w:val="en-US" w:eastAsia="zh-CN"/>
        </w:rPr>
        <w:t>调度助手</w:t>
      </w:r>
      <w:r>
        <w:rPr>
          <w:rFonts w:hint="eastAsia"/>
          <w:lang w:val="en-US" w:eastAsia="zh-CN"/>
        </w:rPr>
        <w:t>，并辅以</w:t>
      </w:r>
      <w:r>
        <w:rPr>
          <w:rFonts w:hint="default"/>
          <w:lang w:val="en-US" w:eastAsia="zh-CN"/>
        </w:rPr>
        <w:t>知识库管理</w:t>
      </w:r>
      <w:r>
        <w:rPr>
          <w:rFonts w:hint="eastAsia"/>
          <w:lang w:val="en-US" w:eastAsia="zh-CN"/>
        </w:rPr>
        <w:t>、</w:t>
      </w:r>
      <w:r>
        <w:rPr>
          <w:rFonts w:hint="default"/>
          <w:lang w:val="en-US" w:eastAsia="zh-CN"/>
        </w:rPr>
        <w:t>决策日志</w:t>
      </w:r>
      <w:r>
        <w:rPr>
          <w:rFonts w:hint="eastAsia"/>
          <w:lang w:val="en-US" w:eastAsia="zh-CN"/>
        </w:rPr>
        <w:t>两项</w:t>
      </w:r>
      <w:r>
        <w:rPr>
          <w:rFonts w:hint="default"/>
          <w:lang w:val="en-US" w:eastAsia="zh-CN"/>
        </w:rPr>
        <w:t>功能。知识库管理</w:t>
      </w:r>
      <w:r>
        <w:rPr>
          <w:rFonts w:hint="eastAsia"/>
          <w:lang w:val="en-US" w:eastAsia="zh-CN"/>
        </w:rPr>
        <w:t>连接数据采集清洗功能，</w:t>
      </w:r>
      <w:r>
        <w:rPr>
          <w:rFonts w:hint="default"/>
          <w:lang w:val="en-US" w:eastAsia="zh-CN"/>
        </w:rPr>
        <w:t>用于维护业务知识的解析、入库、索引和更新</w:t>
      </w:r>
      <w:r>
        <w:rPr>
          <w:rFonts w:hint="eastAsia"/>
          <w:lang w:val="en-US" w:eastAsia="zh-CN"/>
        </w:rPr>
        <w:t>。调度助手作为用户核心交互功能，用于完成面向电力场景的检索增强生成决策支持；决策日志用于记录检索证据、推理过程和结果输出，为后续可信性分析和安全验证提供依据。</w:t>
      </w:r>
    </w:p>
    <w:p w14:paraId="3DEBED57">
      <w:pPr>
        <w:ind w:firstLine="480"/>
        <w:rPr>
          <w:rFonts w:hint="default"/>
          <w:lang w:val="en-US" w:eastAsia="zh-CN"/>
        </w:rPr>
      </w:pPr>
      <w:r>
        <w:rPr>
          <w:rFonts w:hint="eastAsia"/>
          <w:lang w:val="en-US" w:eastAsia="zh-CN"/>
        </w:rPr>
        <w:t>此外，平台还开发了系统管理模块，主要包括用户管理、角色管理、部门管理、菜单权限和基础配置等通用管理功能，满足平台运行所需的账户、权限和组织管理需求，为不同角色用户访问平台提供必要的管理保障。</w:t>
      </w:r>
    </w:p>
    <w:p w14:paraId="154A1016">
      <w:pPr>
        <w:pStyle w:val="4"/>
        <w:rPr>
          <w:rFonts w:hint="eastAsia" w:eastAsia="黑体"/>
          <w:lang w:eastAsia="zh-CN"/>
        </w:rPr>
      </w:pPr>
      <w:bookmarkStart w:id="71" w:name="_Toc21236"/>
      <w:r>
        <w:t>3.1.3</w:t>
      </w:r>
      <w:r>
        <w:rPr>
          <w:rFonts w:hint="eastAsia"/>
        </w:rPr>
        <w:t xml:space="preserve">  </w:t>
      </w:r>
      <w:r>
        <w:rPr>
          <w:rFonts w:hint="eastAsia"/>
          <w:lang w:val="en-US" w:eastAsia="zh-CN"/>
        </w:rPr>
        <w:t>数字孪生</w:t>
      </w:r>
      <w:bookmarkEnd w:id="71"/>
    </w:p>
    <w:p w14:paraId="1EEF41B5">
      <w:pPr>
        <w:ind w:firstLine="480"/>
      </w:pPr>
      <w:r>
        <w:rPr>
          <w:rFonts w:hint="eastAsia"/>
        </w:rPr>
        <w:t>本文</w:t>
      </w:r>
      <w:r>
        <w:rPr>
          <w:rFonts w:hint="eastAsia"/>
          <w:lang w:val="en-US" w:eastAsia="zh-CN"/>
        </w:rPr>
        <w:t>进一步进入</w:t>
      </w:r>
      <w:r>
        <w:rPr>
          <w:rFonts w:hint="eastAsia"/>
        </w:rPr>
        <w:t>数字孪生</w:t>
      </w:r>
      <w:r>
        <w:rPr>
          <w:rFonts w:hint="eastAsia"/>
          <w:lang w:val="en-US" w:eastAsia="zh-CN"/>
        </w:rPr>
        <w:t>技术</w:t>
      </w:r>
      <w:r>
        <w:rPr>
          <w:rFonts w:hint="eastAsia"/>
        </w:rPr>
        <w:t>作为贯穿全平台的核心设计。</w:t>
      </w:r>
      <w:r>
        <w:rPr>
          <w:rFonts w:hint="eastAsia"/>
          <w:lang w:val="en-US" w:eastAsia="zh-CN"/>
        </w:rPr>
        <w:t>这一设计旨</w:t>
      </w:r>
      <w:r>
        <w:rPr>
          <w:rFonts w:hint="eastAsia"/>
        </w:rPr>
        <w:t>在建立</w:t>
      </w:r>
      <w:r>
        <w:rPr>
          <w:rFonts w:hint="eastAsia"/>
          <w:lang w:val="en-US" w:eastAsia="zh-CN"/>
        </w:rPr>
        <w:t>虚实</w:t>
      </w:r>
      <w:r>
        <w:rPr>
          <w:rFonts w:hint="eastAsia"/>
        </w:rPr>
        <w:t>可计算、可追溯的对应关系，即物理侧发生的状态变化能够在数字侧被及时捕捉、解释并关联到具体的数据、模型与业务过程；数字侧的分析与配置也能反向作用于物理侧的资源与流程</w:t>
      </w:r>
      <w:r>
        <w:rPr>
          <w:rFonts w:hint="eastAsia"/>
          <w:lang w:eastAsia="zh-CN"/>
        </w:rPr>
        <w:t>，</w:t>
      </w:r>
      <w:r>
        <w:rPr>
          <w:rFonts w:hint="eastAsia"/>
          <w:lang w:val="en-US" w:eastAsia="zh-CN"/>
        </w:rPr>
        <w:t>进而构建</w:t>
      </w:r>
      <w:r>
        <w:rPr>
          <w:rFonts w:hint="eastAsia"/>
        </w:rPr>
        <w:t>一个能够持续反映平台运行状态、追踪关键过程、分析异常行为并服务可信推理的数字空间</w:t>
      </w:r>
      <w:r>
        <w:rPr>
          <w:rFonts w:hint="eastAsia"/>
          <w:lang w:eastAsia="zh-CN"/>
        </w:rPr>
        <w:t>，</w:t>
      </w:r>
      <w:r>
        <w:rPr>
          <w:rFonts w:hint="eastAsia"/>
          <w:lang w:val="en-US" w:eastAsia="zh-CN"/>
        </w:rPr>
        <w:t>如图3-3所示</w:t>
      </w:r>
      <w:r>
        <w:rPr>
          <w:rFonts w:hint="eastAsia"/>
        </w:rPr>
        <w:t>。</w:t>
      </w:r>
    </w:p>
    <w:p w14:paraId="4D4041AE">
      <w:pPr>
        <w:keepNext w:val="0"/>
        <w:keepLines w:val="0"/>
        <w:pageBreakBefore w:val="0"/>
        <w:widowControl w:val="0"/>
        <w:kinsoku/>
        <w:wordWrap/>
        <w:overflowPunct/>
        <w:topLinePunct w:val="0"/>
        <w:autoSpaceDE/>
        <w:autoSpaceDN/>
        <w:bidi w:val="0"/>
        <w:adjustRightInd/>
        <w:snapToGrid/>
        <w:ind w:firstLine="480"/>
        <w:textAlignment w:val="auto"/>
        <w:rPr>
          <w:rFonts w:hint="eastAsia"/>
        </w:rPr>
      </w:pPr>
      <w:r>
        <w:rPr>
          <w:rFonts w:hint="eastAsia"/>
        </w:rPr>
        <w:t>首先面向电力人工智能应用场景中的关键对象构建统一孪生语义模型，将分散于不同系统中的资源实体、数据实体、模型实体和业务实体进行抽象与规范化描述。其中，资源实体包括服务器、GPU节点、存储资源、网络资源和服务实例等；数据实体包括原始数据、数据集、标注任务、分类分级对象、资产目录项和血缘关系等；模型实体包括模型版本、训练任务、评估结果、部署服务和推理会话等；业务实体则包括知识文档、检索证据、调度助手会话、决策输出和日志记录等。通过统一建模，不同层面的对象被纳入同一语义框架，支撑后续跨层关联分析，</w:t>
      </w:r>
      <w:r>
        <w:rPr>
          <w:rFonts w:hint="eastAsia"/>
          <w:lang w:val="en-US" w:eastAsia="zh-CN"/>
        </w:rPr>
        <w:t>使得所有数据、模型、应用</w:t>
      </w:r>
      <w:r>
        <w:rPr>
          <w:rFonts w:hint="eastAsia"/>
        </w:rPr>
        <w:t>具备可计算、可追踪和可解释的表达基础。</w:t>
      </w:r>
    </w:p>
    <w:p w14:paraId="0622E884">
      <w:pPr>
        <w:keepNext w:val="0"/>
        <w:keepLines w:val="0"/>
        <w:pageBreakBefore w:val="0"/>
        <w:widowControl w:val="0"/>
        <w:kinsoku/>
        <w:wordWrap/>
        <w:overflowPunct/>
        <w:topLinePunct w:val="0"/>
        <w:autoSpaceDE/>
        <w:autoSpaceDN/>
        <w:bidi w:val="0"/>
        <w:adjustRightInd/>
        <w:snapToGrid/>
        <w:ind w:firstLine="480"/>
        <w:textAlignment w:val="auto"/>
        <w:rPr>
          <w:rFonts w:hint="eastAsia"/>
        </w:rPr>
      </w:pPr>
      <w:r>
        <w:rPr>
          <w:rFonts w:hint="eastAsia"/>
        </w:rPr>
        <w:t>其次，在虚拟空间中重构对象关系与执行逻辑，围绕“物理对象</w:t>
      </w:r>
      <w:r>
        <w:rPr>
          <w:rFonts w:hint="eastAsia"/>
          <w:lang w:val="en-US" w:eastAsia="zh-CN"/>
        </w:rPr>
        <w:t>—</w:t>
      </w:r>
      <w:r>
        <w:rPr>
          <w:rFonts w:hint="eastAsia"/>
        </w:rPr>
        <w:t>数字对象</w:t>
      </w:r>
      <w:r>
        <w:rPr>
          <w:rFonts w:hint="eastAsia"/>
          <w:lang w:eastAsia="zh-CN"/>
        </w:rPr>
        <w:t>—</w:t>
      </w:r>
      <w:r>
        <w:rPr>
          <w:rFonts w:hint="eastAsia"/>
        </w:rPr>
        <w:t>业务过程”建立稳定的双向映射关系</w:t>
      </w:r>
      <w:r>
        <w:rPr>
          <w:rFonts w:hint="eastAsia"/>
          <w:lang w:eastAsia="zh-CN"/>
        </w:rPr>
        <w:t>，为全链路可信分析奠定基础。</w:t>
      </w:r>
      <w:r>
        <w:rPr>
          <w:rFonts w:hint="eastAsia"/>
          <w:lang w:val="en-US" w:eastAsia="zh-CN"/>
        </w:rPr>
        <w:t>具体而言，</w:t>
      </w:r>
      <w:r>
        <w:rPr>
          <w:rFonts w:hint="eastAsia"/>
        </w:rPr>
        <w:t>资源侧，平台通过监控代理与接口服务持续采集CPU利用率、显存占用、内存压力、网络吞吐和服务状态等信息，使物理算力资源能够在数字空间中形成实时镜像；数据侧，平台记录数据来源、加工规则、版本边界和使用范围，使数据从采集、清洗、标注到使用的全过程都能够被追踪；模型侧，平台将训练、评估、部署和推理过程统一纳入模型生命周期链路，使模型从静态文件转化为具有来源可知、状态可观和行为可审计特征的动态资产；业务侧，平台则将RAG调度决策过程中的查询输入、知识检索、证据命中、模型生成和结果输出组织为连续业务链条，使业务结果能够反向追溯到其背后的数据、模型、知识与资源支撑。</w:t>
      </w:r>
    </w:p>
    <w:p w14:paraId="45D74A44">
      <w:pPr>
        <w:keepNext w:val="0"/>
        <w:keepLines w:val="0"/>
        <w:pageBreakBefore w:val="0"/>
        <w:widowControl w:val="0"/>
        <w:kinsoku/>
        <w:wordWrap/>
        <w:overflowPunct/>
        <w:topLinePunct w:val="0"/>
        <w:autoSpaceDE/>
        <w:autoSpaceDN/>
        <w:bidi w:val="0"/>
        <w:adjustRightInd/>
        <w:snapToGrid/>
        <w:ind w:firstLine="480"/>
        <w:textAlignment w:val="auto"/>
        <w:rPr>
          <w:rFonts w:hint="eastAsia"/>
          <w:lang w:val="en-US" w:eastAsia="zh-CN"/>
        </w:rPr>
      </w:pPr>
      <w:r>
        <w:rPr>
          <w:rFonts w:hint="eastAsia"/>
          <w:lang w:val="en-US" w:eastAsia="zh-CN"/>
        </w:rPr>
        <w:t>此外，平台采用“事件驱动+周期采样+增量更新”的复合同步策略，保证数字空间对物理系统状态和业务过程的持续反映，实现虚实融合、以虚促实。对于模型训练开始、模型上线、知识入库、服务异常、日志告警等关键事件，系统通过事件总线触发对应孪生对象即时更新；对于资源利用率、服务时延、调用吞吐等连续型指标，则采用周期采样方式进行状态刷新，并根据指标敏感度动态调整采样频率；对于对象属性变化过程，平台进一步采用增量更新机制，仅同步发生变化的字段，并记录时间戳、版本号和状态历史，以降低同步开销并支持后续状态比对与时序分析。通过这一机制，数字孪生能够在不显著增加系统负担的前提下，持续维持对训练、推理和业务运行状态的有效感知，并为异常定位、结果追踪和实验复现提供可靠基础。</w:t>
      </w:r>
    </w:p>
    <w:p w14:paraId="1A83BCED">
      <w:pPr>
        <w:keepNext w:val="0"/>
        <w:keepLines w:val="0"/>
        <w:pageBreakBefore w:val="0"/>
        <w:widowControl w:val="0"/>
        <w:kinsoku/>
        <w:wordWrap/>
        <w:overflowPunct/>
        <w:topLinePunct w:val="0"/>
        <w:autoSpaceDE/>
        <w:autoSpaceDN/>
        <w:bidi w:val="0"/>
        <w:adjustRightInd/>
        <w:snapToGrid/>
        <w:ind w:firstLine="480"/>
        <w:textAlignment w:val="auto"/>
        <w:rPr>
          <w:rFonts w:hint="default"/>
          <w:lang w:val="en-US" w:eastAsia="zh-CN"/>
        </w:rPr>
      </w:pPr>
      <w:r>
        <w:rPr>
          <w:rFonts w:hint="eastAsia"/>
          <w:lang w:val="en-US" w:eastAsia="zh-CN"/>
        </w:rPr>
        <w:t>最后，在实时映射与状态同步基础上，引入推理决策的孪生计算推演能力。一是对模型训推与RAG链路中的关键事件进行过程回放，通过统一时间轴重构训练指标波动、检索命中、推理输出与异常触发等过程，使离散日志转化为可理解的因果链条；二是对电力调度决策场景中的关键推理结果进行预演分析，在数字空间中辅助判断其是否存在证据异常、逻辑冲突或潜在风险，从而为高安全场景下的可信推理与后续安全靶场演练提供支撑。最终依托模拟推演与过程回访分析，进行风险判断与策略优化，以实现对错误智能决策的预判并降低其直接下发至真实业务环境的风险，形成“感知—决策—验证—优化”的闭环。</w:t>
      </w:r>
    </w:p>
    <w:p w14:paraId="35249AAF">
      <w:pPr>
        <w:pStyle w:val="3"/>
        <w:spacing w:before="163" w:after="163"/>
      </w:pPr>
      <w:bookmarkStart w:id="72" w:name="_Toc3892"/>
      <w:r>
        <w:t>3.2  数据管理与知识库构建</w:t>
      </w:r>
      <w:bookmarkEnd w:id="72"/>
      <w:r>
        <w:rPr>
          <w:rFonts w:hint="eastAsia"/>
        </w:rPr>
        <w:t xml:space="preserve">  </w:t>
      </w:r>
    </w:p>
    <w:p w14:paraId="584F09AF">
      <w:pPr>
        <w:ind w:firstLine="480"/>
      </w:pPr>
      <w:r>
        <w:rPr>
          <w:rFonts w:hint="eastAsia"/>
        </w:rPr>
        <w:t>数据</w:t>
      </w:r>
      <w:r>
        <w:rPr>
          <w:rFonts w:hint="eastAsia"/>
          <w:lang w:val="en-US" w:eastAsia="zh-CN"/>
        </w:rPr>
        <w:t>和</w:t>
      </w:r>
      <w:r>
        <w:rPr>
          <w:rFonts w:hint="eastAsia"/>
        </w:rPr>
        <w:t>知识是AI模型全生命周期运行的基础资源</w:t>
      </w:r>
      <w:r>
        <w:rPr>
          <w:rFonts w:hint="eastAsia"/>
          <w:lang w:eastAsia="zh-CN"/>
        </w:rPr>
        <w:t>，数据可信是训练可信和推理可信的起点</w:t>
      </w:r>
      <w:r>
        <w:rPr>
          <w:rFonts w:hint="eastAsia"/>
        </w:rPr>
        <w:t>。本</w:t>
      </w:r>
      <w:r>
        <w:rPr>
          <w:rFonts w:hint="eastAsia"/>
          <w:lang w:val="en-US" w:eastAsia="zh-CN"/>
        </w:rPr>
        <w:t>节</w:t>
      </w:r>
      <w:r>
        <w:rPr>
          <w:rFonts w:hint="eastAsia"/>
        </w:rPr>
        <w:t>在多源异构环境下建立可信、可用、可追溯的数据治理体系，使数据从采集到使用全过程可控、可追溯，为模型训练与推理提供高质量输入</w:t>
      </w:r>
      <w:r>
        <w:rPr>
          <w:rFonts w:hint="eastAsia"/>
          <w:lang w:val="en-US" w:eastAsia="zh-CN"/>
        </w:rPr>
        <w:t>的同时，也为</w:t>
      </w:r>
      <w:r>
        <w:rPr>
          <w:rFonts w:hint="eastAsia"/>
        </w:rPr>
        <w:t>RAG决策应用</w:t>
      </w:r>
      <w:r>
        <w:rPr>
          <w:rFonts w:hint="eastAsia"/>
          <w:lang w:val="en-US" w:eastAsia="zh-CN"/>
        </w:rPr>
        <w:t>所需知识</w:t>
      </w:r>
      <w:r>
        <w:rPr>
          <w:rFonts w:hint="eastAsia"/>
        </w:rPr>
        <w:t>提供可靠支撑。</w:t>
      </w:r>
    </w:p>
    <w:p w14:paraId="6B335DCE">
      <w:pPr>
        <w:pStyle w:val="4"/>
        <w:rPr>
          <w:rFonts w:hint="default" w:eastAsia="黑体"/>
          <w:lang w:val="en-US" w:eastAsia="zh-CN"/>
        </w:rPr>
      </w:pPr>
      <w:bookmarkStart w:id="73" w:name="_Toc6378"/>
      <w:r>
        <w:t>3.2.1  数据</w:t>
      </w:r>
      <w:r>
        <w:rPr>
          <w:rFonts w:hint="eastAsia"/>
          <w:lang w:val="en-US" w:eastAsia="zh-CN"/>
        </w:rPr>
        <w:t>采集与清洗</w:t>
      </w:r>
      <w:bookmarkEnd w:id="73"/>
    </w:p>
    <w:p w14:paraId="4B19772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为满足模型训练和RAG知识库构建对数据来源多样性的要求，</w:t>
      </w:r>
      <w:r>
        <w:rPr>
          <w:rFonts w:hint="eastAsia"/>
          <w:lang w:val="en-US" w:eastAsia="zh-CN"/>
        </w:rPr>
        <w:t>本节</w:t>
      </w:r>
      <w:r>
        <w:rPr>
          <w:rFonts w:hint="eastAsia"/>
        </w:rPr>
        <w:t>首先设计了</w:t>
      </w:r>
      <w:r>
        <w:rPr>
          <w:rFonts w:hint="eastAsia"/>
          <w:lang w:val="en-US" w:eastAsia="zh-CN"/>
        </w:rPr>
        <w:t>统一的</w:t>
      </w:r>
      <w:r>
        <w:rPr>
          <w:rFonts w:hint="eastAsia"/>
        </w:rPr>
        <w:t>数据采集与清洗功能</w:t>
      </w:r>
      <w:r>
        <w:rPr>
          <w:rFonts w:hint="eastAsia"/>
          <w:lang w:eastAsia="zh-CN"/>
        </w:rPr>
        <w:t>，面向外部网站、FTP/数据源以及本地文件上传等多种数据接入场景，</w:t>
      </w:r>
      <w:r>
        <w:rPr>
          <w:rFonts w:hint="eastAsia"/>
        </w:rPr>
        <w:t>实现原始数据的统一采集、清洗与规范化处理。如图3-4所示，平台以任务化方式组织采集流程，并在界面中展示任务状态、采集文件数、数据量、调度方式、目标知识库及执行耗时等信息，便于对采集任务进行统一管理。</w:t>
      </w:r>
    </w:p>
    <w:p w14:paraId="21D06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eastAsia="宋体"/>
          <w:lang w:eastAsia="zh-CN"/>
        </w:rPr>
      </w:pPr>
      <w:r>
        <w:rPr>
          <w:rFonts w:hint="eastAsia" w:eastAsia="宋体"/>
          <w:lang w:eastAsia="zh-CN"/>
        </w:rPr>
        <w:drawing>
          <wp:inline distT="0" distB="0" distL="114300" distR="114300">
            <wp:extent cx="5266690" cy="2528570"/>
            <wp:effectExtent l="0" t="0" r="6350" b="1270"/>
            <wp:docPr id="34" name="图片 34" descr="fig3-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ig3-采集"/>
                    <pic:cNvPicPr>
                      <a:picLocks noChangeAspect="1"/>
                    </pic:cNvPicPr>
                  </pic:nvPicPr>
                  <pic:blipFill>
                    <a:blip r:embed="rId48"/>
                    <a:stretch>
                      <a:fillRect/>
                    </a:stretch>
                  </pic:blipFill>
                  <pic:spPr>
                    <a:xfrm>
                      <a:off x="0" y="0"/>
                      <a:ext cx="5266690" cy="2528570"/>
                    </a:xfrm>
                    <a:prstGeom prst="rect">
                      <a:avLst/>
                    </a:prstGeom>
                  </pic:spPr>
                </pic:pic>
              </a:graphicData>
            </a:graphic>
          </wp:inline>
        </w:drawing>
      </w:r>
    </w:p>
    <w:p w14:paraId="319C55AE">
      <w:pPr>
        <w:pStyle w:val="92"/>
        <w:rPr>
          <w:rFonts w:hint="eastAsia" w:eastAsia="宋体"/>
          <w:lang w:eastAsia="zh-CN"/>
        </w:rPr>
      </w:pPr>
      <w:r>
        <w:rPr>
          <w:rFonts w:hint="eastAsia"/>
        </w:rPr>
        <w:t>图</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数据采集界面</w:t>
      </w:r>
    </w:p>
    <w:p w14:paraId="01C3ABCE">
      <w:pPr>
        <w:bidi w:val="0"/>
        <w:rPr>
          <w:rFonts w:hint="eastAsia"/>
        </w:rPr>
      </w:pPr>
      <w:r>
        <w:rPr>
          <w:rFonts w:hint="eastAsia"/>
        </w:rPr>
        <w:t>在新建采集任务时，平台支持网页爬取、FTP/数据源接入和批量上传三种方式。其中，网页爬取方式适用于政策文件、行业标准、公开资料等网页型知识文档的自动抓取；FTP/数据源方式适用于对接业务系统数据库或文件服务器；批量上传方式则适用于本地规程文档、案例文档及历史资料的集中导入。任务配置内容包括任务名称、采集URL、爬取深度、最大页数、定时调度策略以及目标知识库等参数，并支持“采集后自动清洗”和“清洗后自动向量化索引”等选项。通过这种设计，平台将数据采集、数据清洗与知识入库衔接为统一流程，使外部知识文档能够在完成治理后直接进入RAG知识库。</w:t>
      </w:r>
    </w:p>
    <w:p w14:paraId="428B46C7">
      <w:pPr>
        <w:bidi w:val="0"/>
        <w:rPr>
          <w:rFonts w:hint="eastAsia"/>
        </w:rPr>
      </w:pPr>
      <w:r>
        <w:rPr>
          <w:rFonts w:hint="eastAsia"/>
        </w:rPr>
        <w:t>在清洗环节，平台针对不同类型数据设计了统一的规则链式处理机制。对于结构化数据，重点完成字段对齐、缺失值处理、异常值剔除和格式规范化；对于规程文档、案例资料、网页文本等非结构化知识文档，则重点进行HTML标签去除、特殊字符过滤、重复内容去重、敏感信息脱敏、编码统一和格式标准化等处理。清洗规则链界面如图3-</w:t>
      </w:r>
      <w:r>
        <w:rPr>
          <w:rFonts w:hint="eastAsia"/>
          <w:lang w:val="en-US" w:eastAsia="zh-CN"/>
        </w:rPr>
        <w:t>5</w:t>
      </w:r>
      <w:r>
        <w:rPr>
          <w:rFonts w:hint="eastAsia"/>
        </w:rPr>
        <w:t>所示，平台将各清洗步骤按流水线方式组织，可根据需要启用或关闭相应规则，并在右侧同步展示清洗统计信息，包括总文件数、已清洗数量、待处理数量、去重文件数、敏感信息检测结果及清洗前后数据规模变化等指标。</w:t>
      </w:r>
    </w:p>
    <w:p w14:paraId="30AF66DF">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6690" cy="2528570"/>
            <wp:effectExtent l="0" t="0" r="6350" b="1270"/>
            <wp:docPr id="33" name="图片 33" descr="fig3-清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3-清洗"/>
                    <pic:cNvPicPr>
                      <a:picLocks noChangeAspect="1"/>
                    </pic:cNvPicPr>
                  </pic:nvPicPr>
                  <pic:blipFill>
                    <a:blip r:embed="rId49"/>
                    <a:stretch>
                      <a:fillRect/>
                    </a:stretch>
                  </pic:blipFill>
                  <pic:spPr>
                    <a:xfrm>
                      <a:off x="0" y="0"/>
                      <a:ext cx="5266690" cy="2528570"/>
                    </a:xfrm>
                    <a:prstGeom prst="rect">
                      <a:avLst/>
                    </a:prstGeom>
                  </pic:spPr>
                </pic:pic>
              </a:graphicData>
            </a:graphic>
          </wp:inline>
        </w:drawing>
      </w:r>
    </w:p>
    <w:p w14:paraId="2B398D09">
      <w:pPr>
        <w:pStyle w:val="92"/>
        <w:rPr>
          <w:rFonts w:hint="eastAsia" w:eastAsia="宋体"/>
          <w:lang w:eastAsia="zh-CN"/>
        </w:rPr>
      </w:pPr>
      <w:r>
        <w:rPr>
          <w:rFonts w:hint="eastAsia"/>
        </w:rPr>
        <w:t>图</w:t>
      </w:r>
      <w:r>
        <w:rPr>
          <w:rFonts w:hint="eastAsia"/>
          <w:lang w:val="en-US" w:eastAsia="zh-CN"/>
        </w:rPr>
        <w:t>3</w:t>
      </w:r>
      <w:r>
        <w:rPr>
          <w:rFonts w:hint="eastAsia"/>
        </w:rPr>
        <w:t>-</w:t>
      </w:r>
      <w:r>
        <w:rPr>
          <w:rFonts w:hint="eastAsia"/>
          <w:lang w:val="en-US" w:eastAsia="zh-CN"/>
        </w:rPr>
        <w:t>5</w:t>
      </w:r>
      <w:r>
        <w:rPr>
          <w:rFonts w:hint="eastAsia"/>
        </w:rPr>
        <w:t xml:space="preserve"> </w:t>
      </w:r>
      <w:r>
        <w:rPr>
          <w:rFonts w:hint="eastAsia"/>
          <w:lang w:val="en-US" w:eastAsia="zh-CN"/>
        </w:rPr>
        <w:t>数据清洗规则链</w:t>
      </w:r>
    </w:p>
    <w:p w14:paraId="74574175">
      <w:pPr>
        <w:pStyle w:val="4"/>
      </w:pPr>
      <w:bookmarkStart w:id="74" w:name="_Toc27612"/>
      <w:r>
        <w:t>3.2.2  数据</w:t>
      </w:r>
      <w:r>
        <w:rPr>
          <w:rFonts w:hint="eastAsia"/>
        </w:rPr>
        <w:t>集管理与数据标注</w:t>
      </w:r>
      <w:bookmarkEnd w:id="74"/>
    </w:p>
    <w:p w14:paraId="52771A9E">
      <w:pPr>
        <w:ind w:firstLine="480"/>
      </w:pPr>
      <w:r>
        <w:rPr>
          <w:rFonts w:hint="eastAsia"/>
        </w:rPr>
        <w:t>在完成原始数据采集与清洗后，平台进一步围绕模型训练需求设计了数据集管理与数据标注功能，实现训练数据的组织、维护和样本标注。</w:t>
      </w:r>
    </w:p>
    <w:p w14:paraId="30B39DFB">
      <w:pPr>
        <w:ind w:firstLine="480"/>
        <w:rPr>
          <w:rFonts w:hint="eastAsia"/>
          <w:lang w:val="en-US" w:eastAsia="zh-CN"/>
        </w:rPr>
      </w:pPr>
      <w:r>
        <w:rPr>
          <w:rFonts w:hint="eastAsia"/>
        </w:rPr>
        <w:t>数据集管理界面如图3-</w:t>
      </w:r>
      <w:r>
        <w:rPr>
          <w:rFonts w:hint="eastAsia"/>
          <w:lang w:val="en-US" w:eastAsia="zh-CN"/>
        </w:rPr>
        <w:t>6</w:t>
      </w:r>
      <w:r>
        <w:rPr>
          <w:rFonts w:hint="eastAsia"/>
        </w:rPr>
        <w:t>所示。平台将数据集抽象为独立资源对象，支持数据集创建、导入、检索、筛选和状态管理等操作，并通过卡片式方式展示数据集名称、简介、任务标签、数据模态、标注状态和更新时间等信息。界面顶部还给出了</w:t>
      </w:r>
      <w:r>
        <w:rPr>
          <w:rFonts w:hint="eastAsia"/>
          <w:lang w:val="en-US" w:eastAsia="zh-CN"/>
        </w:rPr>
        <w:t>从创建到训练的</w:t>
      </w:r>
      <w:r>
        <w:rPr>
          <w:rFonts w:hint="eastAsia"/>
        </w:rPr>
        <w:t>流程指引，使数据集管理与后续模型训练形成清晰的流程关联。平台支持按照类型、场景、状态和权限等条件对数据集进行筛选，便于在多任务、多来源环境下快速定位目标数据集</w:t>
      </w:r>
      <w:r>
        <w:rPr>
          <w:rFonts w:hint="eastAsia"/>
          <w:lang w:val="en-US" w:eastAsia="zh-CN"/>
        </w:rPr>
        <w:t>。</w:t>
      </w:r>
    </w:p>
    <w:p w14:paraId="251FDFE6">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6690" cy="2528570"/>
            <wp:effectExtent l="0" t="0" r="6350" b="1270"/>
            <wp:docPr id="11" name="图片 11" descr="训推-数据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训推-数据集界面"/>
                    <pic:cNvPicPr>
                      <a:picLocks noChangeAspect="1"/>
                    </pic:cNvPicPr>
                  </pic:nvPicPr>
                  <pic:blipFill>
                    <a:blip r:embed="rId50"/>
                    <a:stretch>
                      <a:fillRect/>
                    </a:stretch>
                  </pic:blipFill>
                  <pic:spPr>
                    <a:xfrm>
                      <a:off x="0" y="0"/>
                      <a:ext cx="5266690" cy="2528570"/>
                    </a:xfrm>
                    <a:prstGeom prst="rect">
                      <a:avLst/>
                    </a:prstGeom>
                  </pic:spPr>
                </pic:pic>
              </a:graphicData>
            </a:graphic>
          </wp:inline>
        </w:drawing>
      </w:r>
    </w:p>
    <w:p w14:paraId="77948A4F">
      <w:pPr>
        <w:pStyle w:val="92"/>
        <w:rPr>
          <w:rFonts w:hint="default"/>
          <w:lang w:val="en-US" w:eastAsia="zh-CN"/>
        </w:rPr>
      </w:pPr>
      <w:r>
        <w:rPr>
          <w:rFonts w:hint="eastAsia"/>
        </w:rPr>
        <w:t>图</w:t>
      </w:r>
      <w:r>
        <w:rPr>
          <w:rFonts w:hint="eastAsia"/>
          <w:lang w:val="en-US" w:eastAsia="zh-CN"/>
        </w:rPr>
        <w:t>3</w:t>
      </w:r>
      <w:r>
        <w:rPr>
          <w:rFonts w:hint="eastAsia"/>
        </w:rPr>
        <w:t>-</w:t>
      </w:r>
      <w:r>
        <w:rPr>
          <w:rFonts w:hint="eastAsia"/>
          <w:lang w:val="en-US" w:eastAsia="zh-CN"/>
        </w:rPr>
        <w:t>6</w:t>
      </w:r>
      <w:r>
        <w:rPr>
          <w:rFonts w:hint="eastAsia"/>
        </w:rPr>
        <w:t xml:space="preserve"> </w:t>
      </w:r>
      <w:r>
        <w:rPr>
          <w:rFonts w:hint="eastAsia"/>
          <w:lang w:val="en-US" w:eastAsia="zh-CN"/>
        </w:rPr>
        <w:t>数据集管理操作界面</w:t>
      </w:r>
    </w:p>
    <w:p w14:paraId="3AAD1B1A">
      <w:pPr>
        <w:bidi w:val="0"/>
        <w:rPr>
          <w:rFonts w:hint="eastAsia"/>
          <w:lang w:val="en-US" w:eastAsia="zh-CN"/>
        </w:rPr>
      </w:pPr>
      <w:r>
        <w:rPr>
          <w:rFonts w:hint="eastAsia"/>
        </w:rPr>
        <w:t>在数据标注方面，平台设计了独立的标注任务管理功能，用于组织人工标注与过程跟踪。标注任务界面如图3-</w:t>
      </w:r>
      <w:r>
        <w:rPr>
          <w:rFonts w:hint="eastAsia"/>
          <w:lang w:val="en-US" w:eastAsia="zh-CN"/>
        </w:rPr>
        <w:t>7</w:t>
      </w:r>
      <w:r>
        <w:rPr>
          <w:rFonts w:hint="eastAsia"/>
        </w:rPr>
        <w:t>所示，系统以“新建任务—在线标注—进度监控—任务完成”为主线组织标注流程，并对任务类型、关联数据集、更新时间和标注进度进行统一展示。根据截图所示，平台能够支持文本类、表格类和图像类等多种标注对象，同时兼容JSON、CSV、图片等不同数据格式。用户在创建标注任务时，需要绑定具体数据集，并配置标注规则和任务属性；在执行阶段，系统持续记录标注进展和完成比例，从而实现对标注过程的动态管理。</w:t>
      </w:r>
    </w:p>
    <w:p w14:paraId="6B796261">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6690" cy="2528570"/>
            <wp:effectExtent l="0" t="0" r="6350" b="1270"/>
            <wp:docPr id="12" name="图片 12" descr="训推-数据集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训推-数据集标注"/>
                    <pic:cNvPicPr>
                      <a:picLocks noChangeAspect="1"/>
                    </pic:cNvPicPr>
                  </pic:nvPicPr>
                  <pic:blipFill>
                    <a:blip r:embed="rId51"/>
                    <a:stretch>
                      <a:fillRect/>
                    </a:stretch>
                  </pic:blipFill>
                  <pic:spPr>
                    <a:xfrm>
                      <a:off x="0" y="0"/>
                      <a:ext cx="5266690" cy="2528570"/>
                    </a:xfrm>
                    <a:prstGeom prst="rect">
                      <a:avLst/>
                    </a:prstGeom>
                  </pic:spPr>
                </pic:pic>
              </a:graphicData>
            </a:graphic>
          </wp:inline>
        </w:drawing>
      </w:r>
    </w:p>
    <w:p w14:paraId="34F07B14">
      <w:pPr>
        <w:pStyle w:val="92"/>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7</w:t>
      </w:r>
      <w:r>
        <w:rPr>
          <w:rFonts w:hint="eastAsia"/>
        </w:rPr>
        <w:t xml:space="preserve"> </w:t>
      </w:r>
      <w:r>
        <w:rPr>
          <w:rFonts w:hint="eastAsia"/>
          <w:lang w:val="en-US" w:eastAsia="zh-CN"/>
        </w:rPr>
        <w:t>数据集标注界面</w:t>
      </w:r>
    </w:p>
    <w:p w14:paraId="75C1714C">
      <w:pPr>
        <w:rPr>
          <w:rFonts w:hint="eastAsia"/>
          <w:lang w:val="en-US" w:eastAsia="zh-CN"/>
        </w:rPr>
      </w:pPr>
      <w:r>
        <w:rPr>
          <w:rFonts w:hint="eastAsia"/>
          <w:lang w:val="en-US" w:eastAsia="zh-CN"/>
        </w:rPr>
        <w:t>数据集管理与数据标注在功能上相互衔接。前者解决数据的组织与版本维护问题，后者解决训练语义注入与监督信号构建问题。通过这两项功能，平台形成了由原始数据向训练数据演化的标准化流程，使模型训练所依赖的数据来源更加清晰，数据结构更加规范，样本语义更加明确。</w:t>
      </w:r>
    </w:p>
    <w:p w14:paraId="1E4D6C05">
      <w:pPr>
        <w:pStyle w:val="4"/>
        <w:rPr>
          <w:rFonts w:hint="default" w:eastAsia="黑体"/>
          <w:lang w:val="en-US" w:eastAsia="zh-CN"/>
        </w:rPr>
      </w:pPr>
      <w:bookmarkStart w:id="75" w:name="_Toc24697"/>
      <w:r>
        <w:t>3.2.</w:t>
      </w:r>
      <w:r>
        <w:rPr>
          <w:rFonts w:hint="eastAsia"/>
        </w:rPr>
        <w:t>3</w:t>
      </w:r>
      <w:r>
        <w:t xml:space="preserve">  </w:t>
      </w:r>
      <w:r>
        <w:rPr>
          <w:rFonts w:hint="eastAsia"/>
          <w:lang w:val="en-US" w:eastAsia="zh-CN"/>
        </w:rPr>
        <w:t>数据资产管理</w:t>
      </w:r>
      <w:bookmarkEnd w:id="75"/>
    </w:p>
    <w:p w14:paraId="290EAC84">
      <w:pPr>
        <w:ind w:firstLine="480"/>
        <w:rPr>
          <w:rFonts w:ascii="宋体" w:hAnsi="宋体" w:cs="宋体"/>
        </w:rPr>
      </w:pPr>
      <w:r>
        <w:rPr>
          <w:rFonts w:hint="eastAsia" w:ascii="宋体" w:hAnsi="宋体" w:cs="宋体"/>
          <w:lang w:val="en-US" w:eastAsia="zh-CN"/>
        </w:rPr>
        <w:t>本节</w:t>
      </w:r>
      <w:r>
        <w:rPr>
          <w:rFonts w:hint="eastAsia" w:ascii="宋体" w:hAnsi="宋体" w:cs="宋体"/>
        </w:rPr>
        <w:t>进一步从资产化视角对数据进行统一治理，</w:t>
      </w:r>
      <w:r>
        <w:rPr>
          <w:rFonts w:hint="eastAsia" w:ascii="宋体" w:hAnsi="宋体" w:cs="宋体"/>
          <w:lang w:val="en-US" w:eastAsia="zh-CN"/>
        </w:rPr>
        <w:t>通过</w:t>
      </w:r>
      <w:r>
        <w:rPr>
          <w:rFonts w:hint="eastAsia" w:ascii="宋体" w:hAnsi="宋体" w:cs="宋体"/>
        </w:rPr>
        <w:t>分级分类、资产明细和数据血缘</w:t>
      </w:r>
      <w:r>
        <w:rPr>
          <w:rFonts w:hint="eastAsia" w:ascii="宋体" w:hAnsi="宋体" w:cs="宋体"/>
          <w:lang w:val="en-US" w:eastAsia="zh-CN"/>
        </w:rPr>
        <w:t>功能实现，</w:t>
      </w:r>
      <w:r>
        <w:rPr>
          <w:rFonts w:hint="eastAsia" w:ascii="宋体" w:hAnsi="宋体" w:cs="宋体"/>
        </w:rPr>
        <w:t>提升平台内数据资源的可管理性、可视化程度和全流程追踪能力。</w:t>
      </w:r>
    </w:p>
    <w:p w14:paraId="770AD645">
      <w:pPr>
        <w:ind w:firstLine="480"/>
      </w:pPr>
      <w:r>
        <w:rPr>
          <w:rFonts w:ascii="宋体" w:hAnsi="宋体" w:cs="宋体"/>
        </w:rPr>
        <w:t>首先，依据</w:t>
      </w:r>
      <w:r>
        <w:rPr>
          <w:rFonts w:hint="eastAsia" w:ascii="宋体" w:hAnsi="宋体" w:cs="宋体"/>
        </w:rPr>
        <w:t>《数据安全技术 数据分级分类规则》等国家</w:t>
      </w:r>
      <w:r>
        <w:rPr>
          <w:rFonts w:ascii="宋体" w:hAnsi="宋体" w:cs="宋体"/>
        </w:rPr>
        <w:t>标准</w:t>
      </w:r>
      <w:r>
        <w:rPr>
          <w:rFonts w:hint="eastAsia" w:ascii="宋体" w:hAnsi="宋体" w:cs="宋体"/>
        </w:rPr>
        <w:t>，</w:t>
      </w:r>
      <w:r>
        <w:rPr>
          <w:rFonts w:ascii="宋体" w:hAnsi="宋体" w:cs="宋体"/>
        </w:rPr>
        <w:t>结合企业实际应用场景，制定数据</w:t>
      </w:r>
      <w:r>
        <w:rPr>
          <w:rFonts w:hint="eastAsia" w:ascii="宋体" w:hAnsi="宋体" w:cs="宋体"/>
        </w:rPr>
        <w:t>分级分类</w:t>
      </w:r>
      <w:r>
        <w:rPr>
          <w:rFonts w:ascii="宋体" w:hAnsi="宋体" w:cs="宋体"/>
        </w:rPr>
        <w:t>管理规范</w:t>
      </w:r>
      <w:r>
        <w:t>。</w:t>
      </w:r>
      <w:r>
        <w:rPr>
          <w:rFonts w:hint="eastAsia"/>
        </w:rPr>
        <w:t>本文将电力调度相关数据按照业务领域划分为七大类：设备数据类、运行数据类、调度指令类、历史案例类、专家知识类、规程文档类和用户信息类。每一类数据根据其重要程度和敏感性进一步划分为三个安全等级：公开级、重要级和核心级，如表3-1所示。</w:t>
      </w:r>
    </w:p>
    <w:p w14:paraId="219933AD">
      <w:pPr>
        <w:pStyle w:val="8"/>
      </w:pPr>
      <w:r>
        <w:rPr>
          <w:rFonts w:hint="eastAsia"/>
        </w:rPr>
        <w:t>表3-1 数据分级分类管理规范</w:t>
      </w:r>
    </w:p>
    <w:tbl>
      <w:tblPr>
        <w:tblStyle w:val="31"/>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2137"/>
        <w:gridCol w:w="2138"/>
        <w:gridCol w:w="2585"/>
      </w:tblGrid>
      <w:tr w14:paraId="7348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48A9DA02">
            <w:pPr>
              <w:ind w:firstLine="0" w:firstLineChars="0"/>
              <w:jc w:val="center"/>
              <w:rPr>
                <w:sz w:val="21"/>
                <w:szCs w:val="21"/>
              </w:rPr>
            </w:pPr>
            <w:r>
              <w:rPr>
                <w:rFonts w:hint="eastAsia"/>
                <w:sz w:val="21"/>
                <w:szCs w:val="21"/>
              </w:rPr>
              <w:t>数据类别</w:t>
            </w:r>
          </w:p>
        </w:tc>
        <w:tc>
          <w:tcPr>
            <w:tcW w:w="2137" w:type="dxa"/>
            <w:vAlign w:val="center"/>
          </w:tcPr>
          <w:p w14:paraId="7544F419">
            <w:pPr>
              <w:pStyle w:val="88"/>
              <w:jc w:val="center"/>
              <w:rPr>
                <w:sz w:val="21"/>
                <w:szCs w:val="21"/>
              </w:rPr>
            </w:pPr>
            <w:r>
              <w:rPr>
                <w:rFonts w:hint="eastAsia"/>
                <w:sz w:val="21"/>
                <w:szCs w:val="21"/>
              </w:rPr>
              <w:t>公开级</w:t>
            </w:r>
          </w:p>
        </w:tc>
        <w:tc>
          <w:tcPr>
            <w:tcW w:w="2138" w:type="dxa"/>
            <w:vAlign w:val="center"/>
          </w:tcPr>
          <w:p w14:paraId="5FF3D444">
            <w:pPr>
              <w:pStyle w:val="88"/>
              <w:jc w:val="center"/>
              <w:rPr>
                <w:sz w:val="21"/>
                <w:szCs w:val="21"/>
              </w:rPr>
            </w:pPr>
            <w:r>
              <w:rPr>
                <w:rFonts w:hint="eastAsia"/>
                <w:sz w:val="21"/>
                <w:szCs w:val="21"/>
              </w:rPr>
              <w:t>重要级</w:t>
            </w:r>
          </w:p>
        </w:tc>
        <w:tc>
          <w:tcPr>
            <w:tcW w:w="2585" w:type="dxa"/>
            <w:vAlign w:val="center"/>
          </w:tcPr>
          <w:p w14:paraId="3F96D6D7">
            <w:pPr>
              <w:pStyle w:val="88"/>
              <w:jc w:val="center"/>
              <w:rPr>
                <w:sz w:val="21"/>
                <w:szCs w:val="21"/>
              </w:rPr>
            </w:pPr>
            <w:r>
              <w:rPr>
                <w:rFonts w:hint="eastAsia"/>
                <w:sz w:val="21"/>
                <w:szCs w:val="21"/>
              </w:rPr>
              <w:t>核心级</w:t>
            </w:r>
          </w:p>
        </w:tc>
      </w:tr>
      <w:tr w14:paraId="650E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7E2AEEA1">
            <w:pPr>
              <w:pStyle w:val="88"/>
              <w:jc w:val="center"/>
              <w:rPr>
                <w:sz w:val="21"/>
                <w:szCs w:val="21"/>
              </w:rPr>
            </w:pPr>
            <w:r>
              <w:rPr>
                <w:rFonts w:hint="eastAsia"/>
                <w:sz w:val="21"/>
                <w:szCs w:val="21"/>
              </w:rPr>
              <w:t>设备数据类</w:t>
            </w:r>
          </w:p>
        </w:tc>
        <w:tc>
          <w:tcPr>
            <w:tcW w:w="2137" w:type="dxa"/>
          </w:tcPr>
          <w:p w14:paraId="3037E760">
            <w:pPr>
              <w:pStyle w:val="88"/>
              <w:jc w:val="center"/>
              <w:rPr>
                <w:sz w:val="21"/>
                <w:szCs w:val="21"/>
              </w:rPr>
            </w:pPr>
            <w:r>
              <w:rPr>
                <w:rFonts w:hint="eastAsia"/>
                <w:sz w:val="21"/>
                <w:szCs w:val="21"/>
              </w:rPr>
              <w:t>设备型号、台账基础信息等可公开资料</w:t>
            </w:r>
          </w:p>
        </w:tc>
        <w:tc>
          <w:tcPr>
            <w:tcW w:w="2138" w:type="dxa"/>
          </w:tcPr>
          <w:p w14:paraId="5DF87A35">
            <w:pPr>
              <w:pStyle w:val="88"/>
              <w:jc w:val="center"/>
              <w:rPr>
                <w:sz w:val="21"/>
                <w:szCs w:val="21"/>
              </w:rPr>
            </w:pPr>
            <w:r>
              <w:rPr>
                <w:rFonts w:ascii="宋体" w:hAnsi="宋体" w:cs="宋体"/>
                <w:sz w:val="21"/>
                <w:szCs w:val="21"/>
              </w:rPr>
              <w:t>设备运行状态、告警信息、健康指标等</w:t>
            </w:r>
          </w:p>
        </w:tc>
        <w:tc>
          <w:tcPr>
            <w:tcW w:w="2585" w:type="dxa"/>
          </w:tcPr>
          <w:p w14:paraId="5CD4F1ED">
            <w:pPr>
              <w:pStyle w:val="88"/>
              <w:jc w:val="center"/>
              <w:rPr>
                <w:sz w:val="21"/>
                <w:szCs w:val="21"/>
              </w:rPr>
            </w:pPr>
            <w:r>
              <w:rPr>
                <w:rFonts w:ascii="宋体" w:hAnsi="宋体" w:cs="宋体"/>
                <w:sz w:val="21"/>
                <w:szCs w:val="21"/>
              </w:rPr>
              <w:t>关键设备参数、保护定值、拓扑关联等敏感信息</w:t>
            </w:r>
          </w:p>
        </w:tc>
      </w:tr>
      <w:tr w14:paraId="2DFC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5834C6FB">
            <w:pPr>
              <w:pStyle w:val="88"/>
              <w:jc w:val="center"/>
              <w:rPr>
                <w:sz w:val="21"/>
                <w:szCs w:val="21"/>
              </w:rPr>
            </w:pPr>
            <w:r>
              <w:rPr>
                <w:rFonts w:hint="eastAsia"/>
                <w:sz w:val="21"/>
                <w:szCs w:val="21"/>
              </w:rPr>
              <w:t>运行数据类</w:t>
            </w:r>
          </w:p>
        </w:tc>
        <w:tc>
          <w:tcPr>
            <w:tcW w:w="2137" w:type="dxa"/>
          </w:tcPr>
          <w:p w14:paraId="6A2A842F">
            <w:pPr>
              <w:pStyle w:val="88"/>
              <w:jc w:val="center"/>
              <w:rPr>
                <w:sz w:val="21"/>
                <w:szCs w:val="21"/>
              </w:rPr>
            </w:pPr>
            <w:r>
              <w:rPr>
                <w:rFonts w:ascii="宋体" w:hAnsi="宋体" w:cs="宋体"/>
                <w:sz w:val="21"/>
                <w:szCs w:val="21"/>
              </w:rPr>
              <w:t>历史负荷/电量统计报表等对外发布数据</w:t>
            </w:r>
          </w:p>
        </w:tc>
        <w:tc>
          <w:tcPr>
            <w:tcW w:w="2138" w:type="dxa"/>
          </w:tcPr>
          <w:p w14:paraId="4A8FCD55">
            <w:pPr>
              <w:pStyle w:val="88"/>
              <w:jc w:val="center"/>
              <w:rPr>
                <w:sz w:val="21"/>
                <w:szCs w:val="21"/>
              </w:rPr>
            </w:pPr>
            <w:r>
              <w:rPr>
                <w:rFonts w:ascii="宋体" w:hAnsi="宋体" w:cs="宋体"/>
                <w:sz w:val="21"/>
                <w:szCs w:val="21"/>
              </w:rPr>
              <w:t>区域运行曲线、潮流分析结果等</w:t>
            </w:r>
          </w:p>
        </w:tc>
        <w:tc>
          <w:tcPr>
            <w:tcW w:w="2585" w:type="dxa"/>
          </w:tcPr>
          <w:p w14:paraId="075CE3A5">
            <w:pPr>
              <w:pStyle w:val="88"/>
              <w:jc w:val="center"/>
              <w:rPr>
                <w:sz w:val="21"/>
                <w:szCs w:val="21"/>
              </w:rPr>
            </w:pPr>
            <w:r>
              <w:rPr>
                <w:rFonts w:ascii="宋体" w:hAnsi="宋体" w:cs="宋体"/>
                <w:sz w:val="21"/>
                <w:szCs w:val="21"/>
              </w:rPr>
              <w:t>实时量测数据、关键断面潮流、越限与风险数据</w:t>
            </w:r>
          </w:p>
        </w:tc>
      </w:tr>
      <w:tr w14:paraId="6C97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5834C307">
            <w:pPr>
              <w:pStyle w:val="88"/>
              <w:jc w:val="center"/>
              <w:rPr>
                <w:sz w:val="21"/>
                <w:szCs w:val="21"/>
              </w:rPr>
            </w:pPr>
            <w:r>
              <w:rPr>
                <w:rFonts w:hint="eastAsia"/>
                <w:sz w:val="21"/>
                <w:szCs w:val="21"/>
              </w:rPr>
              <w:t>调度指令类</w:t>
            </w:r>
          </w:p>
        </w:tc>
        <w:tc>
          <w:tcPr>
            <w:tcW w:w="2137" w:type="dxa"/>
          </w:tcPr>
          <w:p w14:paraId="2F75CA0F">
            <w:pPr>
              <w:pStyle w:val="88"/>
              <w:jc w:val="center"/>
              <w:rPr>
                <w:sz w:val="21"/>
                <w:szCs w:val="21"/>
              </w:rPr>
            </w:pPr>
            <w:r>
              <w:rPr>
                <w:rFonts w:ascii="宋体" w:hAnsi="宋体" w:cs="宋体"/>
                <w:sz w:val="21"/>
                <w:szCs w:val="21"/>
              </w:rPr>
              <w:t>经审定公开的调度公告或计划摘要</w:t>
            </w:r>
          </w:p>
        </w:tc>
        <w:tc>
          <w:tcPr>
            <w:tcW w:w="2138" w:type="dxa"/>
          </w:tcPr>
          <w:p w14:paraId="26640709">
            <w:pPr>
              <w:pStyle w:val="88"/>
              <w:jc w:val="center"/>
              <w:rPr>
                <w:sz w:val="21"/>
                <w:szCs w:val="21"/>
              </w:rPr>
            </w:pPr>
            <w:r>
              <w:rPr>
                <w:rFonts w:ascii="宋体" w:hAnsi="宋体" w:cs="宋体"/>
                <w:sz w:val="21"/>
                <w:szCs w:val="21"/>
              </w:rPr>
              <w:t>日前/日内运行方式调整与常规操作指令</w:t>
            </w:r>
          </w:p>
        </w:tc>
        <w:tc>
          <w:tcPr>
            <w:tcW w:w="2585" w:type="dxa"/>
          </w:tcPr>
          <w:p w14:paraId="677F5D35">
            <w:pPr>
              <w:pStyle w:val="88"/>
              <w:jc w:val="center"/>
              <w:rPr>
                <w:sz w:val="21"/>
                <w:szCs w:val="21"/>
              </w:rPr>
            </w:pPr>
            <w:r>
              <w:rPr>
                <w:rFonts w:ascii="宋体" w:hAnsi="宋体" w:cs="宋体"/>
                <w:sz w:val="21"/>
                <w:szCs w:val="21"/>
              </w:rPr>
              <w:t>实时调度命令、应急处置指令、重要用户保供策略</w:t>
            </w:r>
          </w:p>
        </w:tc>
      </w:tr>
      <w:tr w14:paraId="41EF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A07EC41">
            <w:pPr>
              <w:pStyle w:val="88"/>
              <w:jc w:val="center"/>
              <w:rPr>
                <w:sz w:val="21"/>
                <w:szCs w:val="21"/>
              </w:rPr>
            </w:pPr>
            <w:r>
              <w:rPr>
                <w:rFonts w:hint="eastAsia"/>
                <w:sz w:val="21"/>
                <w:szCs w:val="21"/>
              </w:rPr>
              <w:t>历史案例类</w:t>
            </w:r>
          </w:p>
        </w:tc>
        <w:tc>
          <w:tcPr>
            <w:tcW w:w="2137" w:type="dxa"/>
          </w:tcPr>
          <w:p w14:paraId="2FC0D6B9">
            <w:pPr>
              <w:pStyle w:val="88"/>
              <w:jc w:val="center"/>
              <w:rPr>
                <w:sz w:val="21"/>
                <w:szCs w:val="21"/>
              </w:rPr>
            </w:pPr>
            <w:r>
              <w:rPr>
                <w:rFonts w:ascii="宋体" w:hAnsi="宋体" w:cs="宋体"/>
                <w:sz w:val="21"/>
                <w:szCs w:val="21"/>
              </w:rPr>
              <w:t>已公开事故通报、典型案例摘要</w:t>
            </w:r>
          </w:p>
        </w:tc>
        <w:tc>
          <w:tcPr>
            <w:tcW w:w="2138" w:type="dxa"/>
          </w:tcPr>
          <w:p w14:paraId="587A0A68">
            <w:pPr>
              <w:pStyle w:val="88"/>
              <w:jc w:val="center"/>
              <w:rPr>
                <w:sz w:val="21"/>
                <w:szCs w:val="21"/>
              </w:rPr>
            </w:pPr>
            <w:r>
              <w:rPr>
                <w:rFonts w:ascii="宋体" w:hAnsi="宋体" w:cs="宋体"/>
                <w:sz w:val="21"/>
                <w:szCs w:val="21"/>
              </w:rPr>
              <w:t>内部复盘报告、处置流程与经验总结</w:t>
            </w:r>
          </w:p>
        </w:tc>
        <w:tc>
          <w:tcPr>
            <w:tcW w:w="2585" w:type="dxa"/>
          </w:tcPr>
          <w:p w14:paraId="3759B02F">
            <w:pPr>
              <w:pStyle w:val="88"/>
              <w:jc w:val="center"/>
              <w:rPr>
                <w:sz w:val="21"/>
                <w:szCs w:val="21"/>
              </w:rPr>
            </w:pPr>
            <w:r>
              <w:rPr>
                <w:rFonts w:ascii="宋体" w:hAnsi="宋体" w:cs="宋体"/>
                <w:sz w:val="21"/>
                <w:szCs w:val="21"/>
              </w:rPr>
              <w:t>未公开重大事件细节、涉及关键资产的处置记录</w:t>
            </w:r>
          </w:p>
        </w:tc>
      </w:tr>
      <w:tr w14:paraId="338A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533BA72">
            <w:pPr>
              <w:pStyle w:val="88"/>
              <w:jc w:val="center"/>
              <w:rPr>
                <w:sz w:val="21"/>
                <w:szCs w:val="21"/>
              </w:rPr>
            </w:pPr>
            <w:r>
              <w:rPr>
                <w:rFonts w:hint="eastAsia"/>
                <w:sz w:val="21"/>
                <w:szCs w:val="21"/>
              </w:rPr>
              <w:t>专家知识类</w:t>
            </w:r>
          </w:p>
        </w:tc>
        <w:tc>
          <w:tcPr>
            <w:tcW w:w="2137" w:type="dxa"/>
          </w:tcPr>
          <w:p w14:paraId="033667C9">
            <w:pPr>
              <w:pStyle w:val="88"/>
              <w:jc w:val="center"/>
              <w:rPr>
                <w:sz w:val="21"/>
                <w:szCs w:val="21"/>
              </w:rPr>
            </w:pPr>
            <w:r>
              <w:rPr>
                <w:rFonts w:ascii="宋体" w:hAnsi="宋体" w:cs="宋体"/>
                <w:sz w:val="21"/>
                <w:szCs w:val="21"/>
              </w:rPr>
              <w:t>行业公开论文/标准解读与通用经验</w:t>
            </w:r>
          </w:p>
        </w:tc>
        <w:tc>
          <w:tcPr>
            <w:tcW w:w="2138" w:type="dxa"/>
          </w:tcPr>
          <w:p w14:paraId="7C20FD5A">
            <w:pPr>
              <w:pStyle w:val="88"/>
              <w:jc w:val="center"/>
              <w:rPr>
                <w:sz w:val="21"/>
                <w:szCs w:val="21"/>
              </w:rPr>
            </w:pPr>
            <w:r>
              <w:rPr>
                <w:rFonts w:ascii="宋体" w:hAnsi="宋体" w:cs="宋体"/>
                <w:sz w:val="21"/>
                <w:szCs w:val="21"/>
              </w:rPr>
              <w:t>内部专家建议、规则库与策略模板</w:t>
            </w:r>
          </w:p>
        </w:tc>
        <w:tc>
          <w:tcPr>
            <w:tcW w:w="2585" w:type="dxa"/>
          </w:tcPr>
          <w:p w14:paraId="02A4FE47">
            <w:pPr>
              <w:pStyle w:val="88"/>
              <w:jc w:val="center"/>
              <w:rPr>
                <w:sz w:val="21"/>
                <w:szCs w:val="21"/>
              </w:rPr>
            </w:pPr>
            <w:r>
              <w:rPr>
                <w:rFonts w:ascii="宋体" w:hAnsi="宋体" w:cs="宋体"/>
                <w:sz w:val="21"/>
                <w:szCs w:val="21"/>
              </w:rPr>
              <w:t>专家决策模型、关键策略参数、专有算法/知识产权内容</w:t>
            </w:r>
          </w:p>
        </w:tc>
      </w:tr>
      <w:tr w14:paraId="515B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02F4680D">
            <w:pPr>
              <w:pStyle w:val="88"/>
              <w:jc w:val="center"/>
              <w:rPr>
                <w:sz w:val="21"/>
                <w:szCs w:val="21"/>
              </w:rPr>
            </w:pPr>
            <w:r>
              <w:rPr>
                <w:rFonts w:hint="eastAsia"/>
                <w:sz w:val="21"/>
                <w:szCs w:val="21"/>
              </w:rPr>
              <w:t>规程文档类</w:t>
            </w:r>
          </w:p>
        </w:tc>
        <w:tc>
          <w:tcPr>
            <w:tcW w:w="2137" w:type="dxa"/>
          </w:tcPr>
          <w:p w14:paraId="65BEC12D">
            <w:pPr>
              <w:pStyle w:val="88"/>
              <w:jc w:val="center"/>
              <w:rPr>
                <w:sz w:val="21"/>
                <w:szCs w:val="21"/>
              </w:rPr>
            </w:pPr>
            <w:r>
              <w:rPr>
                <w:rFonts w:ascii="宋体" w:hAnsi="宋体" w:cs="宋体"/>
                <w:sz w:val="21"/>
                <w:szCs w:val="21"/>
              </w:rPr>
              <w:t>国家/行业标准及公开操作规程</w:t>
            </w:r>
          </w:p>
        </w:tc>
        <w:tc>
          <w:tcPr>
            <w:tcW w:w="2138" w:type="dxa"/>
          </w:tcPr>
          <w:p w14:paraId="68CE3423">
            <w:pPr>
              <w:pStyle w:val="88"/>
              <w:jc w:val="center"/>
              <w:rPr>
                <w:sz w:val="21"/>
                <w:szCs w:val="21"/>
              </w:rPr>
            </w:pPr>
            <w:r>
              <w:rPr>
                <w:rFonts w:ascii="宋体" w:hAnsi="宋体" w:cs="宋体"/>
                <w:sz w:val="21"/>
                <w:szCs w:val="21"/>
              </w:rPr>
              <w:t>企业内部规程、岗位作业指导书</w:t>
            </w:r>
          </w:p>
        </w:tc>
        <w:tc>
          <w:tcPr>
            <w:tcW w:w="2585" w:type="dxa"/>
          </w:tcPr>
          <w:p w14:paraId="1936BD99">
            <w:pPr>
              <w:pStyle w:val="88"/>
              <w:jc w:val="center"/>
              <w:rPr>
                <w:sz w:val="21"/>
                <w:szCs w:val="21"/>
              </w:rPr>
            </w:pPr>
            <w:r>
              <w:rPr>
                <w:rFonts w:ascii="宋体" w:hAnsi="宋体" w:cs="宋体"/>
                <w:sz w:val="21"/>
                <w:szCs w:val="21"/>
              </w:rPr>
              <w:t>涉密应急预案、关键设备操作细则与内部控制策略</w:t>
            </w:r>
          </w:p>
        </w:tc>
      </w:tr>
      <w:tr w14:paraId="4513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E08518F">
            <w:pPr>
              <w:pStyle w:val="88"/>
              <w:jc w:val="center"/>
              <w:rPr>
                <w:sz w:val="21"/>
                <w:szCs w:val="21"/>
              </w:rPr>
            </w:pPr>
            <w:r>
              <w:rPr>
                <w:rFonts w:hint="eastAsia"/>
                <w:sz w:val="21"/>
                <w:szCs w:val="21"/>
              </w:rPr>
              <w:t>用户信息类</w:t>
            </w:r>
          </w:p>
        </w:tc>
        <w:tc>
          <w:tcPr>
            <w:tcW w:w="2137" w:type="dxa"/>
          </w:tcPr>
          <w:p w14:paraId="1F1B26D1">
            <w:pPr>
              <w:pStyle w:val="88"/>
              <w:jc w:val="center"/>
              <w:rPr>
                <w:sz w:val="21"/>
                <w:szCs w:val="21"/>
              </w:rPr>
            </w:pPr>
            <w:r>
              <w:rPr>
                <w:rFonts w:ascii="宋体" w:hAnsi="宋体" w:cs="宋体"/>
                <w:sz w:val="21"/>
                <w:szCs w:val="21"/>
              </w:rPr>
              <w:t>组织信息、岗位角色等非个人敏感信息</w:t>
            </w:r>
          </w:p>
        </w:tc>
        <w:tc>
          <w:tcPr>
            <w:tcW w:w="2138" w:type="dxa"/>
          </w:tcPr>
          <w:p w14:paraId="2DD9F6C1">
            <w:pPr>
              <w:pStyle w:val="88"/>
              <w:jc w:val="center"/>
              <w:rPr>
                <w:sz w:val="21"/>
                <w:szCs w:val="21"/>
              </w:rPr>
            </w:pPr>
            <w:r>
              <w:rPr>
                <w:rFonts w:ascii="宋体" w:hAnsi="宋体" w:cs="宋体"/>
                <w:sz w:val="21"/>
                <w:szCs w:val="21"/>
              </w:rPr>
              <w:t>工号、部门、联系方式、权限角色等</w:t>
            </w:r>
          </w:p>
        </w:tc>
        <w:tc>
          <w:tcPr>
            <w:tcW w:w="2585" w:type="dxa"/>
          </w:tcPr>
          <w:p w14:paraId="72CFA642">
            <w:pPr>
              <w:pStyle w:val="88"/>
              <w:jc w:val="center"/>
              <w:rPr>
                <w:sz w:val="21"/>
                <w:szCs w:val="21"/>
              </w:rPr>
            </w:pPr>
            <w:r>
              <w:rPr>
                <w:rFonts w:ascii="宋体" w:hAnsi="宋体" w:cs="宋体"/>
                <w:sz w:val="21"/>
                <w:szCs w:val="21"/>
              </w:rPr>
              <w:t>身份证/人事敏感信息、认证凭证、登录与操作审计日志</w:t>
            </w:r>
          </w:p>
        </w:tc>
      </w:tr>
    </w:tbl>
    <w:p w14:paraId="339AE81C">
      <w:pPr>
        <w:ind w:firstLine="480"/>
        <w:rPr>
          <w:rFonts w:hint="eastAsia"/>
        </w:rPr>
      </w:pPr>
      <w:r>
        <w:rPr>
          <w:rFonts w:hint="eastAsia"/>
        </w:rPr>
        <w:t>其次，平台将资产目录与资产明细可视化统一整合到“资产明细”子功能中</w:t>
      </w:r>
      <w:r>
        <w:rPr>
          <w:rFonts w:hint="eastAsia"/>
          <w:lang w:eastAsia="zh-CN"/>
        </w:rPr>
        <w:t>，</w:t>
      </w:r>
      <w:r>
        <w:rPr>
          <w:rFonts w:hint="eastAsia"/>
        </w:rPr>
        <w:t>如图3-</w:t>
      </w:r>
      <w:r>
        <w:rPr>
          <w:rFonts w:hint="eastAsia"/>
          <w:lang w:val="en-US" w:eastAsia="zh-CN"/>
        </w:rPr>
        <w:t>8</w:t>
      </w:r>
      <w:r>
        <w:rPr>
          <w:rFonts w:hint="eastAsia"/>
        </w:rPr>
        <w:t>所示，页面上方以统计卡片方式展示资产总数、数据集数量、模型数量和知识文档数量，下方则以表格方式集中呈现各类资产的详细信息，包括资产名称、数据分级、数据分类、数据层级等内容，并提供详情查看、血缘追踪、编辑和删除等操作。与此同时，界面还支持按</w:t>
      </w:r>
      <w:r>
        <w:rPr>
          <w:rFonts w:hint="eastAsia"/>
          <w:lang w:val="en-US" w:eastAsia="zh-CN"/>
        </w:rPr>
        <w:t>数据分级分类</w:t>
      </w:r>
      <w:r>
        <w:rPr>
          <w:rFonts w:hint="eastAsia"/>
        </w:rPr>
        <w:t>等条件进行检索与过滤，从而实现对平台内部数据资产的统一编目和集中管理。该设计使原本分散在不同流程中的数据对象能够以资产化方式进行展示和维护，增强了数据治理的可视化表达能力。</w:t>
      </w:r>
    </w:p>
    <w:p w14:paraId="6DDB6FE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6690" cy="2528570"/>
            <wp:effectExtent l="0" t="0" r="6350" b="1270"/>
            <wp:docPr id="18" name="图片 18" descr="fig3-资产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资产明细"/>
                    <pic:cNvPicPr>
                      <a:picLocks noChangeAspect="1"/>
                    </pic:cNvPicPr>
                  </pic:nvPicPr>
                  <pic:blipFill>
                    <a:blip r:embed="rId52"/>
                    <a:stretch>
                      <a:fillRect/>
                    </a:stretch>
                  </pic:blipFill>
                  <pic:spPr>
                    <a:xfrm>
                      <a:off x="0" y="0"/>
                      <a:ext cx="5266690" cy="2528570"/>
                    </a:xfrm>
                    <a:prstGeom prst="rect">
                      <a:avLst/>
                    </a:prstGeom>
                  </pic:spPr>
                </pic:pic>
              </a:graphicData>
            </a:graphic>
          </wp:inline>
        </w:drawing>
      </w:r>
    </w:p>
    <w:p w14:paraId="17AACC7C">
      <w:pPr>
        <w:pStyle w:val="92"/>
        <w:rPr>
          <w:rFonts w:hint="eastAsia" w:eastAsia="宋体"/>
          <w:lang w:eastAsia="zh-CN"/>
        </w:rPr>
      </w:pPr>
      <w:r>
        <w:rPr>
          <w:rFonts w:hint="eastAsia"/>
        </w:rPr>
        <w:t>图</w:t>
      </w:r>
      <w:r>
        <w:rPr>
          <w:rFonts w:hint="eastAsia"/>
          <w:lang w:val="en-US" w:eastAsia="zh-CN"/>
        </w:rPr>
        <w:t>3</w:t>
      </w:r>
      <w:r>
        <w:rPr>
          <w:rFonts w:hint="eastAsia"/>
        </w:rPr>
        <w:t>-</w:t>
      </w:r>
      <w:r>
        <w:rPr>
          <w:rFonts w:hint="eastAsia"/>
          <w:lang w:val="en-US" w:eastAsia="zh-CN"/>
        </w:rPr>
        <w:t>8</w:t>
      </w:r>
      <w:r>
        <w:rPr>
          <w:rFonts w:hint="eastAsia"/>
        </w:rPr>
        <w:t xml:space="preserve"> </w:t>
      </w:r>
      <w:r>
        <w:rPr>
          <w:rFonts w:hint="eastAsia"/>
          <w:lang w:val="en-US" w:eastAsia="zh-CN"/>
        </w:rPr>
        <w:t>数据资产明细界面</w:t>
      </w:r>
    </w:p>
    <w:p w14:paraId="05EFF915">
      <w:pPr>
        <w:ind w:firstLine="480"/>
        <w:rPr>
          <w:rFonts w:hint="eastAsia"/>
        </w:rPr>
      </w:pPr>
      <w:r>
        <w:rPr>
          <w:rFonts w:hint="eastAsia"/>
        </w:rPr>
        <w:t>此外，平台设计了数据血缘追踪功能，用于描述数据在平台内部从采集到应用的流转关系</w:t>
      </w:r>
      <w:r>
        <w:rPr>
          <w:rFonts w:hint="eastAsia"/>
          <w:lang w:eastAsia="zh-CN"/>
        </w:rPr>
        <w:t>，</w:t>
      </w:r>
      <w:r>
        <w:rPr>
          <w:rFonts w:hint="eastAsia"/>
          <w:lang w:val="en-US" w:eastAsia="zh-CN"/>
        </w:rPr>
        <w:t>如图3-9所示</w:t>
      </w:r>
      <w:r>
        <w:rPr>
          <w:rFonts w:hint="eastAsia"/>
        </w:rPr>
        <w:t>。平台为每个数据对象生成唯一标识，并在每一次加工、转换或引用时建立“血缘边”关系。用户可以直观查看某一数据对象经过清洗、标注和特征处理后，如何进入模型训练流程，进一步形成模型产物与推理服务，并最终支撑业务应用。该功能为异常分析、责任定位和安全审计提供了完整的数据侧追踪能力，也为后续模型管理模块中的可信训练与可信推理提供了数据基础。</w:t>
      </w:r>
    </w:p>
    <w:p w14:paraId="6FDE130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6215" cy="2611755"/>
            <wp:effectExtent l="0" t="0" r="12065" b="9525"/>
            <wp:docPr id="24" name="图片 24" descr="fig3-血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血缘"/>
                    <pic:cNvPicPr>
                      <a:picLocks noChangeAspect="1"/>
                    </pic:cNvPicPr>
                  </pic:nvPicPr>
                  <pic:blipFill>
                    <a:blip r:embed="rId53"/>
                    <a:stretch>
                      <a:fillRect/>
                    </a:stretch>
                  </pic:blipFill>
                  <pic:spPr>
                    <a:xfrm>
                      <a:off x="0" y="0"/>
                      <a:ext cx="5276215" cy="2611755"/>
                    </a:xfrm>
                    <a:prstGeom prst="rect">
                      <a:avLst/>
                    </a:prstGeom>
                  </pic:spPr>
                </pic:pic>
              </a:graphicData>
            </a:graphic>
          </wp:inline>
        </w:drawing>
      </w:r>
    </w:p>
    <w:p w14:paraId="55D89552">
      <w:pPr>
        <w:pStyle w:val="92"/>
        <w:rPr>
          <w:rFonts w:hint="eastAsia"/>
        </w:rPr>
      </w:pPr>
      <w:r>
        <w:rPr>
          <w:rFonts w:hint="eastAsia"/>
        </w:rPr>
        <w:t>图</w:t>
      </w:r>
      <w:r>
        <w:rPr>
          <w:rFonts w:hint="eastAsia"/>
          <w:lang w:val="en-US" w:eastAsia="zh-CN"/>
        </w:rPr>
        <w:t>3</w:t>
      </w:r>
      <w:r>
        <w:rPr>
          <w:rFonts w:hint="eastAsia"/>
        </w:rPr>
        <w:t>-</w:t>
      </w:r>
      <w:r>
        <w:rPr>
          <w:rFonts w:hint="eastAsia"/>
          <w:lang w:val="en-US" w:eastAsia="zh-CN"/>
        </w:rPr>
        <w:t>9</w:t>
      </w:r>
      <w:r>
        <w:rPr>
          <w:rFonts w:hint="eastAsia"/>
        </w:rPr>
        <w:t xml:space="preserve"> </w:t>
      </w:r>
      <w:r>
        <w:rPr>
          <w:rFonts w:hint="eastAsia"/>
          <w:lang w:val="en-US" w:eastAsia="zh-CN"/>
        </w:rPr>
        <w:t>数据血缘追踪界面</w:t>
      </w:r>
    </w:p>
    <w:p w14:paraId="532A3811">
      <w:pPr>
        <w:pStyle w:val="3"/>
        <w:spacing w:before="163" w:after="163"/>
      </w:pPr>
      <w:bookmarkStart w:id="76" w:name="_Toc16690"/>
      <w:r>
        <w:t>3.3  AI模型训推可视化子系统</w:t>
      </w:r>
      <w:bookmarkEnd w:id="76"/>
    </w:p>
    <w:p w14:paraId="15B5BD58">
      <w:pPr>
        <w:ind w:firstLine="480"/>
      </w:pPr>
      <w:r>
        <w:rPr>
          <w:rFonts w:hint="eastAsia"/>
        </w:rPr>
        <w:t>AI模型是电力调度决策等智能业务应用的核心引擎，其训练过程和推理行为直接影响系统安全。本文模型管理模块强调模型全生命周期的可视化表达与可信性支撑，将模型开发、训练、评估、部署与在线推理</w:t>
      </w:r>
      <w:r>
        <w:rPr>
          <w:rFonts w:hint="eastAsia"/>
          <w:lang w:val="en-US" w:eastAsia="zh-CN"/>
        </w:rPr>
        <w:t>纳入</w:t>
      </w:r>
      <w:r>
        <w:rPr>
          <w:rFonts w:hint="eastAsia"/>
        </w:rPr>
        <w:t>统一链路中进行观测与分析，提升过程透明度与可追溯性。</w:t>
      </w:r>
    </w:p>
    <w:p w14:paraId="782D9249">
      <w:pPr>
        <w:pStyle w:val="4"/>
      </w:pPr>
      <w:bookmarkStart w:id="77" w:name="_Toc3717"/>
      <w:r>
        <w:t>3.3.1  AI模型</w:t>
      </w:r>
      <w:r>
        <w:rPr>
          <w:rFonts w:hint="eastAsia"/>
          <w:lang w:val="en-US" w:eastAsia="zh-CN"/>
        </w:rPr>
        <w:t>开发</w:t>
      </w:r>
      <w:r>
        <w:rPr>
          <w:rFonts w:hint="eastAsia"/>
        </w:rPr>
        <w:t>与资产管理</w:t>
      </w:r>
      <w:bookmarkEnd w:id="77"/>
    </w:p>
    <w:p w14:paraId="713AD476">
      <w:pPr>
        <w:ind w:firstLine="480"/>
        <w:rPr>
          <w:rFonts w:hint="eastAsia"/>
        </w:rPr>
      </w:pPr>
      <w:r>
        <w:rPr>
          <w:rFonts w:hint="eastAsia"/>
        </w:rPr>
        <w:t>模型开发与资产管理功能主要面向模型从创建、训练到</w:t>
      </w:r>
      <w:r>
        <w:rPr>
          <w:rFonts w:hint="eastAsia"/>
          <w:lang w:val="en-US" w:eastAsia="zh-CN"/>
        </w:rPr>
        <w:t>推理</w:t>
      </w:r>
      <w:r>
        <w:rPr>
          <w:rFonts w:hint="eastAsia"/>
        </w:rPr>
        <w:t>、复用和上线的全过程。该</w:t>
      </w:r>
      <w:r>
        <w:rPr>
          <w:rFonts w:hint="eastAsia"/>
          <w:lang w:val="en-US" w:eastAsia="zh-CN"/>
        </w:rPr>
        <w:t>模块</w:t>
      </w:r>
      <w:r>
        <w:rPr>
          <w:rFonts w:hint="eastAsia"/>
        </w:rPr>
        <w:t>围绕模型任务组织、模型资产管理、标签化治理和服务化发布构建完整的模型开发管理链路。</w:t>
      </w:r>
    </w:p>
    <w:p w14:paraId="0751F901">
      <w:pPr>
        <w:ind w:firstLine="480"/>
      </w:pPr>
      <w:r>
        <w:rPr>
          <w:rFonts w:hint="eastAsia"/>
        </w:rPr>
        <w:t>平台以任务化方式组织模型训练过程</w:t>
      </w:r>
      <w:r>
        <w:rPr>
          <w:rFonts w:hint="eastAsia"/>
          <w:lang w:eastAsia="zh-CN"/>
        </w:rPr>
        <w:t>。</w:t>
      </w:r>
      <w:r>
        <w:rPr>
          <w:rFonts w:hint="eastAsia"/>
        </w:rPr>
        <w:t>如图3-10所示，系统将模型训练过程划分为创建任务、数据准备、流程编排和训练评估等关键环节。用户在创建模型任务时，需要选择具体业务场景、基础模型或算法框架，并绑定来自3.2节数据管理模块的数据集与标注结果；随后通过流程编排对训练参数、训练策略和任务流程进行配置，并在训练完成后输出评估结果。通过这种设计，模型训练不再是离散、不可追踪的后台操作，而成为能够明确关联数据来源、训练过程与结果产出的标准化任务对象。这样既提高了模型开发的组织效率，也保证了模型训练过程具备来源可查、过程可追和结果可复用的特征</w:t>
      </w:r>
      <w:r>
        <w:t>。</w:t>
      </w:r>
    </w:p>
    <w:p w14:paraId="247F5072">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6690" cy="2528570"/>
            <wp:effectExtent l="0" t="0" r="6350" b="1270"/>
            <wp:docPr id="35" name="图片 35" descr="fig3-模型开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ig3-模型开发"/>
                    <pic:cNvPicPr>
                      <a:picLocks noChangeAspect="1"/>
                    </pic:cNvPicPr>
                  </pic:nvPicPr>
                  <pic:blipFill>
                    <a:blip r:embed="rId54"/>
                    <a:stretch>
                      <a:fillRect/>
                    </a:stretch>
                  </pic:blipFill>
                  <pic:spPr>
                    <a:xfrm>
                      <a:off x="0" y="0"/>
                      <a:ext cx="5266690" cy="2528570"/>
                    </a:xfrm>
                    <a:prstGeom prst="rect">
                      <a:avLst/>
                    </a:prstGeom>
                  </pic:spPr>
                </pic:pic>
              </a:graphicData>
            </a:graphic>
          </wp:inline>
        </w:drawing>
      </w:r>
    </w:p>
    <w:p w14:paraId="1A927230">
      <w:pPr>
        <w:pStyle w:val="92"/>
        <w:rPr>
          <w:rFonts w:hint="eastAsia" w:eastAsia="宋体"/>
          <w:lang w:eastAsia="zh-CN"/>
        </w:rPr>
      </w:pPr>
      <w:r>
        <w:rPr>
          <w:rFonts w:hint="eastAsia"/>
        </w:rPr>
        <w:t>图</w:t>
      </w:r>
      <w:r>
        <w:rPr>
          <w:rFonts w:hint="eastAsia"/>
          <w:lang w:val="en-US" w:eastAsia="zh-CN"/>
        </w:rPr>
        <w:t>3</w:t>
      </w:r>
      <w:r>
        <w:rPr>
          <w:rFonts w:hint="eastAsia"/>
        </w:rPr>
        <w:t>-</w:t>
      </w:r>
      <w:r>
        <w:rPr>
          <w:rFonts w:hint="eastAsia"/>
          <w:lang w:val="en-US" w:eastAsia="zh-CN"/>
        </w:rPr>
        <w:t>10</w:t>
      </w:r>
      <w:r>
        <w:rPr>
          <w:rFonts w:hint="eastAsia"/>
        </w:rPr>
        <w:t xml:space="preserve"> </w:t>
      </w:r>
      <w:r>
        <w:rPr>
          <w:rFonts w:hint="eastAsia"/>
          <w:lang w:val="en-US" w:eastAsia="zh-CN"/>
        </w:rPr>
        <w:t>模型开发界面</w:t>
      </w:r>
    </w:p>
    <w:p w14:paraId="6ECA3FDA">
      <w:pPr>
        <w:ind w:firstLine="480"/>
      </w:pPr>
      <w:r>
        <w:rPr>
          <w:rFonts w:hint="eastAsia"/>
        </w:rPr>
        <w:t>其次，在模型资产沉淀方面，平台构建了模型库功能，对训练完成后的模型及外部导入模型进行统一管理。模型库界面如图3-11所示，平台支持按照任务类型、应用场景、模型名称等条件</w:t>
      </w:r>
      <w:r>
        <w:rPr>
          <w:rFonts w:hint="eastAsia"/>
          <w:lang w:val="en-US" w:eastAsia="zh-CN"/>
        </w:rPr>
        <w:t>进行</w:t>
      </w:r>
      <w:r>
        <w:rPr>
          <w:rFonts w:hint="eastAsia"/>
        </w:rPr>
        <w:t>多维筛选</w:t>
      </w:r>
      <w:r>
        <w:rPr>
          <w:rFonts w:hint="eastAsia"/>
          <w:lang w:eastAsia="zh-CN"/>
        </w:rPr>
        <w:t>，</w:t>
      </w:r>
      <w:r>
        <w:rPr>
          <w:rFonts w:hint="eastAsia"/>
        </w:rPr>
        <w:t>集中展示可用模型及其元信息。该设计使模型转变为可持续管理和复用的资产，</w:t>
      </w:r>
      <w:r>
        <w:rPr>
          <w:rFonts w:hint="eastAsia"/>
          <w:lang w:val="en-US" w:eastAsia="zh-CN"/>
        </w:rPr>
        <w:t>不仅</w:t>
      </w:r>
      <w:r>
        <w:rPr>
          <w:rFonts w:hint="eastAsia"/>
        </w:rPr>
        <w:t>便于</w:t>
      </w:r>
      <w:r>
        <w:rPr>
          <w:rFonts w:hint="eastAsia"/>
          <w:lang w:val="en-US" w:eastAsia="zh-CN"/>
        </w:rPr>
        <w:t>多元</w:t>
      </w:r>
      <w:r>
        <w:rPr>
          <w:rFonts w:hint="eastAsia"/>
        </w:rPr>
        <w:t>场景下快速完成模型选型，</w:t>
      </w:r>
      <w:r>
        <w:rPr>
          <w:rFonts w:hint="eastAsia"/>
          <w:lang w:val="en-US" w:eastAsia="zh-CN"/>
        </w:rPr>
        <w:t>而且可</w:t>
      </w:r>
      <w:r>
        <w:rPr>
          <w:rFonts w:hint="eastAsia"/>
        </w:rPr>
        <w:t>为后续组件化开发与组态化编排</w:t>
      </w:r>
      <w:r>
        <w:rPr>
          <w:rFonts w:hint="eastAsia"/>
          <w:lang w:val="en-US" w:eastAsia="zh-CN"/>
        </w:rPr>
        <w:t>与部署</w:t>
      </w:r>
      <w:r>
        <w:rPr>
          <w:rFonts w:hint="eastAsia"/>
        </w:rPr>
        <w:t>调用提供统一入口</w:t>
      </w:r>
      <w:r>
        <w:t>。</w:t>
      </w:r>
    </w:p>
    <w:p w14:paraId="6526D8F2">
      <w:pPr>
        <w:ind w:firstLine="480"/>
      </w:pPr>
      <w:r>
        <w:rPr>
          <w:rFonts w:hint="eastAsia"/>
        </w:rPr>
        <w:t>标准模型固然强大，但在特定任务上未必是最优解。因此针对电力场景中特定任务对于模型特征提取能力、多尺度融合方面的更高要求，本文还将模型结构创新转化为可工程化落地的能力，采用组件化与组态化思想对模型进行模块拆解与组合，将特征提取、多尺度融合、注意力/Transformer等常用结构沉淀为可插拔的标准化组件，用户可通过拖拽式编排完成模型结构组装，并在需要时以少量代码扩展实现“模块组合—快速试验—迭代优化”的开发路径。该方式实质上将模型结构从“不可见的代码实现”转化为“可管理的工程积木”，显著降低结构试错与复用成本。</w:t>
      </w:r>
    </w:p>
    <w:p w14:paraId="4FF5F4A6">
      <w:pPr>
        <w:spacing w:line="240" w:lineRule="auto"/>
        <w:ind w:left="0" w:leftChars="0" w:firstLine="0" w:firstLineChars="0"/>
        <w:rPr>
          <w:rFonts w:hint="eastAsia" w:eastAsia="黑体"/>
          <w:lang w:eastAsia="zh-CN"/>
        </w:rPr>
      </w:pPr>
      <w:r>
        <w:rPr>
          <w:rFonts w:hint="eastAsia" w:eastAsia="宋体"/>
          <w:lang w:eastAsia="zh-CN"/>
        </w:rPr>
        <w:drawing>
          <wp:inline distT="0" distB="0" distL="114300" distR="114300">
            <wp:extent cx="5266690" cy="2528570"/>
            <wp:effectExtent l="0" t="0" r="6350" b="1270"/>
            <wp:docPr id="29" name="图片 29" descr="训推-模型库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训推-模型库界面"/>
                    <pic:cNvPicPr>
                      <a:picLocks noChangeAspect="1"/>
                    </pic:cNvPicPr>
                  </pic:nvPicPr>
                  <pic:blipFill>
                    <a:blip r:embed="rId55"/>
                    <a:stretch>
                      <a:fillRect/>
                    </a:stretch>
                  </pic:blipFill>
                  <pic:spPr>
                    <a:xfrm>
                      <a:off x="0" y="0"/>
                      <a:ext cx="5266690" cy="2528570"/>
                    </a:xfrm>
                    <a:prstGeom prst="rect">
                      <a:avLst/>
                    </a:prstGeom>
                  </pic:spPr>
                </pic:pic>
              </a:graphicData>
            </a:graphic>
          </wp:inline>
        </w:drawing>
      </w:r>
    </w:p>
    <w:p w14:paraId="7A5BBF1B">
      <w:pPr>
        <w:pStyle w:val="92"/>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11</w:t>
      </w:r>
      <w:r>
        <w:rPr>
          <w:rFonts w:hint="eastAsia"/>
        </w:rPr>
        <w:t xml:space="preserve"> </w:t>
      </w:r>
      <w:r>
        <w:rPr>
          <w:rFonts w:hint="eastAsia"/>
          <w:lang w:val="en-US" w:eastAsia="zh-CN"/>
        </w:rPr>
        <w:t>模型库界面</w:t>
      </w:r>
    </w:p>
    <w:p w14:paraId="7724E23F">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再次，为了提高模型治理的规范化程度，平台设计了模型标签功能，对模型进行结构化标识与分类管理。系统支持对标签进行创建、分类、分级和维护，并通过标签将模型与任务类型、运行环境、适用场景等信息建立关联。模型标签的引入，使模型管理不再停留在名称检索层面，而能够通过统一语义标识实现模型资产的精细化组织。这对于电力业务中模型数量不断增加、模型类型持续扩展的场景尤为重要，有助于降低模型检索和复用成本。</w:t>
      </w:r>
    </w:p>
    <w:p w14:paraId="6D82DC19">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最后，平台进一步实现了部署服务功能，将模型资产转化为在线可调用服务。部署服务界面如图3-1</w:t>
      </w:r>
      <w:r>
        <w:rPr>
          <w:rFonts w:hint="eastAsia"/>
          <w:lang w:val="en-US" w:eastAsia="zh-CN"/>
        </w:rPr>
        <w:t>2</w:t>
      </w:r>
      <w:r>
        <w:rPr>
          <w:rFonts w:hint="default"/>
          <w:lang w:val="en-US" w:eastAsia="zh-CN"/>
        </w:rPr>
        <w:t>所示，平台将部署过程组织为</w:t>
      </w:r>
      <w:r>
        <w:rPr>
          <w:rFonts w:hint="eastAsia"/>
          <w:lang w:val="en-US" w:eastAsia="zh-CN"/>
        </w:rPr>
        <w:t>“</w:t>
      </w:r>
      <w:r>
        <w:rPr>
          <w:rFonts w:hint="default"/>
          <w:lang w:val="en-US" w:eastAsia="zh-CN"/>
        </w:rPr>
        <w:t>选择模型</w:t>
      </w:r>
      <w:r>
        <w:rPr>
          <w:rFonts w:hint="eastAsia"/>
          <w:lang w:val="en-US" w:eastAsia="zh-CN"/>
        </w:rPr>
        <w:t>—</w:t>
      </w:r>
      <w:r>
        <w:rPr>
          <w:rFonts w:hint="default"/>
          <w:lang w:val="en-US" w:eastAsia="zh-CN"/>
        </w:rPr>
        <w:t>配置服务</w:t>
      </w:r>
      <w:r>
        <w:rPr>
          <w:rFonts w:hint="eastAsia"/>
          <w:lang w:val="en-US" w:eastAsia="zh-CN"/>
        </w:rPr>
        <w:t>—</w:t>
      </w:r>
      <w:r>
        <w:rPr>
          <w:rFonts w:hint="default"/>
          <w:lang w:val="en-US" w:eastAsia="zh-CN"/>
        </w:rPr>
        <w:t>启动部署</w:t>
      </w:r>
      <w:r>
        <w:rPr>
          <w:rFonts w:hint="eastAsia"/>
          <w:lang w:val="en-US" w:eastAsia="zh-CN"/>
        </w:rPr>
        <w:t>—</w:t>
      </w:r>
      <w:r>
        <w:rPr>
          <w:rFonts w:hint="default"/>
          <w:lang w:val="en-US" w:eastAsia="zh-CN"/>
        </w:rPr>
        <w:t>调用监控</w:t>
      </w:r>
      <w:r>
        <w:rPr>
          <w:rFonts w:hint="eastAsia"/>
          <w:lang w:val="en-US" w:eastAsia="zh-CN"/>
        </w:rPr>
        <w:t>”</w:t>
      </w:r>
      <w:r>
        <w:rPr>
          <w:rFonts w:hint="default"/>
          <w:lang w:val="en-US" w:eastAsia="zh-CN"/>
        </w:rPr>
        <w:t>的标准流程。模型在完成训练和审核后，可以通过统一配置发布为在线推理服务，并生成相应的服务地址和服务状态信息。该设计打通了模型开发与业务应用之间的衔接环节，使模型能力能够从离线训练结果进一步转化为可支撑实际业务调用的在线服务能力。</w:t>
      </w:r>
    </w:p>
    <w:p w14:paraId="6ED3EF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drawing>
          <wp:inline distT="0" distB="0" distL="114300" distR="114300">
            <wp:extent cx="5266690" cy="2528570"/>
            <wp:effectExtent l="0" t="0" r="6350" b="1270"/>
            <wp:docPr id="36" name="图片 36" descr="fig3-部署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ig3-部署服务"/>
                    <pic:cNvPicPr>
                      <a:picLocks noChangeAspect="1"/>
                    </pic:cNvPicPr>
                  </pic:nvPicPr>
                  <pic:blipFill>
                    <a:blip r:embed="rId56"/>
                    <a:stretch>
                      <a:fillRect/>
                    </a:stretch>
                  </pic:blipFill>
                  <pic:spPr>
                    <a:xfrm>
                      <a:off x="0" y="0"/>
                      <a:ext cx="5266690" cy="2528570"/>
                    </a:xfrm>
                    <a:prstGeom prst="rect">
                      <a:avLst/>
                    </a:prstGeom>
                  </pic:spPr>
                </pic:pic>
              </a:graphicData>
            </a:graphic>
          </wp:inline>
        </w:drawing>
      </w:r>
    </w:p>
    <w:p w14:paraId="24171995">
      <w:pPr>
        <w:pStyle w:val="92"/>
        <w:rPr>
          <w:rFonts w:hint="default"/>
          <w:lang w:val="en-US" w:eastAsia="zh-CN"/>
        </w:rPr>
      </w:pPr>
      <w:r>
        <w:rPr>
          <w:rFonts w:hint="eastAsia"/>
        </w:rPr>
        <w:t>图</w:t>
      </w:r>
      <w:r>
        <w:rPr>
          <w:rFonts w:hint="eastAsia"/>
          <w:lang w:val="en-US" w:eastAsia="zh-CN"/>
        </w:rPr>
        <w:t>3</w:t>
      </w:r>
      <w:r>
        <w:rPr>
          <w:rFonts w:hint="eastAsia"/>
        </w:rPr>
        <w:t>-</w:t>
      </w:r>
      <w:r>
        <w:rPr>
          <w:rFonts w:hint="eastAsia"/>
          <w:lang w:val="en-US" w:eastAsia="zh-CN"/>
        </w:rPr>
        <w:t>12</w:t>
      </w:r>
      <w:r>
        <w:rPr>
          <w:rFonts w:hint="eastAsia"/>
        </w:rPr>
        <w:t xml:space="preserve"> </w:t>
      </w:r>
      <w:r>
        <w:rPr>
          <w:rFonts w:hint="eastAsia"/>
          <w:lang w:val="en-US" w:eastAsia="zh-CN"/>
        </w:rPr>
        <w:t>模型部署界面</w:t>
      </w:r>
    </w:p>
    <w:p w14:paraId="0954D4FE">
      <w:pPr>
        <w:pStyle w:val="4"/>
      </w:pPr>
      <w:bookmarkStart w:id="78" w:name="_Toc5766"/>
      <w:r>
        <w:t>3.3.</w:t>
      </w:r>
      <w:r>
        <w:rPr>
          <w:rFonts w:hint="eastAsia"/>
        </w:rPr>
        <w:t>2</w:t>
      </w:r>
      <w:r>
        <w:t xml:space="preserve">  模型</w:t>
      </w:r>
      <w:r>
        <w:rPr>
          <w:rFonts w:hint="eastAsia"/>
        </w:rPr>
        <w:t>训推可视化监控</w:t>
      </w:r>
      <w:bookmarkEnd w:id="78"/>
    </w:p>
    <w:p w14:paraId="167BBF36">
      <w:pPr>
        <w:ind w:firstLine="480"/>
      </w:pPr>
      <w:r>
        <w:rPr>
          <w:rFonts w:hint="eastAsia"/>
        </w:rPr>
        <w:t>在完成模型开发与资产管理之后，平台进一步构建模型训推可视化监控能力，通过可视化手段将原本分散在后台的训练状态、资源状态与服务状态纳入可持续监测范围，从而支撑高安全场景下的可信推理要求。</w:t>
      </w:r>
    </w:p>
    <w:p w14:paraId="2463312B">
      <w:pPr>
        <w:bidi w:val="0"/>
      </w:pPr>
      <w:r>
        <w:rPr>
          <w:rFonts w:hint="eastAsia"/>
        </w:rPr>
        <w:t>在训练侧，平台围绕训练任务建立全过程监测机制，对训练进度、评估指标和资源占用情况进行可视化展示。如图3-13所示，系统能够对训练轮次、执行进度、损失变化、评估结果以及 GPU、CPU、显存和内存占用等关键指标进行统一呈现，使模型训练过程从“黑盒执行”转变为“可观测执行”。当训练过程中出现指标异常波动、资源占用异常或任务中断等情况时，平台能够及时暴露异常状态，便于用户定位问题并进行调整。对于电力场景下需要持续优化和迭代的模型而言，这种训练过程可视化不仅提高了开发效率，也增强了训练过程的透明性和可控性</w:t>
      </w:r>
      <w:r>
        <w:t>。</w:t>
      </w:r>
    </w:p>
    <w:p w14:paraId="69E9C5B1">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6690" cy="2528570"/>
            <wp:effectExtent l="0" t="0" r="6350" b="1270"/>
            <wp:docPr id="37" name="图片 37" descr="fig3-训推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ig3-训推可视化"/>
                    <pic:cNvPicPr>
                      <a:picLocks noChangeAspect="1"/>
                    </pic:cNvPicPr>
                  </pic:nvPicPr>
                  <pic:blipFill>
                    <a:blip r:embed="rId57"/>
                    <a:stretch>
                      <a:fillRect/>
                    </a:stretch>
                  </pic:blipFill>
                  <pic:spPr>
                    <a:xfrm>
                      <a:off x="0" y="0"/>
                      <a:ext cx="5266690" cy="2528570"/>
                    </a:xfrm>
                    <a:prstGeom prst="rect">
                      <a:avLst/>
                    </a:prstGeom>
                  </pic:spPr>
                </pic:pic>
              </a:graphicData>
            </a:graphic>
          </wp:inline>
        </w:drawing>
      </w:r>
    </w:p>
    <w:p w14:paraId="19B914F1">
      <w:pPr>
        <w:pStyle w:val="92"/>
        <w:rPr>
          <w:rFonts w:hint="eastAsia" w:eastAsia="宋体"/>
          <w:lang w:eastAsia="zh-CN"/>
        </w:rPr>
      </w:pPr>
      <w:r>
        <w:rPr>
          <w:rFonts w:hint="eastAsia"/>
        </w:rPr>
        <w:t>图</w:t>
      </w:r>
      <w:r>
        <w:rPr>
          <w:rFonts w:hint="eastAsia"/>
          <w:lang w:val="en-US" w:eastAsia="zh-CN"/>
        </w:rPr>
        <w:t>3</w:t>
      </w:r>
      <w:r>
        <w:rPr>
          <w:rFonts w:hint="eastAsia"/>
        </w:rPr>
        <w:t>-</w:t>
      </w:r>
      <w:r>
        <w:rPr>
          <w:rFonts w:hint="eastAsia"/>
          <w:lang w:val="en-US" w:eastAsia="zh-CN"/>
        </w:rPr>
        <w:t>13</w:t>
      </w:r>
      <w:r>
        <w:rPr>
          <w:rFonts w:hint="eastAsia"/>
        </w:rPr>
        <w:t xml:space="preserve"> </w:t>
      </w:r>
      <w:r>
        <w:rPr>
          <w:rFonts w:hint="eastAsia"/>
          <w:lang w:val="en-US" w:eastAsia="zh-CN"/>
        </w:rPr>
        <w:t>模型训练过程监控界面</w:t>
      </w:r>
    </w:p>
    <w:p w14:paraId="60F9D2CB">
      <w:pPr>
        <w:ind w:firstLine="480"/>
      </w:pPr>
      <w:r>
        <w:rPr>
          <w:rFonts w:hint="eastAsia"/>
        </w:rPr>
        <w:t>在推理侧，平台将部署后的模型服务纳入统一监测对象，对服务运行状态、调用情况和资源消耗进行持续跟踪。结合部署服务界面，系统能够展示服务是否成功部署、服务地址是否可用以及服务当前运行状态，并支持对服务进行检索和管理。在实际运行过程中，平台还可进一步采集推理请求次数、响应时延、吞吐能力和资源占用等信息，以形成在线推理过程的动态画像。这样，平台不仅能够知道“模型是否已经上线”，还能够进一步掌握“模型服务运行是否稳定、调用是否正常、资源是否异常”</w:t>
      </w:r>
      <w:r>
        <w:t>。</w:t>
      </w:r>
    </w:p>
    <w:p w14:paraId="25EA6B3D">
      <w:pPr>
        <w:ind w:firstLine="480"/>
      </w:pPr>
      <w:r>
        <w:rPr>
          <w:rFonts w:hint="eastAsia"/>
        </w:rPr>
        <w:t>模型训推过程的可视化并非单纯用于运行监测和资源管理，而是服务于可信推理与安全保障。通过对训练任务、模型版本、部署服务和推理状态进行统一映射，平台能够在训练侧发现数据异常、训练异常和资源异常，在推理侧发现推理异常、服务异常和调用异常，从而为后续安全防护与靶场演练提供观测基础。特别是在电力调度等高安全业务场景中，模型输出不仅要求具备结果正确性，还要求具备过程可观测、状态可解释和行为可追踪的特征。训推可视化监控正是实现这一要求的重要支撑。</w:t>
      </w:r>
    </w:p>
    <w:p w14:paraId="2D20BA62">
      <w:pPr>
        <w:pStyle w:val="3"/>
        <w:spacing w:before="163" w:after="163"/>
      </w:pPr>
      <w:bookmarkStart w:id="79" w:name="_Toc13128"/>
      <w:r>
        <w:t>3.4  电力调度RAG应用系统</w:t>
      </w:r>
      <w:bookmarkEnd w:id="79"/>
    </w:p>
    <w:p w14:paraId="5B9B166B">
      <w:pPr>
        <w:ind w:firstLine="480"/>
      </w:pPr>
      <w:r>
        <w:rPr>
          <w:rFonts w:hint="eastAsia"/>
        </w:rPr>
        <w:t>在科技成为第一生产力的知识经济时代，知识能力已成为激发新质生产力、企业竞争力的核心因素。本节</w:t>
      </w:r>
      <w:r>
        <w:rPr>
          <w:rFonts w:hint="eastAsia"/>
          <w:lang w:val="en-US" w:eastAsia="zh-CN"/>
        </w:rPr>
        <w:t>在众多可能的业务应用中，对</w:t>
      </w:r>
      <w:r>
        <w:rPr>
          <w:rFonts w:hint="eastAsia"/>
        </w:rPr>
        <w:t>电力调度决策</w:t>
      </w:r>
      <w:r>
        <w:rPr>
          <w:rFonts w:hint="eastAsia"/>
          <w:lang w:val="en-US" w:eastAsia="zh-CN"/>
        </w:rPr>
        <w:t>场景</w:t>
      </w:r>
      <w:r>
        <w:rPr>
          <w:rFonts w:hint="eastAsia"/>
        </w:rPr>
        <w:t>的RAG应用这一典型</w:t>
      </w:r>
      <w:r>
        <w:rPr>
          <w:rFonts w:hint="eastAsia"/>
          <w:lang w:val="en-US" w:eastAsia="zh-CN"/>
        </w:rPr>
        <w:t>业务进行设计与实现</w:t>
      </w:r>
      <w:r>
        <w:rPr>
          <w:rFonts w:hint="eastAsia"/>
          <w:lang w:eastAsia="zh-CN"/>
        </w:rPr>
        <w:t>。</w:t>
      </w:r>
      <w:r>
        <w:rPr>
          <w:rFonts w:hint="eastAsia"/>
          <w:lang w:val="en-US" w:eastAsia="zh-CN"/>
        </w:rPr>
        <w:t>该应用</w:t>
      </w:r>
      <w:r>
        <w:rPr>
          <w:rFonts w:hint="eastAsia"/>
        </w:rPr>
        <w:t>以大模型为决策生成核心、以领域知识库为外部支撑材料来源，通过检索增强生成机制将规程标准、历史案例与专家知识引入，辅助完成面向具体运行态势的调度决策与指令生成，为调度人员提供知识支撑与决策辅助。</w:t>
      </w:r>
    </w:p>
    <w:p w14:paraId="67B7F863">
      <w:pPr>
        <w:pStyle w:val="4"/>
      </w:pPr>
      <w:bookmarkStart w:id="80" w:name="_Toc28838"/>
      <w:r>
        <w:t xml:space="preserve">3.4.1  </w:t>
      </w:r>
      <w:r>
        <w:rPr>
          <w:rFonts w:hint="eastAsia"/>
        </w:rPr>
        <w:t>典型业务流程</w:t>
      </w:r>
      <w:bookmarkEnd w:id="80"/>
    </w:p>
    <w:p w14:paraId="3D65285D">
      <w:pPr>
        <w:keepNext w:val="0"/>
        <w:keepLines w:val="0"/>
        <w:pageBreakBefore w:val="0"/>
        <w:widowControl w:val="0"/>
        <w:kinsoku/>
        <w:wordWrap/>
        <w:overflowPunct/>
        <w:topLinePunct w:val="0"/>
        <w:autoSpaceDE/>
        <w:autoSpaceDN/>
        <w:bidi w:val="0"/>
        <w:adjustRightInd/>
        <w:snapToGrid/>
        <w:textAlignment w:val="auto"/>
        <w:rPr>
          <w:rFonts w:hint="default" w:eastAsia="宋体"/>
          <w:lang w:val="en-US" w:eastAsia="zh-CN"/>
        </w:rPr>
      </w:pPr>
      <w:r>
        <w:rPr>
          <w:rFonts w:hint="eastAsia"/>
        </w:rPr>
        <w:t>基于前述的</w:t>
      </w:r>
      <w:r>
        <w:rPr>
          <w:rFonts w:hint="eastAsia"/>
          <w:lang w:val="en-US" w:eastAsia="zh-CN"/>
        </w:rPr>
        <w:t>数据治理</w:t>
      </w:r>
      <w:r>
        <w:rPr>
          <w:rFonts w:hint="eastAsia"/>
        </w:rPr>
        <w:t>能力</w:t>
      </w:r>
      <w:r>
        <w:rPr>
          <w:rFonts w:hint="eastAsia"/>
          <w:lang w:val="en-US" w:eastAsia="zh-CN"/>
        </w:rPr>
        <w:t>与模型服务能力</w:t>
      </w:r>
      <w:r>
        <w:rPr>
          <w:rFonts w:hint="eastAsia"/>
        </w:rPr>
        <w:t>，</w:t>
      </w:r>
      <w:r>
        <w:rPr>
          <w:rFonts w:hint="eastAsia"/>
          <w:lang w:val="en-US" w:eastAsia="zh-CN"/>
        </w:rPr>
        <w:t>本节以“电力调度决策”作为典型RAG应用进行开发与分析。该应用首先对电力规程、操作规范、故障案例等文档进行多源采集与清洗处理，然后切块并向量化处理后存入向量数据库。在用户发起调度问题后，系统依据问题语义从知识库中检索相关证据片段，将检索结果与用户问题共同输入大语言模型生成回答。</w:t>
      </w:r>
    </w:p>
    <w:p w14:paraId="4E5DF72D">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rPr>
        <w:t>在该流程中，知识库管理是整个业务应用的起点。</w:t>
      </w:r>
      <w:r>
        <w:rPr>
          <w:rFonts w:hint="eastAsia"/>
          <w:lang w:val="en-US" w:eastAsia="zh-CN"/>
        </w:rPr>
        <w:t>如图3-14所示，平台在知识库管理页面中对知识库对象进行统一维护，展示当前知识库的名称、文档数、总字数、创建时间以及具体文档列表等信息，并提供“上传”和“采集”等功能入口。上传功能主要用于将规程文档、作业指导书、运维手册和历史案例等本地资料导入知识库；采集功能沿用数据管理模块开发，可从外部网页或业务来源中抓取文本信息并纳入知识管理流程。</w:t>
      </w:r>
    </w:p>
    <w:p w14:paraId="5DB30409">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文档进入知识库后，平台进一步进行预处理和分块组织。首先基于数据管理中清洗功能对文档进行解析与清洗，减少无关信息对后续检索效果的干扰；然后后进行文本分块，平台支持滑动窗口、递归分割和语义分割等多种语段切割策略，并允许配置语段大小、重叠大小和分隔符等参数。切块完成后，系统进一步调用嵌入模型对各知识片段进行向量化编码，并将向量结果与文档来源、时间、Chunk编号等元数据一并写入向量索引和业务数据库中，从而形成可检索、可追溯的知识底座。</w:t>
      </w:r>
    </w:p>
    <w:p w14:paraId="6A142A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rPr>
          <w:rFonts w:hint="eastAsia"/>
          <w:lang w:val="en-US" w:eastAsia="zh-CN"/>
        </w:rPr>
        <w:drawing>
          <wp:inline distT="0" distB="0" distL="114300" distR="114300">
            <wp:extent cx="5263515" cy="2520315"/>
            <wp:effectExtent l="0" t="0" r="9525" b="9525"/>
            <wp:docPr id="38" name="图片 38" descr="fig3-切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ig3-切割"/>
                    <pic:cNvPicPr>
                      <a:picLocks noChangeAspect="1"/>
                    </pic:cNvPicPr>
                  </pic:nvPicPr>
                  <pic:blipFill>
                    <a:blip r:embed="rId58"/>
                    <a:stretch>
                      <a:fillRect/>
                    </a:stretch>
                  </pic:blipFill>
                  <pic:spPr>
                    <a:xfrm>
                      <a:off x="0" y="0"/>
                      <a:ext cx="5263515" cy="2520315"/>
                    </a:xfrm>
                    <a:prstGeom prst="rect">
                      <a:avLst/>
                    </a:prstGeom>
                  </pic:spPr>
                </pic:pic>
              </a:graphicData>
            </a:graphic>
          </wp:inline>
        </w:drawing>
      </w:r>
    </w:p>
    <w:p w14:paraId="7B863EC0">
      <w:pPr>
        <w:pStyle w:val="92"/>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14</w:t>
      </w:r>
      <w:r>
        <w:rPr>
          <w:rFonts w:hint="eastAsia"/>
        </w:rPr>
        <w:t xml:space="preserve"> </w:t>
      </w:r>
      <w:r>
        <w:rPr>
          <w:rFonts w:hint="eastAsia"/>
          <w:lang w:val="en-US" w:eastAsia="zh-CN"/>
        </w:rPr>
        <w:t>知识库管理界面</w:t>
      </w:r>
    </w:p>
    <w:p w14:paraId="0E0DF766">
      <w:pPr>
        <w:ind w:firstLine="480"/>
        <w:rPr>
          <w:rFonts w:hint="eastAsia"/>
        </w:rPr>
      </w:pPr>
      <w:r>
        <w:rPr>
          <w:rFonts w:hint="eastAsia"/>
        </w:rPr>
        <w:t>在完成知识入库后，平台进一步基于知识库构建调度助手，实现面向业务问题的检索增强生成对话。如图3-1</w:t>
      </w:r>
      <w:r>
        <w:rPr>
          <w:rFonts w:hint="eastAsia"/>
          <w:lang w:val="en-US" w:eastAsia="zh-CN"/>
        </w:rPr>
        <w:t>5</w:t>
      </w:r>
      <w:r>
        <w:rPr>
          <w:rFonts w:hint="eastAsia"/>
        </w:rPr>
        <w:t>所示，调度员首先</w:t>
      </w:r>
      <w:r>
        <w:t>输入当前运行态势与调度目标</w:t>
      </w:r>
      <w:r>
        <w:rPr>
          <w:rFonts w:hint="eastAsia"/>
          <w:lang w:eastAsia="zh-CN"/>
        </w:rPr>
        <w:t>，</w:t>
      </w:r>
      <w:r>
        <w:t>系统先对输入进行</w:t>
      </w:r>
      <w:r>
        <w:rPr>
          <w:rFonts w:hint="eastAsia"/>
          <w:lang w:val="en-US" w:eastAsia="zh-CN"/>
        </w:rPr>
        <w:t>向量化表示</w:t>
      </w:r>
      <w:r>
        <w:t>，</w:t>
      </w:r>
      <w:r>
        <w:rPr>
          <w:rFonts w:hint="eastAsia"/>
          <w:lang w:val="en-US" w:eastAsia="zh-CN"/>
        </w:rPr>
        <w:t>然后完成语义改写</w:t>
      </w:r>
      <w:r>
        <w:t>，使query同时包含</w:t>
      </w:r>
      <w:r>
        <w:rPr>
          <w:rFonts w:hint="eastAsia"/>
          <w:lang w:eastAsia="zh-CN"/>
        </w:rPr>
        <w:t>“</w:t>
      </w:r>
      <w:r>
        <w:t>当前状态 + 调度目标 + 输出要求</w:t>
      </w:r>
      <w:r>
        <w:rPr>
          <w:rFonts w:hint="eastAsia"/>
          <w:lang w:eastAsia="zh-CN"/>
        </w:rPr>
        <w:t>”，</w:t>
      </w:r>
      <w:r>
        <w:t>并将其填入</w:t>
      </w:r>
      <w:r>
        <w:rPr>
          <w:rFonts w:hint="eastAsia"/>
        </w:rPr>
        <w:t>系统提示词</w:t>
      </w:r>
      <w:r>
        <w:t>模板。</w:t>
      </w:r>
      <w:r>
        <w:rPr>
          <w:rFonts w:hint="eastAsia"/>
        </w:rPr>
        <w:t>在已连接的知识库中</w:t>
      </w:r>
      <w:r>
        <w:rPr>
          <w:rFonts w:hint="eastAsia"/>
          <w:lang w:val="en-US" w:eastAsia="zh-CN"/>
        </w:rPr>
        <w:t>基于语义相似度</w:t>
      </w:r>
      <w:r>
        <w:rPr>
          <w:rFonts w:hint="eastAsia"/>
        </w:rPr>
        <w:t>检索相关知识片段，并将召回证据与用户问题共同组织为</w:t>
      </w:r>
      <w:r>
        <w:rPr>
          <w:rFonts w:hint="eastAsia"/>
          <w:lang w:val="en-US" w:eastAsia="zh-CN"/>
        </w:rPr>
        <w:t>系统</w:t>
      </w:r>
      <w:r>
        <w:rPr>
          <w:rFonts w:hint="eastAsia"/>
        </w:rPr>
        <w:t>提示</w:t>
      </w:r>
      <w:r>
        <w:rPr>
          <w:rFonts w:hint="eastAsia"/>
          <w:lang w:val="en-US" w:eastAsia="zh-CN"/>
        </w:rPr>
        <w:t>词</w:t>
      </w:r>
      <w:r>
        <w:rPr>
          <w:rFonts w:hint="eastAsia"/>
        </w:rPr>
        <w:t>输入大语言模型，最终生成面向业务场景的回答结果。</w:t>
      </w:r>
      <w:r>
        <w:rPr>
          <w:rFonts w:hint="eastAsia"/>
          <w:lang w:val="en-US" w:eastAsia="zh-CN"/>
        </w:rPr>
        <w:t>系统</w:t>
      </w:r>
      <w:r>
        <w:t>提示模板的典型格式为：</w:t>
      </w:r>
      <w:r>
        <w:rPr>
          <w:rFonts w:hint="eastAsia"/>
          <w:lang w:eastAsia="zh-CN"/>
        </w:rPr>
        <w:t>“</w:t>
      </w:r>
      <w:r>
        <w:t>根据以下参考文档回答问题。参考文档：[文档1][文档2]</w:t>
      </w:r>
      <w:r>
        <w:rPr>
          <w:rFonts w:hint="eastAsia"/>
          <w:lang w:val="en-US" w:eastAsia="zh-CN"/>
        </w:rPr>
        <w:t>……</w:t>
      </w:r>
      <w:r>
        <w:t>问题：[用户查询]</w:t>
      </w:r>
      <w:r>
        <w:rPr>
          <w:rFonts w:hint="eastAsia"/>
          <w:lang w:eastAsia="zh-CN"/>
        </w:rPr>
        <w:t>”</w:t>
      </w:r>
      <w:r>
        <w:t>。</w:t>
      </w:r>
    </w:p>
    <w:p w14:paraId="718904FE">
      <w:pPr>
        <w:ind w:left="0" w:leftChars="0" w:firstLine="0" w:firstLineChars="0"/>
        <w:rPr>
          <w:rFonts w:hint="eastAsia" w:eastAsia="宋体"/>
          <w:lang w:eastAsia="zh-CN"/>
        </w:rPr>
      </w:pPr>
      <w:r>
        <w:rPr>
          <w:rFonts w:hint="eastAsia"/>
          <w:lang w:eastAsia="zh-CN"/>
        </w:rPr>
        <w:t>【</w:t>
      </w:r>
      <w:r>
        <w:rPr>
          <w:rFonts w:hint="eastAsia"/>
          <w:lang w:val="en-US" w:eastAsia="zh-CN"/>
        </w:rPr>
        <w:t>欠一张问答截图</w:t>
      </w:r>
      <w:r>
        <w:rPr>
          <w:rFonts w:hint="eastAsia"/>
          <w:lang w:eastAsia="zh-CN"/>
        </w:rPr>
        <w:t>】</w:t>
      </w:r>
    </w:p>
    <w:p w14:paraId="3B8B3BEF">
      <w:pPr>
        <w:ind w:firstLine="480"/>
        <w:rPr>
          <w:rFonts w:hint="eastAsia"/>
        </w:rPr>
      </w:pPr>
      <w:r>
        <w:rPr>
          <w:rFonts w:hint="eastAsia"/>
        </w:rPr>
        <w:t>此外，为了保证该业务应用具备可审计性和可复盘性，平台还对问答决策过程进行了日志化管理。如图3-1</w:t>
      </w:r>
      <w:r>
        <w:rPr>
          <w:rFonts w:hint="eastAsia"/>
          <w:lang w:val="en-US" w:eastAsia="zh-CN"/>
        </w:rPr>
        <w:t>6</w:t>
      </w:r>
      <w:r>
        <w:rPr>
          <w:rFonts w:hint="eastAsia"/>
        </w:rPr>
        <w:t>所示，决策审计日志页面记录了问题内容、回答摘要、引用数、用户、耗时、时间以及详情查看等信息，并支持检索、导出等操作。该功能的作用不仅是保留历史问答记录，更重要的是将一次RAG对话中涉及的问题输入、证据引用和生成结果进行统一关联，为后续的问题复查、效果评估、异常追踪和责任定位提供依据。</w:t>
      </w:r>
    </w:p>
    <w:p w14:paraId="36F0C3CA">
      <w:pPr>
        <w:ind w:left="0" w:leftChars="0" w:firstLine="0" w:firstLineChars="0"/>
        <w:rPr>
          <w:rFonts w:hint="eastAsia" w:eastAsia="宋体"/>
          <w:lang w:eastAsia="zh-CN"/>
        </w:rPr>
      </w:pPr>
      <w:r>
        <w:rPr>
          <w:rFonts w:hint="eastAsia"/>
          <w:lang w:eastAsia="zh-CN"/>
        </w:rPr>
        <w:t>【</w:t>
      </w:r>
      <w:r>
        <w:rPr>
          <w:rFonts w:hint="eastAsia"/>
          <w:lang w:val="en-US" w:eastAsia="zh-CN"/>
        </w:rPr>
        <w:t>欠一张决策日志截图，要电力调度的问答</w:t>
      </w:r>
      <w:r>
        <w:rPr>
          <w:rFonts w:hint="eastAsia"/>
          <w:lang w:eastAsia="zh-CN"/>
        </w:rPr>
        <w:t>】</w:t>
      </w:r>
    </w:p>
    <w:p w14:paraId="67870AFA">
      <w:pPr>
        <w:pStyle w:val="4"/>
      </w:pPr>
      <w:bookmarkStart w:id="81" w:name="_Toc10189"/>
      <w:r>
        <w:t xml:space="preserve">3.4.2  </w:t>
      </w:r>
      <w:r>
        <w:rPr>
          <w:rFonts w:hint="eastAsia"/>
        </w:rPr>
        <w:t>安全隐患</w:t>
      </w:r>
      <w:bookmarkEnd w:id="81"/>
    </w:p>
    <w:p w14:paraId="42BCF9C7">
      <w:pPr>
        <w:keepNext w:val="0"/>
        <w:keepLines w:val="0"/>
        <w:pageBreakBefore w:val="0"/>
        <w:widowControl w:val="0"/>
        <w:kinsoku/>
        <w:wordWrap/>
        <w:overflowPunct/>
        <w:topLinePunct w:val="0"/>
        <w:autoSpaceDE/>
        <w:autoSpaceDN/>
        <w:bidi w:val="0"/>
        <w:adjustRightInd/>
        <w:snapToGrid/>
        <w:ind w:firstLine="480"/>
        <w:textAlignment w:val="auto"/>
        <w:rPr>
          <w:rFonts w:hint="default" w:eastAsia="宋体"/>
          <w:lang w:val="en-US" w:eastAsia="zh-CN"/>
        </w:rPr>
      </w:pPr>
      <w:r>
        <w:rPr>
          <w:rFonts w:hint="eastAsia"/>
        </w:rPr>
        <w:t>与传统仅依赖参数模型的问答方式不同，RAG系统的回答质量高度依赖外部知识的来源质量、检索召回结果以及模型对证据的采信方式</w:t>
      </w:r>
      <w:r>
        <w:rPr>
          <w:rFonts w:hint="eastAsia"/>
          <w:lang w:eastAsia="zh-CN"/>
        </w:rPr>
        <w:t>，</w:t>
      </w:r>
      <w:r>
        <w:rPr>
          <w:rFonts w:hint="eastAsia"/>
          <w:lang w:val="en-US" w:eastAsia="zh-CN"/>
        </w:rPr>
        <w:t>其高度依赖数据、决策不可解释的特点对电力系统的安全构成了新的威胁</w:t>
      </w:r>
      <w:r>
        <w:rPr>
          <w:rFonts w:hint="eastAsia"/>
        </w:rPr>
        <w:t>。</w:t>
      </w:r>
    </w:p>
    <w:p w14:paraId="14167472">
      <w:pPr>
        <w:ind w:firstLine="480"/>
        <w:rPr>
          <w:rFonts w:hint="eastAsia"/>
          <w:lang w:val="en-US" w:eastAsia="zh-CN"/>
        </w:rPr>
      </w:pPr>
      <w:r>
        <w:rPr>
          <w:rFonts w:hint="eastAsia"/>
          <w:lang w:val="en-US" w:eastAsia="zh-CN"/>
        </w:rPr>
        <w:t>安全风险的</w:t>
      </w:r>
      <w:r>
        <w:rPr>
          <w:rFonts w:hint="eastAsia"/>
        </w:rPr>
        <w:t>起点来自知识接入与入库阶段。</w:t>
      </w:r>
      <w:r>
        <w:rPr>
          <w:rFonts w:hint="eastAsia"/>
          <w:lang w:val="en-US" w:eastAsia="zh-CN"/>
        </w:rPr>
        <w:t>知识库具有开放接入与动态更新的特征，而面对网络采集的海量多源异构数据，无论是数据清洗还是人工审核，通常仅能完成简单的、明显的恶意内容过滤，难以对具体的描述是否可信正确进行详细判断。攻击者借此漏洞，将伪装后的错误信息混入正常知识资料，在网络上发布海量、丰富的知识内容，在知识库更新时混入其中。</w:t>
      </w:r>
    </w:p>
    <w:p w14:paraId="1FBED12D">
      <w:pPr>
        <w:ind w:firstLine="480"/>
        <w:rPr>
          <w:rFonts w:hint="default"/>
          <w:lang w:val="en-US" w:eastAsia="zh-CN"/>
        </w:rPr>
      </w:pPr>
      <w:r>
        <w:rPr>
          <w:rFonts w:hint="default"/>
          <w:lang w:val="en-US" w:eastAsia="zh-CN"/>
        </w:rPr>
        <w:t>其次，风险会在检索阶段进一步放大。RAG系统通常依据语义相似度从知识库中召回Top-</w:t>
      </w:r>
      <w:r>
        <w:rPr>
          <w:rFonts w:hint="eastAsia"/>
          <w:lang w:val="en-US" w:eastAsia="zh-CN"/>
        </w:rPr>
        <w:t>K</w:t>
      </w:r>
      <w:r>
        <w:rPr>
          <w:rFonts w:hint="default"/>
          <w:lang w:val="en-US" w:eastAsia="zh-CN"/>
        </w:rPr>
        <w:t>证据片段，但</w:t>
      </w:r>
      <w:r>
        <w:rPr>
          <w:rFonts w:hint="eastAsia"/>
          <w:lang w:val="en-US" w:eastAsia="zh-CN"/>
        </w:rPr>
        <w:t>“高相似”</w:t>
      </w:r>
      <w:r>
        <w:rPr>
          <w:rFonts w:hint="default"/>
          <w:lang w:val="en-US" w:eastAsia="zh-CN"/>
        </w:rPr>
        <w:t>并不等同于</w:t>
      </w:r>
      <w:r>
        <w:rPr>
          <w:rFonts w:hint="eastAsia"/>
          <w:lang w:val="en-US" w:eastAsia="zh-CN"/>
        </w:rPr>
        <w:t>“高可信”</w:t>
      </w:r>
      <w:r>
        <w:rPr>
          <w:rFonts w:hint="default"/>
          <w:lang w:val="en-US" w:eastAsia="zh-CN"/>
        </w:rPr>
        <w:t>。经过精心构造的毒化文本可能在术语表达、句式风格和问题匹配度上与目标查询高度接近，因此更容易在检索阶段获得较高排名。一旦这些异常片段进入候选证据集合，系统就可能把它们作为支撑材料输入生成模型</w:t>
      </w:r>
      <w:r>
        <w:rPr>
          <w:rFonts w:hint="eastAsia"/>
          <w:lang w:val="en-US" w:eastAsia="zh-CN"/>
        </w:rPr>
        <w:t>，输出错误调度决策，对电力系统造成较</w:t>
      </w:r>
      <w:r>
        <w:rPr>
          <w:rFonts w:hint="default"/>
          <w:lang w:val="en-US" w:eastAsia="zh-CN"/>
        </w:rPr>
        <w:t>强的现实危害性。</w:t>
      </w:r>
    </w:p>
    <w:p w14:paraId="2C49562F">
      <w:pPr>
        <w:ind w:firstLine="480"/>
        <w:rPr>
          <w:rFonts w:hint="default"/>
          <w:lang w:val="en-US" w:eastAsia="zh-CN"/>
        </w:rPr>
      </w:pPr>
      <w:r>
        <w:rPr>
          <w:rFonts w:hint="eastAsia"/>
          <w:lang w:val="en-US" w:eastAsia="zh-CN"/>
        </w:rPr>
        <w:t>因此，</w:t>
      </w:r>
      <w:r>
        <w:rPr>
          <w:rFonts w:hint="default"/>
          <w:lang w:val="en-US" w:eastAsia="zh-CN"/>
        </w:rPr>
        <w:t>本文后续研究将围绕本节所构建的电力调度RAG应用展开。</w:t>
      </w:r>
      <w:r>
        <w:rPr>
          <w:rFonts w:hint="eastAsia"/>
          <w:lang w:val="en-US" w:eastAsia="zh-CN"/>
        </w:rPr>
        <w:t>第四章</w:t>
      </w:r>
      <w:r>
        <w:rPr>
          <w:rFonts w:hint="default"/>
          <w:lang w:val="en-US" w:eastAsia="zh-CN"/>
        </w:rPr>
        <w:t>重点研究攻击者如何在黑盒条件下向知识库注入具有较高检索命中率和语义隐蔽性的毒化文档，从而影响调度助手的证据召回与生成结果；第五章则进一步面向该业务链路中的关键薄弱环节，研究如何通过检索护栏、输入护栏与输出护栏的协同设计，对污染证据进行识别、过滤与抑制，以提升系统在保持正常问答能力前提下的整体安全性。</w:t>
      </w:r>
    </w:p>
    <w:p w14:paraId="66C722C7">
      <w:pPr>
        <w:pStyle w:val="3"/>
        <w:spacing w:before="163" w:after="163"/>
      </w:pPr>
      <w:bookmarkStart w:id="82" w:name="_Toc30212"/>
      <w:r>
        <w:t>3.5  本章小结</w:t>
      </w:r>
      <w:bookmarkEnd w:id="82"/>
    </w:p>
    <w:p w14:paraId="008E242F">
      <w:pPr>
        <w:ind w:firstLine="480"/>
        <w:rPr>
          <w:rFonts w:hint="eastAsia"/>
        </w:rPr>
      </w:pPr>
      <w:r>
        <w:rPr>
          <w:rFonts w:hint="eastAsia"/>
        </w:rPr>
        <w:t>本章围绕电力场景可信训推与RAG安全研究需求，完成了基于数字孪生的AI模型训推一体可视平台设计与实现。首先，从架构、功能与孪生机制三个层面完成总体设计；其次，分别实现了数据管理、模型管理与RAG调度决策三大核心模块，形成了从数据治理、模型训推到业务应用的贯通链路。其中，数字孪生贯穿平台全过程，为状态感知、过程追踪、可信推理与安全观测提供支撑。</w:t>
      </w:r>
      <w:r>
        <w:rPr>
          <w:rFonts w:hint="eastAsia"/>
          <w:lang w:val="en-US" w:eastAsia="zh-CN"/>
        </w:rPr>
        <w:t>最后</w:t>
      </w:r>
      <w:r>
        <w:rPr>
          <w:rFonts w:hint="eastAsia"/>
        </w:rPr>
        <w:t>在业务层面以调度决策为典型场景，落地了调度指令生成与可信推理流程的可视化实现，并进一步明确了知识更新与检索增强链路中的安全隐患与研究对象边界。上述工作为后续知识库投毒攻击方法研究、防御框架设计及安全靶场验证奠定了平台与场景基础。</w:t>
      </w:r>
    </w:p>
    <w:p w14:paraId="6F6FCB16">
      <w:pPr>
        <w:pStyle w:val="2"/>
        <w:bidi w:val="0"/>
        <w:rPr>
          <w:rFonts w:hint="eastAsia"/>
        </w:rPr>
        <w:sectPr>
          <w:headerReference r:id="rId25" w:type="default"/>
          <w:headerReference r:id="rId26" w:type="even"/>
          <w:footnotePr>
            <w:numFmt w:val="decimalEnclosedCircleChinese"/>
            <w:numRestart w:val="eachPage"/>
          </w:footnotePr>
          <w:type w:val="oddPage"/>
          <w:pgSz w:w="11906" w:h="16838"/>
          <w:pgMar w:top="1440" w:right="1797" w:bottom="1440" w:left="1797" w:header="850" w:footer="992" w:gutter="0"/>
          <w:pgNumType w:fmt="decimal"/>
          <w:cols w:space="720" w:num="1"/>
          <w:docGrid w:type="lines" w:linePitch="326" w:charSpace="0"/>
        </w:sectPr>
      </w:pPr>
      <w:bookmarkStart w:id="83" w:name="_Toc7766_WPSOffice_Level1"/>
      <w:bookmarkStart w:id="84" w:name="_Toc10585"/>
      <w:bookmarkStart w:id="85" w:name="_Toc17709"/>
      <w:bookmarkStart w:id="86" w:name="_Toc9243"/>
      <w:bookmarkStart w:id="87" w:name="_Toc18149"/>
      <w:bookmarkStart w:id="88" w:name="_Toc11277"/>
      <w:bookmarkStart w:id="159" w:name="_GoBack"/>
      <w:bookmarkEnd w:id="159"/>
    </w:p>
    <w:p w14:paraId="04F04F5D">
      <w:pPr>
        <w:rPr>
          <w:rFonts w:hint="eastAsia"/>
        </w:rPr>
      </w:pPr>
      <w:r>
        <w:rPr>
          <w:rFonts w:hint="eastAsia"/>
        </w:rPr>
        <w:br w:type="page"/>
      </w:r>
    </w:p>
    <w:p w14:paraId="380791EF">
      <w:pPr>
        <w:pStyle w:val="2"/>
        <w:bidi w:val="0"/>
      </w:pPr>
      <w:r>
        <w:rPr>
          <w:rFonts w:hint="eastAsia"/>
        </w:rPr>
        <w:t xml:space="preserve">第四章  </w:t>
      </w:r>
      <w:bookmarkEnd w:id="83"/>
      <w:bookmarkEnd w:id="84"/>
      <w:bookmarkEnd w:id="85"/>
      <w:bookmarkEnd w:id="86"/>
      <w:bookmarkEnd w:id="87"/>
      <w:r>
        <w:rPr>
          <w:rFonts w:hint="eastAsia"/>
        </w:rPr>
        <w:t>基于遗传算法的RAG系统知识库毒化攻击方法</w:t>
      </w:r>
      <w:bookmarkEnd w:id="88"/>
    </w:p>
    <w:p w14:paraId="677EBD9A">
      <w:pPr>
        <w:snapToGrid w:val="0"/>
        <w:ind w:firstLine="480"/>
        <w:rPr>
          <w:snapToGrid w:val="0"/>
        </w:rPr>
      </w:pPr>
      <w:r>
        <w:rPr>
          <w:rFonts w:hint="eastAsia"/>
          <w:snapToGrid w:val="0"/>
        </w:rPr>
        <w:t>基于RAG的电力调度应用通过“支撑证据+模型生成”的范式提升了知识覆盖面与决策可行性，但同时在“可信推理”层面也引入了新的安全隐患：一旦包含错误信息的毒化语料被召回进入知识库，大模型的决策就可能在“看似有据可依”的包装下诱导输出错误调度建议。在复杂电网环境下，一个异常决策可能引发连锁反应，从而造成整个系统的运行不稳定，进而带来重大事故风险隐患。</w:t>
      </w:r>
    </w:p>
    <w:p w14:paraId="132E7D9C">
      <w:pPr>
        <w:snapToGrid w:val="0"/>
        <w:ind w:firstLine="480"/>
        <w:rPr>
          <w:snapToGrid w:val="0"/>
        </w:rPr>
      </w:pPr>
      <w:r>
        <w:rPr>
          <w:rFonts w:hint="eastAsia"/>
          <w:snapToGrid w:val="0"/>
        </w:rPr>
        <w:t>早期很多研究者将RAG投毒视为后门注入问题，该范式的实用性依赖于对用户查询的篡改。后续研究者通过白盒假设下基于梯度和反馈驱动的攻击提升攻击提升成功率，但严苛的白盒限制并不适用于现实世界中普遍的黑盒RAG环境。因此，本章设计了一种基于双目标遗传算法的RAG知识库毒化攻击方法（Bi-Objective Genetic Algorithm for RAG Poisoning，BOGA-RAGP）：首先构建威胁模型并将攻击目标刻画为“检索命中”与“语义隐蔽性”的双目标优化，然后在基于查询扩展得到凝练语义中心后，通过交叉、变异、评估和种群更新等操作进行有针对性的改进，最终输出用于知识库投毒的对抗文档，并通过一系列严谨的实验设计与验证，检验了所提算法的攻击有效性。</w:t>
      </w:r>
    </w:p>
    <w:p w14:paraId="71B035A5">
      <w:pPr>
        <w:snapToGrid w:val="0"/>
        <w:ind w:firstLine="480"/>
        <w:rPr>
          <w:snapToGrid w:val="0"/>
        </w:rPr>
      </w:pPr>
      <w:r>
        <w:rPr>
          <w:rFonts w:hint="eastAsia"/>
          <w:snapToGrid w:val="0"/>
        </w:rPr>
        <w:t>值得注意的是，本章研究目的旨在深刻揭示分析基于RAG进行调度决策所存在的安全隐患与防御空白，为后续防御体系构建的相关研究提供关键指导。</w:t>
      </w:r>
    </w:p>
    <w:p w14:paraId="25F5409C">
      <w:pPr>
        <w:pStyle w:val="3"/>
        <w:spacing w:before="163" w:after="163"/>
      </w:pPr>
      <w:bookmarkStart w:id="89" w:name="_Toc29909"/>
      <w:r>
        <w:rPr>
          <w:rFonts w:hint="eastAsia"/>
        </w:rPr>
        <w:t>4.1  问题描述</w:t>
      </w:r>
      <w:bookmarkEnd w:id="89"/>
    </w:p>
    <w:p w14:paraId="27E17600">
      <w:pPr>
        <w:snapToGrid w:val="0"/>
        <w:ind w:firstLine="480"/>
        <w:rPr>
          <w:snapToGrid w:val="0"/>
        </w:rPr>
      </w:pPr>
      <w:r>
        <w:rPr>
          <w:rFonts w:hint="eastAsia"/>
        </w:rPr>
        <w:t>RAG作为近年来广泛应用于信息检索和生成任务的技术，在增强决策推理和提高知识覆盖度方面具有显著优势。黑盒RAG知识库投毒攻击是指攻击者通过对知识库中的数据进行篡改（例如通过注入错误或误导性信息），从而影响模型的推理过程，导致错误的输出。不同于白盒攻击，黑盒攻击核心挑战在于攻击者无法获取模型内部权重参数以及推理过程中的梯度信息，仅能通过模型交互分析其响应模式，推测模型的行为规律。此类方法在实际应用场景中通用性强、威胁性大，对基于RAG的核心业务应用的可信运行构成重大挑战。</w:t>
      </w:r>
    </w:p>
    <w:p w14:paraId="76C2D18A">
      <w:pPr>
        <w:pStyle w:val="4"/>
      </w:pPr>
      <w:bookmarkStart w:id="90" w:name="_Toc13055"/>
      <w:r>
        <w:rPr>
          <w:rFonts w:hint="eastAsia"/>
        </w:rPr>
        <w:t>4.1.1  攻击场景</w:t>
      </w:r>
      <w:bookmarkEnd w:id="90"/>
    </w:p>
    <w:p w14:paraId="70C3A58C">
      <w:pPr>
        <w:ind w:firstLine="480"/>
      </w:pPr>
      <w:r>
        <w:rPr>
          <w:rFonts w:hint="eastAsia"/>
        </w:rPr>
        <w:t>本章提出的攻击方法主要面向电力业务场景下进行阐述，如图4-1所示。电力领域RAG系统通常采用端到端管道式架构，包括检索器、生成器和外部知识库三个核心组件。专业人员维护业务应用知识库，定期通过自动化爬取工具从网络公开来源（如）获取电力领域的专业知识、典型案例等，并经初步文本预处理后按相应规则切块，通过嵌入模型转化为向量后，携带相应元数据存入向量数据库。使用者通过交互界面输入查询（例如“变压器过载保护策略”）后，系统调用检索器从知识库中召回Top-k相关文档，并最终指导生成模型生成相应，如具体调度指令及原因。</w:t>
      </w:r>
    </w:p>
    <w:p w14:paraId="1CB2D97B">
      <w:pPr>
        <w:spacing w:line="240" w:lineRule="auto"/>
        <w:ind w:firstLine="0" w:firstLineChars="0"/>
        <w:rPr>
          <w:rFonts w:hint="eastAsia"/>
        </w:rPr>
      </w:pPr>
      <w:r>
        <w:rPr>
          <w:rFonts w:hint="eastAsia"/>
        </w:rPr>
        <w:drawing>
          <wp:inline distT="0" distB="0" distL="114300" distR="114300">
            <wp:extent cx="5240020" cy="2479675"/>
            <wp:effectExtent l="0" t="0" r="2540" b="4445"/>
            <wp:docPr id="16" name="图片 16" descr="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4-1"/>
                    <pic:cNvPicPr>
                      <a:picLocks noChangeAspect="1"/>
                    </pic:cNvPicPr>
                  </pic:nvPicPr>
                  <pic:blipFill>
                    <a:blip r:embed="rId59"/>
                    <a:stretch>
                      <a:fillRect/>
                    </a:stretch>
                  </pic:blipFill>
                  <pic:spPr>
                    <a:xfrm>
                      <a:off x="0" y="0"/>
                      <a:ext cx="5240020" cy="2479675"/>
                    </a:xfrm>
                    <a:prstGeom prst="rect">
                      <a:avLst/>
                    </a:prstGeom>
                  </pic:spPr>
                </pic:pic>
              </a:graphicData>
            </a:graphic>
          </wp:inline>
        </w:drawing>
      </w:r>
    </w:p>
    <w:p w14:paraId="1736084E">
      <w:pPr>
        <w:pStyle w:val="92"/>
        <w:rPr>
          <w:rFonts w:hint="default" w:eastAsia="楷体"/>
          <w:lang w:val="en-US" w:eastAsia="zh-CN"/>
        </w:rPr>
      </w:pPr>
      <w:r>
        <w:rPr>
          <w:rFonts w:hint="eastAsia"/>
        </w:rPr>
        <w:t>图</w:t>
      </w:r>
      <w:r>
        <w:rPr>
          <w:rFonts w:hint="eastAsia"/>
          <w:lang w:val="en-US" w:eastAsia="zh-CN"/>
        </w:rPr>
        <w:t>4</w:t>
      </w:r>
      <w:r>
        <w:rPr>
          <w:rFonts w:hint="eastAsia"/>
        </w:rPr>
        <w:t>-</w:t>
      </w:r>
      <w:r>
        <w:rPr>
          <w:rFonts w:hint="eastAsia"/>
          <w:lang w:val="en-US" w:eastAsia="zh-CN"/>
        </w:rPr>
        <w:t>1</w:t>
      </w:r>
      <w:r>
        <w:rPr>
          <w:rFonts w:hint="eastAsia"/>
        </w:rPr>
        <w:t xml:space="preserve"> </w:t>
      </w:r>
      <w:r>
        <w:rPr>
          <w:rFonts w:hint="eastAsia"/>
          <w:lang w:val="en-US" w:eastAsia="zh-CN"/>
        </w:rPr>
        <w:t>电力场景RAG投毒攻击路径</w:t>
      </w:r>
    </w:p>
    <w:p w14:paraId="144E13A3">
      <w:pPr>
        <w:ind w:firstLine="480"/>
      </w:pPr>
      <w:r>
        <w:rPr>
          <w:rFonts w:hint="eastAsia"/>
        </w:rPr>
        <w:t>这一流程存在多个漏洞可被攻击者利用：首先，网络公开资料的收集通常仅能做简单的检查与清洗，难以进行内容正误的筛选判断——可以导致灾难性后果的错误答案往往以自然流畅的语言表述隐藏在长篇幅文档内容中。进一步，检索阶段对文档的召回依赖于向量相似度的计算，而语义上的相近不意味着该文档所述内容可以正确地指导该查询。一旦毒化文档被召回，生成器可能产生“看似有据可依”的错误输出，并在电力场景中放大风险，如引发电网不稳定。综上，这一机制的根本隐患在于无法确保检索、生成的内容是“可信”的。</w:t>
      </w:r>
    </w:p>
    <w:p w14:paraId="1254006D">
      <w:pPr>
        <w:pStyle w:val="4"/>
      </w:pPr>
      <w:bookmarkStart w:id="91" w:name="_Toc25450"/>
      <w:r>
        <w:rPr>
          <w:rFonts w:hint="eastAsia"/>
        </w:rPr>
        <w:t>4</w:t>
      </w:r>
      <w:r>
        <w:t>.1.</w:t>
      </w:r>
      <w:r>
        <w:rPr>
          <w:rFonts w:hint="eastAsia"/>
        </w:rPr>
        <w:t>2  问题建模</w:t>
      </w:r>
      <w:bookmarkEnd w:id="91"/>
    </w:p>
    <w:p w14:paraId="3BA10F85">
      <w:pPr>
        <w:ind w:firstLine="480"/>
      </w:pPr>
      <w:r>
        <w:rPr>
          <w:rFonts w:hint="eastAsia"/>
        </w:rPr>
        <w:t>为系统性地研究黑盒RAG知识库投毒攻击，本节首先定义攻击者的背景知识、能力假设及攻击目标。</w:t>
      </w:r>
    </w:p>
    <w:p w14:paraId="2CDD2474">
      <w:pPr>
        <w:pStyle w:val="5"/>
        <w:ind w:firstLine="480"/>
      </w:pPr>
      <w:r>
        <w:rPr>
          <w:rFonts w:hint="eastAsia"/>
        </w:rPr>
        <w:t>4.1.2.1  攻击者背景知识</w:t>
      </w:r>
    </w:p>
    <w:p w14:paraId="3ACC4664">
      <w:pPr>
        <w:ind w:firstLine="480"/>
      </w:pPr>
      <w:r>
        <w:rPr>
          <w:rFonts w:hint="eastAsia"/>
        </w:rPr>
        <w:t>在RAG系统中，攻击者通过注入精心设计的恶意文档来操纵系统输出，从而误导最终生成的响应。当知识库从公开来源动态更新时，攻击者可以发布毒文档以被系统索引并检索。</w:t>
      </w:r>
    </w:p>
    <w:p w14:paraId="49B53269">
      <w:pPr>
        <w:ind w:firstLine="480"/>
      </w:pPr>
      <w:r>
        <w:rPr>
          <w:rFonts w:hint="eastAsia"/>
        </w:rPr>
        <w:t>本文考虑严格黑箱场景，攻击者对目标RAG系统部署没有内部可见性，对目标知识库使用检索器</w:t>
      </w:r>
      <m:oMath>
        <m:acc>
          <m:accPr>
            <m:ctrlPr>
              <w:rPr>
                <w:rFonts w:ascii="Cambria Math" w:hAnsi="Cambria Math"/>
              </w:rPr>
            </m:ctrlPr>
          </m:accPr>
          <m:e>
            <m:r>
              <m:rPr>
                <m:sty m:val="p"/>
              </m:rPr>
              <w:rPr>
                <w:rFonts w:ascii="Cambria Math" w:hAnsi="Cambria Math"/>
              </w:rPr>
              <m:t>E</m:t>
            </m:r>
            <m:ctrlPr>
              <w:rPr>
                <w:rFonts w:ascii="Cambria Math" w:hAnsi="Cambria Math"/>
              </w:rPr>
            </m:ctrlPr>
          </m:e>
        </m:acc>
      </m:oMath>
      <w:r>
        <w:rPr>
          <w:rFonts w:hint="eastAsia"/>
        </w:rPr>
        <w:t>、大语言模型</w:t>
      </w:r>
      <m:oMath>
        <m:r>
          <m:rPr/>
          <w:rPr>
            <w:rFonts w:hint="eastAsia" w:ascii="Cambria Math" w:hAnsi="Cambria Math"/>
          </w:rPr>
          <m:t>M</m:t>
        </m:r>
      </m:oMath>
      <w:r>
        <w:rPr>
          <w:rFonts w:hint="eastAsia"/>
        </w:rPr>
        <w:t>、知识库</w:t>
      </w:r>
      <m:oMath>
        <m:r>
          <m:rPr/>
          <w:rPr>
            <w:rFonts w:hint="eastAsia" w:ascii="Cambria Math" w:hAnsi="Cambria Math"/>
          </w:rPr>
          <m:t>D</m:t>
        </m:r>
      </m:oMath>
      <w:r>
        <w:rPr>
          <w:rFonts w:hint="eastAsia"/>
        </w:rPr>
        <w:t>以及系统提示词均未知。此外，攻击者不会预先知道确切的用户问题，仅通过对目标系统的前期调研分析，了解常见用户查询所涉及的主题内容。假设</w:t>
      </w:r>
      <m:oMath>
        <m:r>
          <m:rPr/>
          <w:rPr>
            <w:rFonts w:ascii="Cambria Math" w:hAnsi="Cambria Math"/>
          </w:rPr>
          <m:t>Q</m:t>
        </m:r>
      </m:oMath>
      <w:r>
        <w:rPr>
          <w:rFonts w:hint="eastAsia"/>
        </w:rPr>
        <w:t>是一组攻击者感兴趣的用户查询，</w:t>
      </w:r>
      <m:oMath>
        <m:r>
          <m:rPr/>
          <w:rPr>
            <w:rFonts w:ascii="Cambria Math" w:hAnsi="Cambria Math"/>
          </w:rPr>
          <m:t>Q</m:t>
        </m:r>
      </m:oMath>
      <w:r>
        <w:rPr>
          <w:rFonts w:hint="eastAsia"/>
        </w:rPr>
        <w:t xml:space="preserve"> 可能包含覆盖多样主题的任意查询。</w:t>
      </w:r>
    </w:p>
    <w:p w14:paraId="475BB5F1">
      <w:pPr>
        <w:pStyle w:val="5"/>
        <w:ind w:firstLine="480"/>
      </w:pPr>
      <w:r>
        <w:rPr>
          <w:rFonts w:hint="eastAsia"/>
        </w:rPr>
        <w:t>4.1.2.2  攻击者能力</w:t>
      </w:r>
    </w:p>
    <w:p w14:paraId="245FC98D">
      <w:pPr>
        <w:ind w:firstLine="480"/>
      </w:pPr>
      <w:r>
        <w:rPr>
          <w:rFonts w:hint="eastAsia"/>
        </w:rPr>
        <w:t>根据针对 RAG 系统的攻击的先前研究，本研究关键假设是目标RAG系统会定期从公开来源（如Wikipedia、PubMed或其他网络平台）采集数据，以保持知识的时效性。攻击者唯一的能力是语料库注入，即将一个精心制作的对抗文档</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插入目标知识库</w:t>
      </w:r>
      <m:oMath>
        <m:r>
          <m:rPr/>
          <w:rPr>
            <w:rFonts w:hint="eastAsia" w:ascii="Cambria Math" w:hAnsi="Cambria Math"/>
          </w:rPr>
          <m:t>D</m:t>
        </m:r>
      </m:oMath>
      <w:r>
        <w:rPr>
          <w:rFonts w:hint="eastAsia"/>
        </w:rPr>
        <w:t>，从而产生一个被污染的语料库</w:t>
      </w:r>
      <m:oMath>
        <m:r>
          <m:rPr/>
          <w:rPr>
            <w:rFonts w:hint="eastAsia" w:ascii="Cambria Math" w:hAnsi="Cambria Math"/>
          </w:rPr>
          <m:t>D</m:t>
        </m:r>
        <m:r>
          <m:rPr>
            <m:sty m:val="p"/>
          </m:rPr>
          <w:rPr>
            <w:rFonts w:ascii="Cambria Math" w:hAnsi="Cambria Math"/>
          </w:rPr>
          <m:t>'</m:t>
        </m:r>
        <m:r>
          <m:rPr>
            <m:sty m:val="p"/>
          </m:rPr>
          <w:rPr>
            <w:rFonts w:hint="eastAsia" w:ascii="Cambria Math" w:hAnsi="Cambria Math"/>
          </w:rPr>
          <m:t>=</m:t>
        </m:r>
        <m:r>
          <m:rPr/>
          <w:rPr>
            <w:rFonts w:hint="eastAsia" w:ascii="Cambria Math" w:hAnsi="Cambria Math"/>
          </w:rPr>
          <m:t>D</m:t>
        </m:r>
        <m:r>
          <m:rPr>
            <m:sty m:val="p"/>
          </m:rPr>
          <w:rPr>
            <w:rFonts w:hint="eastAsia" w:ascii="Cambria Math" w:hAnsi="Cambria Math"/>
          </w:rPr>
          <m:t>∪</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w:t>
      </w:r>
    </w:p>
    <w:p w14:paraId="09C3E863">
      <w:pPr>
        <w:ind w:firstLine="480"/>
      </w:pPr>
      <w:r>
        <w:rPr>
          <w:rFonts w:hint="eastAsia"/>
        </w:rPr>
        <w:t>攻击者旨在攻击一个大的查询集</w:t>
      </w:r>
      <m:oMath>
        <m:r>
          <m:rPr/>
          <w:rPr>
            <w:rFonts w:ascii="Cambria Math" w:hAnsi="Cambria Math"/>
          </w:rPr>
          <m:t>Q</m:t>
        </m:r>
      </m:oMath>
      <w:r>
        <w:rPr>
          <w:rFonts w:hint="eastAsia"/>
        </w:rPr>
        <w:t>，包含多个主题。为了构建</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，攻击者仅依赖于辅助对抗文档生成的网络公开良性文档以及业界使用频率最高的组件作为RAG替代模型（包括检索器与大语言模型）。</w:t>
      </w:r>
    </w:p>
    <w:p w14:paraId="3BB6E05A">
      <w:pPr>
        <w:pStyle w:val="5"/>
        <w:ind w:firstLine="480"/>
      </w:pPr>
      <w:r>
        <w:rPr>
          <w:rFonts w:hint="eastAsia"/>
        </w:rPr>
        <w:t>4.1.2.3  攻击者目标</w:t>
      </w:r>
    </w:p>
    <w:p w14:paraId="71C9B3FC">
      <w:pPr>
        <w:ind w:firstLine="480"/>
      </w:pPr>
      <w:r>
        <w:rPr>
          <w:rFonts w:hint="eastAsia"/>
        </w:rPr>
        <w:t>本文所述攻击者追求两个关键目标。一是检索操纵，攻击者制作的中毒文档在目标RAG系统总必须易访问、可检索，确保毒文档在目标查询的top-k结果中出现；二是生成操纵，攻击者确保中毒文档看起来自然且连贯，即使作为来源呈现给用户阅读时，也不会引起对生成响应的怀疑，使得检索到的恶意文档可以干扰答案生成过程。</w:t>
      </w:r>
    </w:p>
    <w:p w14:paraId="620ABBD6">
      <w:pPr>
        <w:ind w:firstLine="480"/>
      </w:pPr>
      <w:r>
        <w:rPr>
          <w:rFonts w:hint="eastAsia"/>
        </w:rPr>
        <w:t>形式化而言，给定知识库</w:t>
      </w:r>
      <m:oMath>
        <m:r>
          <m:rPr/>
          <w:rPr>
            <w:rFonts w:hint="eastAsia" w:ascii="Cambria Math" w:hAnsi="Cambria Math"/>
          </w:rPr>
          <m:t>D</m:t>
        </m:r>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m:t>
        </m:r>
      </m:oMath>
      <w:r>
        <w:rPr>
          <w:rFonts w:hint="eastAsia"/>
        </w:rPr>
        <w:t>和目标种子查询集</w:t>
      </w:r>
      <m:oMath>
        <m:r>
          <m:rPr/>
          <w:rPr>
            <w:rFonts w:ascii="Cambria Math" w:hAnsi="Cambria Math"/>
          </w:rPr>
          <m:t>Q={</m:t>
        </m:r>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，攻击者需构造对抗文档</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并注入至</w:t>
      </w:r>
      <m:oMath>
        <m:r>
          <m:rPr/>
          <w:rPr>
            <w:rFonts w:hint="eastAsia" w:ascii="Cambria Math" w:hAnsi="Cambria Math"/>
          </w:rPr>
          <m:t>D</m:t>
        </m:r>
      </m:oMath>
      <w:r>
        <w:rPr>
          <w:rFonts w:hint="eastAsia"/>
        </w:rPr>
        <w:t>，使得对于</w:t>
      </w:r>
      <m:oMath>
        <m:r>
          <m:rPr/>
          <w:rPr>
            <w:rFonts w:ascii="Cambria Math" w:hAnsi="Cambria Math"/>
          </w:rPr>
          <m:t>Q</m:t>
        </m:r>
      </m:oMath>
      <w:r>
        <w:rPr>
          <w:rFonts w:hint="eastAsia"/>
        </w:rPr>
        <w:t xml:space="preserve">中的查询，检索器优先召回 </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（即</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在Top-k结果中），并诱导生成器输出包含误导信息的响应。</w:t>
      </w:r>
    </w:p>
    <w:p w14:paraId="50D4F328">
      <w:pPr>
        <w:ind w:firstLine="480"/>
      </w:pPr>
      <w:r>
        <w:rPr>
          <w:rFonts w:hint="eastAsia"/>
        </w:rPr>
        <w:t>为提升攻击的泛化性，本文引入了查询扩展和语义中心构建过程。首先，通过对目标种子查询集</w:t>
      </w:r>
      <m:oMath>
        <m:r>
          <m:rPr/>
          <w:rPr>
            <w:rFonts w:ascii="Cambria Math" w:hAnsi="Cambria Math"/>
          </w:rPr>
          <m:t>Q</m:t>
        </m:r>
      </m:oMath>
      <w:r>
        <w:rPr>
          <w:rFonts w:hint="eastAsia"/>
        </w:rPr>
        <w:t>中查询逐一进行扩展，对于每个种子查询</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(j)</m:t>
            </m:r>
            <m:ctrlPr>
              <w:rPr>
                <w:rFonts w:ascii="Cambria Math" w:hAnsi="Cambria Math"/>
              </w:rPr>
            </m:ctrlPr>
          </m:sup>
        </m:sSubSup>
      </m:oMath>
      <w:r>
        <w:rPr>
          <w:rFonts w:hint="eastAsia"/>
        </w:rPr>
        <w:t>，我们使用网络搜索API或知识社区平台检索等方式，额外获取50–100个语义相关查询，构成该主题语义相关的扩展查询簇</w:t>
      </w:r>
      <m:oMath>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hint="eastAsia" w:ascii="Cambria Math" w:hAnsi="Cambria Math"/>
              </w:rPr>
              <m:t>exp</m:t>
            </m:r>
            <m:ctrlPr>
              <w:rPr>
                <w:rFonts w:ascii="Cambria Math" w:hAnsi="Cambria Math"/>
                <w:i/>
              </w:rPr>
            </m:ctrlPr>
          </m:sub>
        </m:sSub>
      </m:oMath>
      <w:r>
        <w:rPr>
          <w:rFonts w:hint="eastAsia"/>
        </w:rPr>
        <w:t>：</w:t>
      </w:r>
    </w:p>
    <w:p w14:paraId="4EB430A1">
      <w:pPr>
        <w:pStyle w:val="86"/>
        <w:ind w:firstLine="480"/>
        <w:rPr>
          <w:rFonts w:hint="eastAsia"/>
          <w:i w:val="0"/>
          <w:lang w:val="en-US" w:eastAsia="zh-CN"/>
        </w:rPr>
      </w:pPr>
      <m:oMathPara>
        <m:oMath>
          <m:eqArr>
            <m:eqArrPr>
              <m:maxDist m:val="1"/>
              <m:ctrlPr>
                <w:rPr>
                  <w:rFonts w:hint="eastAsia"/>
                  <w:i w:val="0"/>
                  <w:lang w:val="en-US" w:eastAsia="zh-CN"/>
                </w:rPr>
              </m:ctrlPr>
            </m:eqArrPr>
            <m:e>
              <m:sSubSup>
                <m:sSubSupPr/>
                <m:e>
                  <m:r>
                    <m:rPr/>
                    <m:t>Q</m:t>
                  </m:r>
                </m:e>
                <m:sub>
                  <m:r>
                    <m:rPr/>
                    <m:t>exp</m:t>
                  </m:r>
                </m:sub>
                <m:sup>
                  <m:r>
                    <m:rPr/>
                    <m:t>(j)</m:t>
                  </m:r>
                </m:sup>
              </m:sSubSup>
              <m:r>
                <m:rPr/>
                <m:t>={</m:t>
              </m:r>
              <m:sSubSup>
                <m:sSubSupPr/>
                <m:e>
                  <m:r>
                    <m:rPr/>
                    <m:t>q</m:t>
                  </m:r>
                </m:e>
                <m:sub>
                  <m:r>
                    <m:rPr/>
                    <m:t>0</m:t>
                  </m:r>
                </m:sub>
                <m:sup>
                  <m:r>
                    <m:rPr/>
                    <m:t>(j)</m:t>
                  </m:r>
                </m:sup>
              </m:sSubSup>
              <m:r>
                <m:rPr/>
                <m:t>,</m:t>
              </m:r>
              <m:sSubSup>
                <m:sSubSupPr/>
                <m:e>
                  <m:r>
                    <m:rPr/>
                    <m:t>q</m:t>
                  </m:r>
                </m:e>
                <m:sub>
                  <m:r>
                    <m:rPr/>
                    <m:t>1</m:t>
                  </m:r>
                </m:sub>
                <m:sup>
                  <m:r>
                    <m:rPr/>
                    <m:t>(j)</m:t>
                  </m:r>
                </m:sup>
              </m:sSubSup>
              <m:r>
                <m:rPr/>
                <m:t>,…,</m:t>
              </m:r>
              <m:sSubSup>
                <m:sSubSupPr/>
                <m:e>
                  <m:r>
                    <m:rPr/>
                    <m:t>q</m:t>
                  </m:r>
                </m:e>
                <m:sub>
                  <m:sSub>
                    <m:sSubPr/>
                    <m:e>
                      <m:r>
                        <m:rPr/>
                        <m:t>n</m:t>
                      </m:r>
                    </m:e>
                    <m:sub>
                      <m:r>
                        <m:rPr/>
                        <m:t>j</m:t>
                      </m:r>
                    </m:sub>
                  </m:sSub>
                </m:sub>
                <m:sup>
                  <m:r>
                    <m:rPr/>
                    <m:t>(j)</m:t>
                  </m:r>
                </m:sup>
              </m:sSubSup>
              <m:r>
                <m:rPr/>
                <m:t>}</m:t>
              </m:r>
              <m:r>
                <m:rPr>
                  <m:sty m:val="p"/>
                </m:rPr>
                <w:rPr>
                  <w:rFonts w:hint="default"/>
                  <w:lang w:val="en-US" w:eastAsia="zh-CN"/>
                </w:rPr>
                <m:t>#</m:t>
              </m:r>
              <m:r>
                <m:rPr>
                  <m:sty m:val="p"/>
                </m:rPr>
                <w:rPr>
                  <w:rFonts w:hint="eastAsia"/>
                  <w:lang w:val="en-US" w:eastAsia="zh-CN"/>
                </w:rPr>
                <m:t>（</m:t>
              </m:r>
              <m:r>
                <m:rPr>
                  <m:sty m:val="p"/>
                </m:rPr>
                <w:rPr>
                  <w:rFonts w:hint="default"/>
                  <w:lang w:val="en-US" w:eastAsia="zh-CN"/>
                </w:rPr>
                <m:t>4−1</m:t>
              </m:r>
              <m:r>
                <m:rPr>
                  <m:sty m:val="p"/>
                </m:rPr>
                <w:rPr>
                  <w:rFonts w:hint="eastAsia"/>
                  <w:lang w:val="en-US" w:eastAsia="zh-CN"/>
                </w:rPr>
                <m:t>）</m:t>
              </m:r>
              <m:ctrlPr>
                <w:rPr>
                  <w:rFonts w:hint="eastAsia"/>
                  <w:i w:val="0"/>
                  <w:lang w:val="en-US" w:eastAsia="zh-CN"/>
                </w:rPr>
              </m:ctrlPr>
            </m:e>
          </m:eqArr>
        </m:oMath>
      </m:oMathPara>
    </w:p>
    <w:p w14:paraId="3AB6D900">
      <w:pPr>
        <w:ind w:firstLine="480" w:firstLineChars="0"/>
      </w:pPr>
      <w:r>
        <w:rPr>
          <w:rFonts w:hint="eastAsia"/>
        </w:rPr>
        <w:t>接着，我们将这些扩展查询输入到代理嵌入模型中，计算其主题语义中心向量作为该主题的攻击目标表征：</w:t>
      </w:r>
    </w:p>
    <w:p w14:paraId="449AE156">
      <w:pPr>
        <w:pStyle w:val="86"/>
        <w:ind w:firstLine="480"/>
        <w:rPr>
          <w:rFonts w:hint="eastAsia"/>
          <w:b w:val="0"/>
          <w:i w:val="0"/>
          <w:lang w:val="en-US" w:eastAsia="zh-CN"/>
        </w:rPr>
      </w:pPr>
      <m:oMathPara>
        <m:oMath>
          <m:eqArr>
            <m:eqArrPr>
              <m:maxDist m:val="1"/>
              <m:ctrlPr>
                <w:rPr>
                  <w:rFonts w:hint="eastAsia"/>
                  <w:b w:val="0"/>
                  <w:i w:val="0"/>
                  <w:lang w:val="en-US" w:eastAsia="zh-CN"/>
                </w:rPr>
              </m:ctrlPr>
            </m:eqArrPr>
            <m:e>
              <m:sSub>
                <m:sSubPr/>
                <m:e>
                  <m:r>
                    <m:rPr>
                      <m:sty m:val="p"/>
                    </m:rPr>
                    <w:rPr>
                      <w:rFonts w:ascii="Times New Roman" w:hAnsi="Times New Roman"/>
                    </w:rPr>
                    <m:t>v</m:t>
                  </m:r>
                </m:e>
                <m:sub>
                  <m:r>
                    <m:rPr>
                      <m:sty m:val="p"/>
                    </m:rPr>
                    <w:rPr>
                      <w:rFonts w:ascii="Times New Roman" w:hAnsi="Times New Roman"/>
                    </w:rPr>
                    <m:t>j</m:t>
                  </m:r>
                </m:sub>
              </m:sSub>
              <m:r>
                <m:rPr>
                  <m:sty m:val="p"/>
                </m:rPr>
                <w:rPr>
                  <w:rFonts w:ascii="Times New Roman" w:hAnsi="Times New Roman"/>
                </w:rPr>
                <m:t>=</m:t>
              </m:r>
              <m:f>
                <m:fPr/>
                <m:num>
                  <m:r>
                    <m:rPr>
                      <m:sty m:val="p"/>
                    </m:rPr>
                    <w:rPr>
                      <w:rFonts w:ascii="Times New Roman" w:hAnsi="Times New Roman"/>
                    </w:rPr>
                    <m:t>1</m:t>
                  </m:r>
                </m:num>
                <m:den>
                  <m:r>
                    <m:rPr>
                      <m:sty m:val="p"/>
                    </m:rPr>
                    <w:rPr>
                      <w:rFonts w:ascii="Times New Roman" w:hAnsi="Times New Roman"/>
                    </w:rPr>
                    <m:t>|</m:t>
                  </m:r>
                  <m:sSubSup>
                    <m:sSubSupPr/>
                    <m:e>
                      <m:r>
                        <m:rPr>
                          <m:sty m:val="p"/>
                        </m:rPr>
                        <w:rPr>
                          <w:rFonts w:ascii="Times New Roman" w:hAnsi="Times New Roman"/>
                        </w:rPr>
                        <m:t>Q</m:t>
                      </m:r>
                    </m:e>
                    <m:sub>
                      <m:r>
                        <m:rPr>
                          <m:sty m:val="p"/>
                        </m:rPr>
                        <w:rPr>
                          <w:rFonts w:ascii="Times New Roman" w:hAnsi="Times New Roman"/>
                        </w:rPr>
                        <m:t>exp</m:t>
                      </m:r>
                    </m:sub>
                    <m:sup>
                      <m:r>
                        <m:rPr>
                          <m:sty m:val="p"/>
                        </m:rPr>
                        <w:rPr>
                          <w:rFonts w:ascii="Times New Roman" w:hAnsi="Times New Roman"/>
                        </w:rPr>
                        <m:t>(j)</m:t>
                      </m:r>
                    </m:sup>
                  </m:sSubSup>
                  <m:r>
                    <m:rPr>
                      <m:sty m:val="p"/>
                    </m:rPr>
                    <w:rPr>
                      <w:rFonts w:ascii="Times New Roman" w:hAnsi="Times New Roman"/>
                    </w:rPr>
                    <m:t>|</m:t>
                  </m:r>
                </m:den>
              </m:f>
              <m:nary>
                <m:naryPr>
                  <m:chr m:val="∑"/>
                  <m:grow m:val="1"/>
                  <m:limLoc m:val="undOvr"/>
                  <m:supHide m:val="1"/>
                </m:naryPr>
                <m:sub>
                  <m:r>
                    <m:rPr>
                      <m:sty m:val="p"/>
                    </m:rPr>
                    <w:rPr>
                      <w:rFonts w:ascii="Times New Roman" w:hAnsi="Times New Roman"/>
                    </w:rPr>
                    <m:t>q∈</m:t>
                  </m:r>
                  <m:sSubSup>
                    <m:sSubSupPr/>
                    <m:e>
                      <m:r>
                        <m:rPr>
                          <m:sty m:val="p"/>
                        </m:rPr>
                        <w:rPr>
                          <w:rFonts w:ascii="Times New Roman" w:hAnsi="Times New Roman"/>
                        </w:rPr>
                        <m:t>Q</m:t>
                      </m:r>
                    </m:e>
                    <m:sub>
                      <m:r>
                        <m:rPr>
                          <m:sty m:val="p"/>
                        </m:rPr>
                        <w:rPr>
                          <w:rFonts w:ascii="Times New Roman" w:hAnsi="Times New Roman"/>
                        </w:rPr>
                        <m:t>exp</m:t>
                      </m:r>
                    </m:sub>
                    <m:sup>
                      <m:r>
                        <m:rPr>
                          <m:sty m:val="p"/>
                        </m:rPr>
                        <w:rPr>
                          <w:rFonts w:ascii="Times New Roman" w:hAnsi="Times New Roman"/>
                        </w:rPr>
                        <m:t>(j)</m:t>
                      </m:r>
                    </m:sup>
                  </m:sSubSup>
                </m:sub>
                <m:sup/>
                <m:e>
                  <m:r>
                    <m:rPr>
                      <m:sty m:val="p"/>
                    </m:rPr>
                    <w:rPr>
                      <w:rFonts w:ascii="Times New Roman" w:hAnsi="Times New Roman"/>
                    </w:rPr>
                    <m:t> </m:t>
                  </m:r>
                </m:e>
              </m:nary>
              <m:acc>
                <m:accPr/>
                <m:e>
                  <m:r>
                    <m:rPr>
                      <m:sty m:val="p"/>
                    </m:rPr>
                    <w:rPr>
                      <w:rFonts w:ascii="Times New Roman" w:hAnsi="Times New Roman"/>
                    </w:rPr>
                    <m:t>E</m:t>
                  </m:r>
                </m:e>
              </m:acc>
              <m:r>
                <m:rPr>
                  <m:sty m:val="p"/>
                </m:rPr>
                <w:rPr>
                  <w:rFonts w:ascii="Times New Roman" w:hAnsi="Times New Roman"/>
                </w:rPr>
                <m:t>(q)</m:t>
              </m:r>
              <m:r>
                <m:rPr>
                  <m:sty m:val="p"/>
                </m:rPr>
                <w:rPr>
                  <w:rFonts w:hint="default"/>
                  <w:lang w:val="en-US" w:eastAsia="zh-CN"/>
                </w:rPr>
                <m:t>#</m:t>
              </m:r>
              <m:r>
                <m:rPr>
                  <m:sty m:val="p"/>
                </m:rPr>
                <w:rPr>
                  <w:rFonts w:hint="eastAsia"/>
                  <w:lang w:val="en-US" w:eastAsia="zh-CN"/>
                </w:rPr>
                <m:t>（</m:t>
              </m:r>
              <m:r>
                <m:rPr>
                  <m:sty m:val="p"/>
                </m:rPr>
                <w:rPr>
                  <w:rFonts w:hint="default"/>
                  <w:lang w:val="en-US" w:eastAsia="zh-CN"/>
                </w:rPr>
                <m:t>4−2</m:t>
              </m:r>
              <m:r>
                <m:rPr>
                  <m:sty m:val="p"/>
                </m:rPr>
                <w:rPr>
                  <w:rFonts w:hint="eastAsia"/>
                  <w:lang w:val="en-US" w:eastAsia="zh-CN"/>
                </w:rPr>
                <m:t>）</m:t>
              </m:r>
              <m:ctrlPr>
                <w:rPr>
                  <w:rFonts w:hint="eastAsia"/>
                  <w:b w:val="0"/>
                  <w:i w:val="0"/>
                  <w:lang w:val="en-US" w:eastAsia="zh-CN"/>
                </w:rPr>
              </m:ctrlPr>
            </m:e>
          </m:eqArr>
        </m:oMath>
      </m:oMathPara>
    </w:p>
    <w:p w14:paraId="5540A65F">
      <w:pPr>
        <w:ind w:firstLine="480"/>
      </w:pPr>
      <w:r>
        <w:rPr>
          <w:rFonts w:hint="eastAsia"/>
        </w:rPr>
        <w:t>我们将对抗文档生成问题建模为双目标优化，第一个目标是最大化检索成功率：</w:t>
      </w:r>
    </w:p>
    <w:p w14:paraId="49F23AD4">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sty m:val="p"/>
                    </m:rPr>
                    <w:rPr>
                      <w:rFonts w:ascii="Times New Roman" w:hAnsi="Times New Roman"/>
                    </w:rPr>
                    <m:t>f</m:t>
                  </m:r>
                </m:e>
                <m:sub>
                  <m:r>
                    <m:rPr>
                      <m:sty m:val="p"/>
                    </m:rPr>
                    <w:rPr>
                      <w:rFonts w:ascii="Times New Roman" w:hAnsi="Times New Roman"/>
                    </w:rPr>
                    <m:t>1</m:t>
                  </m:r>
                </m:sub>
              </m:sSub>
              <m:r>
                <m:rPr>
                  <m:sty m:val="p"/>
                </m:rPr>
                <w:rPr>
                  <w:rFonts w:ascii="Times New Roman" w:hAnsi="Times New Roman"/>
                </w:rPr>
                <m:t>(d)=cos⁡</m:t>
              </m:r>
              <m:d>
                <m:dPr/>
                <m:e>
                  <m:acc>
                    <m:accPr/>
                    <m:e>
                      <m:r>
                        <m:rPr>
                          <m:sty m:val="p"/>
                        </m:rPr>
                        <w:rPr>
                          <w:rFonts w:ascii="Times New Roman" w:hAnsi="Times New Roman"/>
                        </w:rPr>
                        <m:t>E</m:t>
                      </m:r>
                    </m:e>
                  </m:acc>
                  <m:r>
                    <m:rPr>
                      <m:sty m:val="p"/>
                    </m:rPr>
                    <w:rPr>
                      <w:rFonts w:ascii="Times New Roman" w:hAnsi="Times New Roman"/>
                    </w:rPr>
                    <m:t>(d),</m:t>
                  </m:r>
                  <m:sSub>
                    <m:sSubPr/>
                    <m:e>
                      <m:r>
                        <m:rPr>
                          <m:sty m:val="p"/>
                        </m:rPr>
                        <w:rPr>
                          <w:rFonts w:ascii="Times New Roman" w:hAnsi="Times New Roman"/>
                        </w:rPr>
                        <m:t>v</m:t>
                      </m:r>
                    </m:e>
                    <m:sub>
                      <m:r>
                        <m:rPr>
                          <m:sty m:val="p"/>
                        </m:rPr>
                        <w:rPr>
                          <w:rFonts w:ascii="Times New Roman" w:hAnsi="Times New Roman"/>
                        </w:rPr>
                        <m:t>j</m:t>
                      </m:r>
                    </m:sub>
                  </m:sSub>
                </m:e>
              </m:d>
              <m:r>
                <m:rPr>
                  <m:sty m:val="p"/>
                </m:rPr>
                <w:rPr>
                  <w:rFonts w:hint="default"/>
                  <w:lang w:val="en-US" w:eastAsia="zh-CN"/>
                </w:rPr>
                <m:t>#</m:t>
              </m:r>
              <m:r>
                <m:rPr>
                  <m:sty m:val="p"/>
                </m:rPr>
                <w:rPr>
                  <w:rFonts w:hint="eastAsia"/>
                  <w:lang w:val="en-US" w:eastAsia="zh-CN"/>
                </w:rPr>
                <m:t>（</m:t>
              </m:r>
              <m:r>
                <m:rPr>
                  <m:sty m:val="p"/>
                </m:rPr>
                <w:rPr>
                  <w:rFonts w:hint="default"/>
                  <w:lang w:val="en-US" w:eastAsia="zh-CN"/>
                </w:rPr>
                <m:t>4−3</m:t>
              </m:r>
              <m:r>
                <m:rPr>
                  <m:sty m:val="p"/>
                </m:rPr>
                <w:rPr>
                  <w:rFonts w:hint="eastAsia"/>
                  <w:lang w:val="en-US" w:eastAsia="zh-CN"/>
                </w:rPr>
                <m:t>）</m:t>
              </m:r>
              <m:ctrlPr>
                <w:rPr>
                  <w:rFonts w:hint="eastAsia"/>
                  <w:i w:val="0"/>
                  <w:lang w:val="en-US" w:eastAsia="zh-CN"/>
                </w:rPr>
              </m:ctrlPr>
            </m:e>
          </m:eqArr>
        </m:oMath>
      </m:oMathPara>
    </w:p>
    <w:p w14:paraId="0034A376">
      <w:pPr>
        <w:ind w:firstLine="480"/>
      </w:pPr>
      <w:r>
        <w:rPr>
          <w:rFonts w:hint="eastAsia"/>
        </w:rPr>
        <w:t>其中</w:t>
      </w:r>
      <m:oMath>
        <m:acc>
          <m:accPr>
            <m:ctrlPr>
              <w:rPr>
                <w:rFonts w:ascii="Cambria Math" w:hAnsi="Cambria Math"/>
              </w:rPr>
            </m:ctrlPr>
          </m:accPr>
          <m:e>
            <m:r>
              <m:rPr>
                <m:sty m:val="p"/>
              </m:rPr>
              <w:rPr>
                <w:rFonts w:ascii="Cambria Math" w:hAnsi="Cambria Math"/>
              </w:rPr>
              <m:t>E</m:t>
            </m:r>
            <m:ctrlPr>
              <w:rPr>
                <w:rFonts w:ascii="Cambria Math" w:hAnsi="Cambria Math"/>
              </w:rPr>
            </m:ctrlPr>
          </m:e>
        </m:acc>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oMath>
      <w:r>
        <w:rPr>
          <w:rFonts w:hint="eastAsia"/>
        </w:rPr>
        <w:t>为代理检索器的嵌入函数，</w:t>
      </w:r>
      <m:oMath>
        <m:r>
          <m:rPr>
            <m:sty m:val="p"/>
          </m:rPr>
          <w:rPr>
            <w:rFonts w:ascii="Cambria Math" w:hAnsi="Cambria Math"/>
          </w:rPr>
          <m:t>cos</m:t>
        </m:r>
      </m:oMath>
      <w:r>
        <w:rPr>
          <w:rFonts w:hint="eastAsia"/>
        </w:rPr>
        <w:t>(</w:t>
      </w:r>
      <m:oMath>
        <m:r>
          <m:rPr>
            <m:sty m:val="p"/>
          </m:rPr>
          <w:rPr>
            <w:rFonts w:hint="eastAsia" w:ascii="Cambria Math" w:hAnsi="Cambria Math"/>
          </w:rPr>
          <m:t>·</m:t>
        </m:r>
      </m:oMath>
      <w:r>
        <w:rPr>
          <w:rFonts w:hint="eastAsia"/>
        </w:rPr>
        <w:t>)为余弦相似度。第二个目标是最大化语义隐蔽性，通过最小化困惑度：</w:t>
      </w:r>
    </w:p>
    <w:p w14:paraId="4B4B64D1">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sty m:val="p"/>
                    </m:rPr>
                    <m:t>f</m:t>
                  </m:r>
                </m:e>
                <m:sub>
                  <m:r>
                    <m:rPr>
                      <m:sty m:val="p"/>
                    </m:rPr>
                    <m:t>2</m:t>
                  </m:r>
                </m:sub>
              </m:sSub>
              <m:r>
                <m:rPr>
                  <m:sty m:val="p"/>
                </m:rPr>
                <m:t>(d)=</m:t>
              </m:r>
              <m:f>
                <m:fPr/>
                <m:num>
                  <m:r>
                    <m:rPr>
                      <m:sty m:val="p"/>
                    </m:rPr>
                    <m:t>1</m:t>
                  </m:r>
                </m:num>
                <m:den>
                  <m:r>
                    <m:rPr>
                      <m:sty m:val="p"/>
                    </m:rPr>
                    <m:t>1+log⁡(PPL(d))</m:t>
                  </m:r>
                </m:den>
              </m:f>
              <m:r>
                <m:rPr>
                  <m:sty m:val="p"/>
                </m:rPr>
                <w:rPr>
                  <w:rFonts w:hint="default"/>
                  <w:lang w:val="en-US" w:eastAsia="zh-CN"/>
                </w:rPr>
                <m:t>#</m:t>
              </m:r>
              <m:r>
                <m:rPr>
                  <m:sty m:val="p"/>
                </m:rPr>
                <w:rPr>
                  <w:rFonts w:hint="eastAsia"/>
                  <w:lang w:val="en-US" w:eastAsia="zh-CN"/>
                </w:rPr>
                <m:t>（</m:t>
              </m:r>
              <m:r>
                <m:rPr>
                  <m:sty m:val="p"/>
                </m:rPr>
                <w:rPr>
                  <w:rFonts w:hint="default"/>
                  <w:lang w:val="en-US" w:eastAsia="zh-CN"/>
                </w:rPr>
                <m:t>4−4</m:t>
              </m:r>
              <m:r>
                <m:rPr>
                  <m:sty m:val="p"/>
                </m:rPr>
                <w:rPr>
                  <w:rFonts w:hint="eastAsia"/>
                  <w:lang w:val="en-US" w:eastAsia="zh-CN"/>
                </w:rPr>
                <m:t>）</m:t>
              </m:r>
              <m:ctrlPr>
                <w:rPr>
                  <w:rFonts w:hint="eastAsia"/>
                  <w:i w:val="0"/>
                  <w:lang w:val="en-US" w:eastAsia="zh-CN"/>
                </w:rPr>
              </m:ctrlPr>
            </m:e>
          </m:eqArr>
        </m:oMath>
      </m:oMathPara>
    </w:p>
    <w:p w14:paraId="1C2961D3">
      <w:pPr>
        <w:ind w:firstLine="480"/>
      </w:pPr>
      <w:r>
        <w:rPr>
          <w:rFonts w:hint="eastAsia"/>
        </w:rPr>
        <w:t>综上，在RAG系统中寻找最优对抗文档旨在同时优化以上两个目标：</w:t>
      </w:r>
    </w:p>
    <w:p w14:paraId="54E85AE1">
      <w:pPr>
        <w:pStyle w:val="86"/>
        <w:ind w:firstLine="480"/>
        <w:rPr>
          <w:rFonts w:hint="eastAsia"/>
          <w:i w:val="0"/>
          <w:lang w:val="en-US" w:eastAsia="zh-CN"/>
        </w:rPr>
      </w:pPr>
      <m:oMathPara>
        <m:oMath>
          <m:eqArr>
            <m:eqArrPr>
              <m:maxDist m:val="1"/>
              <m:ctrlPr>
                <w:rPr>
                  <w:rFonts w:hint="eastAsia"/>
                  <w:i w:val="0"/>
                  <w:lang w:val="en-US" w:eastAsia="zh-CN"/>
                </w:rPr>
              </m:ctrlPr>
            </m:eqArrPr>
            <m:e>
              <m:sSup>
                <m:sSupPr/>
                <m:e>
                  <m:r>
                    <m:rPr/>
                    <m:t>d</m:t>
                  </m:r>
                </m:e>
                <m:sup>
                  <m:r>
                    <m:rPr/>
                    <m:t>∗</m:t>
                  </m:r>
                </m:sup>
              </m:sSup>
              <m:r>
                <m:rPr/>
                <m:t>∈</m:t>
              </m:r>
              <m:r>
                <m:rPr>
                  <m:sty m:val="p"/>
                </m:rPr>
                <m:t>arg</m:t>
              </m:r>
              <m:r>
                <m:rPr/>
                <m:t>⁡</m:t>
              </m:r>
              <m:limLow>
                <m:limLowPr/>
                <m:e>
                  <m:r>
                    <m:rPr/>
                    <m:t>max</m:t>
                  </m:r>
                </m:e>
                <m:lim>
                  <m:r>
                    <m:rPr/>
                    <m:t>d∈</m:t>
                  </m:r>
                  <m:sSup>
                    <m:sSupPr/>
                    <m:e>
                      <m:r>
                        <m:rPr>
                          <m:scr m:val="script"/>
                        </m:rPr>
                        <m:t>D</m:t>
                      </m:r>
                    </m:e>
                    <m:sup>
                      <m:r>
                        <m:rPr>
                          <m:sty m:val="p"/>
                        </m:rPr>
                        <m:t>'</m:t>
                      </m:r>
                    </m:sup>
                  </m:sSup>
                </m:lim>
              </m:limLow>
              <m:r>
                <m:rPr/>
                <m:t> </m:t>
              </m:r>
              <m:d>
                <m:dPr/>
                <m:e>
                  <m:sSub>
                    <m:sSubPr/>
                    <m:e>
                      <m:r>
                        <m:rPr/>
                        <m:t>f</m:t>
                      </m:r>
                    </m:e>
                    <m:sub>
                      <m:r>
                        <m:rPr/>
                        <m:t>1</m:t>
                      </m:r>
                    </m:sub>
                  </m:sSub>
                  <m:r>
                    <m:rPr/>
                    <m:t>(d),</m:t>
                  </m:r>
                  <m:sSub>
                    <m:sSubPr/>
                    <m:e>
                      <m:r>
                        <m:rPr/>
                        <m:t>f</m:t>
                      </m:r>
                    </m:e>
                    <m:sub>
                      <m:r>
                        <m:rPr/>
                        <m:t>2</m:t>
                      </m:r>
                    </m:sub>
                  </m:sSub>
                  <m:r>
                    <m:rPr/>
                    <m:t>(d)</m:t>
                  </m:r>
                </m:e>
              </m:d>
              <m:r>
                <m:rPr>
                  <m:sty m:val="p"/>
                </m:rPr>
                <w:rPr>
                  <w:rFonts w:hint="default"/>
                  <w:lang w:val="en-US" w:eastAsia="zh-CN"/>
                </w:rPr>
                <m:t>#</m:t>
              </m:r>
              <m:r>
                <m:rPr>
                  <m:sty m:val="p"/>
                </m:rPr>
                <w:rPr>
                  <w:rFonts w:hint="eastAsia"/>
                  <w:lang w:val="en-US" w:eastAsia="zh-CN"/>
                </w:rPr>
                <m:t>（</m:t>
              </m:r>
              <m:r>
                <m:rPr>
                  <m:sty m:val="p"/>
                </m:rPr>
                <w:rPr>
                  <w:rFonts w:hint="default"/>
                  <w:lang w:val="en-US" w:eastAsia="zh-CN"/>
                </w:rPr>
                <m:t>4−5</m:t>
              </m:r>
              <m:r>
                <m:rPr>
                  <m:sty m:val="p"/>
                </m:rPr>
                <w:rPr>
                  <w:rFonts w:hint="eastAsia"/>
                  <w:lang w:val="en-US" w:eastAsia="zh-CN"/>
                </w:rPr>
                <m:t>）</m:t>
              </m:r>
              <m:ctrlPr>
                <w:rPr>
                  <w:rFonts w:hint="eastAsia"/>
                  <w:i w:val="0"/>
                  <w:lang w:val="en-US" w:eastAsia="zh-CN"/>
                </w:rPr>
              </m:ctrlPr>
            </m:e>
          </m:eqArr>
        </m:oMath>
      </m:oMathPara>
    </w:p>
    <w:p w14:paraId="16D93202">
      <w:pPr>
        <w:pStyle w:val="4"/>
      </w:pPr>
      <w:bookmarkStart w:id="92" w:name="_Toc13342"/>
      <w:r>
        <w:rPr>
          <w:rFonts w:hint="eastAsia"/>
        </w:rPr>
        <w:t>4.1.3</w:t>
      </w:r>
      <w:r>
        <w:rPr>
          <w:rFonts w:hint="eastAsia"/>
          <w:lang w:val="en-US" w:eastAsia="zh-CN"/>
        </w:rPr>
        <w:t xml:space="preserve">  </w:t>
      </w:r>
      <w:r>
        <w:rPr>
          <w:rFonts w:hint="eastAsia"/>
        </w:rPr>
        <w:t>遗传算法概述</w:t>
      </w:r>
      <w:bookmarkEnd w:id="92"/>
    </w:p>
    <w:p w14:paraId="25602F00">
      <w:pPr>
        <w:ind w:firstLine="480"/>
      </w:pPr>
      <w:r>
        <w:rPr>
          <w:rFonts w:hint="eastAsia"/>
        </w:rPr>
        <w:t>遗传算法（Genetic Algorithm, GA）是一种受自然进化启发的全局优化方法，其核心思想是通过模拟“适者生存”的自然选择机制，在解空间中进行启发式搜索，逐步逼近最优解。GA特别适用于搜索空间巨大、离散且不连续的黑盒优化问题，而本研究中目标函数不可微，且仅能通过查询评估候选解的质量。</w:t>
      </w:r>
    </w:p>
    <w:p w14:paraId="75F7D648">
      <w:pPr>
        <w:ind w:firstLine="480"/>
      </w:pPr>
      <w:r>
        <w:rPr>
          <w:rFonts w:hint="eastAsia"/>
        </w:rPr>
        <w:t>标准遗传算法流程如下：</w:t>
      </w:r>
    </w:p>
    <w:p w14:paraId="3FE48CB4">
      <w:pPr>
        <w:ind w:firstLine="480"/>
      </w:pPr>
      <w:r>
        <w:rPr>
          <w:rFonts w:hint="eastAsia"/>
        </w:rPr>
        <w:t>（1）初始化：随机生成初始种群；</w:t>
      </w:r>
    </w:p>
    <w:p w14:paraId="3DF6BBAB">
      <w:pPr>
        <w:ind w:firstLine="480"/>
      </w:pPr>
      <w:r>
        <w:rPr>
          <w:rFonts w:hint="eastAsia"/>
        </w:rPr>
        <w:t>（2）变异：随机更改基因以增加多样性；</w:t>
      </w:r>
      <w:r>
        <w:t xml:space="preserve"> </w:t>
      </w:r>
    </w:p>
    <w:p w14:paraId="3D8A66A3">
      <w:pPr>
        <w:ind w:firstLine="480"/>
      </w:pPr>
      <w:r>
        <w:rPr>
          <w:rFonts w:hint="eastAsia"/>
        </w:rPr>
        <w:t>（3）交叉：交换父代基因生成子代，以探索新解空间；</w:t>
      </w:r>
      <w:r>
        <w:t xml:space="preserve"> </w:t>
      </w:r>
    </w:p>
    <w:p w14:paraId="01905B0D">
      <w:pPr>
        <w:ind w:firstLine="480"/>
      </w:pPr>
      <w:r>
        <w:rPr>
          <w:rFonts w:hint="eastAsia"/>
        </w:rPr>
        <w:t>（4）评估：计算每个个体的适应度；</w:t>
      </w:r>
    </w:p>
    <w:p w14:paraId="1A01C16A">
      <w:pPr>
        <w:ind w:firstLine="480"/>
      </w:pPr>
      <w:r>
        <w:rPr>
          <w:rFonts w:hint="eastAsia"/>
        </w:rPr>
        <w:t>（5）选择：使用轮盘赌或锦标赛方法保留优秀个体；</w:t>
      </w:r>
    </w:p>
    <w:p w14:paraId="5065C21F">
      <w:pPr>
        <w:ind w:firstLine="480"/>
      </w:pPr>
      <w:r>
        <w:rPr>
          <w:rFonts w:hint="eastAsia"/>
        </w:rPr>
        <w:t>（6）更新：替换种群并迭代，直至收敛或达到最大世代。</w:t>
      </w:r>
    </w:p>
    <w:p w14:paraId="6AD4F098">
      <w:pPr>
        <w:pStyle w:val="3"/>
        <w:spacing w:before="163" w:after="163"/>
      </w:pPr>
      <w:bookmarkStart w:id="93" w:name="_Toc29715"/>
      <w:r>
        <w:rPr>
          <w:rFonts w:hint="eastAsia"/>
        </w:rPr>
        <w:t>4</w:t>
      </w:r>
      <w:r>
        <w:t>.</w:t>
      </w:r>
      <w:r>
        <w:rPr>
          <w:rFonts w:hint="eastAsia"/>
        </w:rPr>
        <w:t>2  算法设计</w:t>
      </w:r>
      <w:bookmarkEnd w:id="93"/>
    </w:p>
    <w:p w14:paraId="061EEAC3">
      <w:pPr>
        <w:pStyle w:val="4"/>
      </w:pPr>
      <w:bookmarkStart w:id="94" w:name="_Toc22068"/>
      <w:r>
        <w:rPr>
          <w:rFonts w:hint="eastAsia"/>
        </w:rPr>
        <w:t>4.2.1  方法总览</w:t>
      </w:r>
      <w:bookmarkEnd w:id="94"/>
    </w:p>
    <w:p w14:paraId="6B20F1E9">
      <w:pPr>
        <w:ind w:firstLine="480"/>
      </w:pPr>
      <w:r>
        <w:rPr>
          <w:rFonts w:hint="eastAsia"/>
        </w:rPr>
        <w:t>为应对现有RAG知识库毒化攻击方法的局限性，本节提出了一种基于多目标遗传算法的RAG投毒攻击方法BOGA-RAGP。该方法旨在利用RAG辅助决策的“可信”漏洞，通过对多目标遗传算法中的选择、交叉、变异等核心操作进行针对性改进与适配，在本文所述攻击任务中生成有效的对抗文档。</w:t>
      </w:r>
    </w:p>
    <w:p w14:paraId="59723154">
      <w:pPr>
        <w:ind w:firstLine="480"/>
        <w:rPr>
          <w:rFonts w:hint="eastAsia"/>
        </w:rPr>
      </w:pPr>
      <w:r>
        <w:rPr>
          <w:rFonts w:hint="eastAsia"/>
        </w:rPr>
        <w:t>BOGA-RAGP基于NSGA-II框架，处理检索成功率与语义隐蔽性之间的冲突，并通过快速非支配排序和拥挤度距离机制，算法在目标空间中搜索Pareto最优解集。如图x所示，算法首先通过TF-IDF计算知识库中token的重要性分数，以引导初始化和变异操作；然后在固定长度token序列编码下，进行动态重要性引导的变异和改进单点交叉；最后通过环境选择和精英档案维护，输出Pareto前沿上的代表解作为对抗文档。整体流程可通过如下算法进行表示：</w:t>
      </w:r>
    </w:p>
    <w:p w14:paraId="142180D7">
      <w:pPr>
        <w:ind w:firstLine="480"/>
        <w:rPr>
          <w:rFonts w:hint="eastAsia"/>
        </w:rPr>
      </w:pPr>
    </w:p>
    <w:p w14:paraId="05E78D9C">
      <w:pPr>
        <w:ind w:firstLine="480"/>
        <w:rPr>
          <w:rFonts w:hint="eastAsia"/>
        </w:rPr>
      </w:pPr>
    </w:p>
    <w:p w14:paraId="2F85F117">
      <w:pPr>
        <w:ind w:firstLine="480"/>
        <w:rPr>
          <w:rFonts w:hint="eastAsia"/>
        </w:rPr>
      </w:pPr>
    </w:p>
    <w:p w14:paraId="66C4BA9B">
      <w:pPr>
        <w:ind w:firstLine="480"/>
        <w:rPr>
          <w:rFonts w:hint="eastAsia"/>
        </w:rPr>
      </w:pPr>
    </w:p>
    <w:p w14:paraId="08770E5A">
      <w:pPr>
        <w:ind w:firstLine="480"/>
        <w:rPr>
          <w:rFonts w:hint="eastAsia"/>
        </w:rPr>
      </w:pPr>
    </w:p>
    <w:p w14:paraId="5F278698">
      <w:pPr>
        <w:ind w:firstLine="480"/>
        <w:rPr>
          <w:rFonts w:hint="eastAsia"/>
        </w:rPr>
      </w:pP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7700"/>
        <w:gridCol w:w="374"/>
      </w:tblGrid>
      <w:tr w14:paraId="7F18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Borders>
              <w:bottom w:val="single" w:color="auto" w:sz="4" w:space="0"/>
            </w:tcBorders>
          </w:tcPr>
          <w:p w14:paraId="5344525F">
            <w:pPr>
              <w:ind w:firstLine="0" w:firstLineChars="0"/>
              <w:jc w:val="left"/>
              <w:rPr>
                <w:sz w:val="21"/>
                <w:szCs w:val="21"/>
              </w:rPr>
            </w:pPr>
            <w:r>
              <w:rPr>
                <w:rFonts w:hint="eastAsia"/>
                <w:sz w:val="21"/>
                <w:szCs w:val="21"/>
              </w:rPr>
              <w:t>算法4-1 基于双目标遗传算法的RAG知识库毒化攻击方法</w:t>
            </w:r>
          </w:p>
        </w:tc>
      </w:tr>
      <w:tr w14:paraId="00B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single" w:color="auto" w:sz="4" w:space="0"/>
              <w:left w:val="single" w:color="auto" w:sz="4" w:space="0"/>
              <w:bottom w:val="nil"/>
              <w:right w:val="nil"/>
            </w:tcBorders>
          </w:tcPr>
          <w:p w14:paraId="7B6EAB51">
            <w:pPr>
              <w:ind w:firstLine="0" w:firstLineChars="0"/>
              <w:jc w:val="center"/>
              <w:rPr>
                <w:sz w:val="21"/>
                <w:szCs w:val="21"/>
              </w:rPr>
            </w:pPr>
          </w:p>
        </w:tc>
        <w:tc>
          <w:tcPr>
            <w:tcW w:w="8018" w:type="dxa"/>
            <w:tcBorders>
              <w:top w:val="single" w:color="auto" w:sz="4" w:space="0"/>
              <w:left w:val="nil"/>
              <w:bottom w:val="nil"/>
              <w:right w:val="nil"/>
            </w:tcBorders>
          </w:tcPr>
          <w:p w14:paraId="5FAF3DFB">
            <w:pPr>
              <w:ind w:firstLine="0" w:firstLineChars="0"/>
              <w:rPr>
                <w:sz w:val="21"/>
                <w:szCs w:val="21"/>
              </w:rPr>
            </w:pPr>
            <w:r>
              <w:rPr>
                <w:rFonts w:hint="eastAsia"/>
                <w:sz w:val="21"/>
                <w:szCs w:val="21"/>
              </w:rPr>
              <w:t>输入：</w:t>
            </w:r>
            <m:oMath>
              <m:r>
                <m:rPr/>
                <w:rPr>
                  <w:rFonts w:ascii="Cambria Math" w:hAnsi="Cambria Math"/>
                  <w:sz w:val="21"/>
                  <w:szCs w:val="21"/>
                </w:rPr>
                <m:t>Q</m:t>
              </m:r>
            </m:oMath>
            <w:r>
              <w:rPr>
                <w:rFonts w:hint="eastAsia"/>
                <w:sz w:val="21"/>
                <w:szCs w:val="21"/>
              </w:rPr>
              <w:t>，</w:t>
            </w:r>
            <m:oMath>
              <m:r>
                <m:rPr/>
                <w:rPr>
                  <w:rFonts w:hint="eastAsia" w:ascii="Cambria Math" w:hAnsi="Cambria Math"/>
                  <w:sz w:val="21"/>
                  <w:szCs w:val="21"/>
                </w:rPr>
                <m:t>D</m:t>
              </m:r>
            </m:oMath>
            <w:r>
              <w:rPr>
                <w:rFonts w:hint="eastAsia"/>
                <w:sz w:val="21"/>
                <w:szCs w:val="21"/>
              </w:rPr>
              <w:t>，</w:t>
            </w:r>
            <m:oMath>
              <m:acc>
                <m:accPr>
                  <m:ctrlPr>
                    <w:rPr>
                      <w:rFonts w:ascii="Cambria Math" w:hAnsi="Cambria Math"/>
                      <w:sz w:val="21"/>
                      <w:szCs w:val="21"/>
                    </w:rPr>
                  </m:ctrlPr>
                </m:accPr>
                <m:e>
                  <m:r>
                    <m:rPr>
                      <m:sty m:val="p"/>
                    </m:rPr>
                    <w:rPr>
                      <w:rFonts w:ascii="Cambria Math" w:hAnsi="Cambria Math"/>
                      <w:sz w:val="21"/>
                      <w:szCs w:val="21"/>
                    </w:rPr>
                    <m:t>E</m:t>
                  </m:r>
                  <m:ctrlPr>
                    <w:rPr>
                      <w:rFonts w:ascii="Cambria Math" w:hAnsi="Cambria Math"/>
                      <w:sz w:val="21"/>
                      <w:szCs w:val="21"/>
                    </w:rPr>
                  </m:ctrlPr>
                </m:e>
              </m:acc>
            </m:oMath>
            <w:r>
              <w:rPr>
                <w:rFonts w:hint="eastAsia"/>
                <w:sz w:val="21"/>
                <w:szCs w:val="21"/>
              </w:rPr>
              <w:t>，</w:t>
            </w:r>
            <m:oMath>
              <m:r>
                <m:rPr/>
                <w:rPr>
                  <w:rFonts w:hint="eastAsia" w:ascii="Cambria Math" w:hAnsi="Cambria Math"/>
                  <w:sz w:val="21"/>
                  <w:szCs w:val="21"/>
                </w:rPr>
                <m:t>M</m:t>
              </m:r>
            </m:oMath>
          </w:p>
        </w:tc>
        <w:tc>
          <w:tcPr>
            <w:tcW w:w="382" w:type="dxa"/>
            <w:tcBorders>
              <w:top w:val="single" w:color="auto" w:sz="4" w:space="0"/>
              <w:left w:val="nil"/>
              <w:bottom w:val="nil"/>
              <w:right w:val="single" w:color="auto" w:sz="4" w:space="0"/>
            </w:tcBorders>
          </w:tcPr>
          <w:p w14:paraId="60E9B440">
            <w:pPr>
              <w:ind w:firstLine="480"/>
              <w:rPr>
                <w:sz w:val="21"/>
                <w:szCs w:val="21"/>
              </w:rPr>
            </w:pPr>
          </w:p>
        </w:tc>
      </w:tr>
      <w:tr w14:paraId="4ECF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9254E11">
            <w:pPr>
              <w:ind w:firstLine="0" w:firstLineChars="0"/>
              <w:jc w:val="center"/>
              <w:rPr>
                <w:sz w:val="21"/>
                <w:szCs w:val="21"/>
              </w:rPr>
            </w:pPr>
          </w:p>
        </w:tc>
        <w:tc>
          <w:tcPr>
            <w:tcW w:w="8018" w:type="dxa"/>
            <w:tcBorders>
              <w:top w:val="nil"/>
              <w:left w:val="nil"/>
              <w:bottom w:val="nil"/>
              <w:right w:val="nil"/>
            </w:tcBorders>
          </w:tcPr>
          <w:p w14:paraId="6730A277">
            <w:pPr>
              <w:ind w:firstLine="0" w:firstLineChars="0"/>
              <w:rPr>
                <w:sz w:val="21"/>
                <w:szCs w:val="21"/>
              </w:rPr>
            </w:pPr>
            <w:r>
              <w:rPr>
                <w:rFonts w:hint="eastAsia"/>
                <w:sz w:val="21"/>
                <w:szCs w:val="21"/>
              </w:rPr>
              <w:t>输出：代表性对抗文档</w:t>
            </w:r>
            <m:oMath>
              <m:sSup>
                <m:sSupPr>
                  <m:ctrlPr>
                    <w:rPr>
                      <w:rFonts w:ascii="Cambria Math" w:hAnsi="Cambria Math"/>
                      <w:i/>
                      <w:sz w:val="21"/>
                      <w:szCs w:val="21"/>
                    </w:rPr>
                  </m:ctrlPr>
                </m:sSupPr>
                <m:e>
                  <m:r>
                    <m:rPr/>
                    <w:rPr>
                      <w:rFonts w:ascii="Cambria Math" w:hAnsi="Cambria Math"/>
                      <w:sz w:val="21"/>
                      <w:szCs w:val="21"/>
                    </w:rPr>
                    <m:t>d</m:t>
                  </m:r>
                  <m:ctrlPr>
                    <w:rPr>
                      <w:rFonts w:ascii="Cambria Math" w:hAnsi="Cambria Math"/>
                      <w:i/>
                      <w:sz w:val="21"/>
                      <w:szCs w:val="21"/>
                    </w:rPr>
                  </m:ctrlPr>
                </m:e>
                <m:sup>
                  <m:r>
                    <m:rPr/>
                    <w:rPr>
                      <w:rFonts w:ascii="Cambria Math" w:hAnsi="Cambria Math"/>
                      <w:sz w:val="21"/>
                      <w:szCs w:val="21"/>
                    </w:rPr>
                    <m:t>∗</m:t>
                  </m:r>
                  <m:ctrlPr>
                    <w:rPr>
                      <w:rFonts w:ascii="Cambria Math" w:hAnsi="Cambria Math"/>
                      <w:i/>
                      <w:sz w:val="21"/>
                      <w:szCs w:val="21"/>
                    </w:rPr>
                  </m:ctrlPr>
                </m:sup>
              </m:sSup>
            </m:oMath>
          </w:p>
        </w:tc>
        <w:tc>
          <w:tcPr>
            <w:tcW w:w="382" w:type="dxa"/>
            <w:tcBorders>
              <w:top w:val="nil"/>
              <w:left w:val="nil"/>
              <w:bottom w:val="nil"/>
              <w:right w:val="single" w:color="auto" w:sz="4" w:space="0"/>
            </w:tcBorders>
          </w:tcPr>
          <w:p w14:paraId="4FD58EB0">
            <w:pPr>
              <w:ind w:firstLine="480"/>
              <w:rPr>
                <w:sz w:val="21"/>
                <w:szCs w:val="21"/>
              </w:rPr>
            </w:pPr>
          </w:p>
        </w:tc>
      </w:tr>
      <w:tr w14:paraId="08E6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17BE7BCF">
            <w:pPr>
              <w:ind w:firstLine="0" w:firstLineChars="0"/>
              <w:jc w:val="center"/>
              <w:rPr>
                <w:sz w:val="21"/>
                <w:szCs w:val="21"/>
              </w:rPr>
            </w:pPr>
            <w:r>
              <w:rPr>
                <w:rFonts w:hint="eastAsia"/>
                <w:sz w:val="21"/>
                <w:szCs w:val="21"/>
              </w:rPr>
              <w:t>1</w:t>
            </w:r>
          </w:p>
        </w:tc>
        <w:tc>
          <w:tcPr>
            <w:tcW w:w="8018" w:type="dxa"/>
            <w:tcBorders>
              <w:top w:val="nil"/>
              <w:left w:val="nil"/>
              <w:bottom w:val="nil"/>
              <w:right w:val="nil"/>
            </w:tcBorders>
          </w:tcPr>
          <w:p w14:paraId="01A0782A">
            <w:pPr>
              <w:pStyle w:val="85"/>
              <w:rPr>
                <w:sz w:val="21"/>
                <w:szCs w:val="21"/>
              </w:rPr>
            </w:pPr>
            <w:r>
              <w:rPr>
                <w:rFonts w:hint="eastAsia"/>
                <w:sz w:val="21"/>
                <w:szCs w:val="21"/>
              </w:rPr>
              <w:t>对</w:t>
            </w:r>
            <m:oMath>
              <m:r>
                <m:rPr/>
                <w:rPr>
                  <w:rFonts w:ascii="Cambria Math" w:hAnsi="Cambria Math"/>
                  <w:sz w:val="21"/>
                  <w:szCs w:val="21"/>
                </w:rPr>
                <m:t>Q</m:t>
              </m:r>
            </m:oMath>
            <w:r>
              <w:rPr>
                <w:rFonts w:hint="eastAsia" w:hAnsi="Cambria Math"/>
                <w:sz w:val="21"/>
                <w:szCs w:val="21"/>
              </w:rPr>
              <w:t>中当前目标问题</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0</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r>
              <w:rPr>
                <w:rFonts w:hint="eastAsia" w:hAnsi="Cambria Math"/>
                <w:sz w:val="21"/>
                <w:szCs w:val="21"/>
              </w:rPr>
              <w:t>扩展查询，形成查询集合</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exp</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p>
        </w:tc>
        <w:tc>
          <w:tcPr>
            <w:tcW w:w="382" w:type="dxa"/>
            <w:tcBorders>
              <w:top w:val="nil"/>
              <w:left w:val="nil"/>
              <w:bottom w:val="nil"/>
              <w:right w:val="single" w:color="auto" w:sz="4" w:space="0"/>
            </w:tcBorders>
          </w:tcPr>
          <w:p w14:paraId="042E8D12">
            <w:pPr>
              <w:ind w:firstLine="480"/>
              <w:rPr>
                <w:sz w:val="21"/>
                <w:szCs w:val="21"/>
              </w:rPr>
            </w:pPr>
          </w:p>
        </w:tc>
      </w:tr>
      <w:tr w14:paraId="0061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147A6216">
            <w:pPr>
              <w:ind w:firstLine="0" w:firstLineChars="0"/>
              <w:jc w:val="center"/>
              <w:rPr>
                <w:sz w:val="21"/>
                <w:szCs w:val="21"/>
              </w:rPr>
            </w:pPr>
            <w:r>
              <w:rPr>
                <w:rFonts w:hint="eastAsia"/>
                <w:sz w:val="21"/>
                <w:szCs w:val="21"/>
              </w:rPr>
              <w:t>2</w:t>
            </w:r>
          </w:p>
        </w:tc>
        <w:tc>
          <w:tcPr>
            <w:tcW w:w="8018" w:type="dxa"/>
            <w:tcBorders>
              <w:top w:val="nil"/>
              <w:left w:val="nil"/>
              <w:bottom w:val="nil"/>
              <w:right w:val="nil"/>
            </w:tcBorders>
          </w:tcPr>
          <w:p w14:paraId="3611B147">
            <w:pPr>
              <w:pStyle w:val="85"/>
              <w:rPr>
                <w:sz w:val="21"/>
                <w:szCs w:val="21"/>
              </w:rPr>
            </w:pPr>
            <w:r>
              <w:rPr>
                <w:rFonts w:hint="eastAsia"/>
                <w:sz w:val="21"/>
                <w:szCs w:val="21"/>
              </w:rPr>
              <w:t>对</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exp</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r>
              <w:rPr>
                <w:rFonts w:hint="eastAsia"/>
                <w:sz w:val="21"/>
                <w:szCs w:val="21"/>
              </w:rPr>
              <w:t>计算语义中心向量</w:t>
            </w:r>
            <m:oMath>
              <m:sSub>
                <m:sSubPr>
                  <m:ctrlPr>
                    <w:rPr>
                      <w:rFonts w:ascii="Cambria Math" w:hAnsi="Cambria Math"/>
                      <w:sz w:val="21"/>
                      <w:szCs w:val="21"/>
                    </w:rPr>
                  </m:ctrlPr>
                </m:sSubPr>
                <m:e>
                  <m:r>
                    <m:rPr>
                      <m:sty m:val="p"/>
                    </m:rPr>
                    <w:rPr>
                      <w:rFonts w:ascii="Cambria Math" w:hAnsi="Cambria Math"/>
                      <w:sz w:val="21"/>
                      <w:szCs w:val="21"/>
                    </w:rPr>
                    <m:t>v</m:t>
                  </m:r>
                  <m:ctrlPr>
                    <w:rPr>
                      <w:rFonts w:ascii="Cambria Math" w:hAnsi="Cambria Math"/>
                      <w:sz w:val="21"/>
                      <w:szCs w:val="21"/>
                    </w:rPr>
                  </m:ctrlPr>
                </m:e>
                <m:sub>
                  <m:r>
                    <m:rPr>
                      <m:sty m:val="p"/>
                    </m:rPr>
                    <w:rPr>
                      <w:rFonts w:ascii="Cambria Math" w:hAnsi="Cambria Math"/>
                      <w:sz w:val="21"/>
                      <w:szCs w:val="21"/>
                    </w:rPr>
                    <m:t>j</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5FCAC12C">
            <w:pPr>
              <w:ind w:firstLine="480"/>
              <w:rPr>
                <w:sz w:val="21"/>
                <w:szCs w:val="21"/>
              </w:rPr>
            </w:pPr>
          </w:p>
        </w:tc>
      </w:tr>
      <w:tr w14:paraId="2466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A4C3F57">
            <w:pPr>
              <w:ind w:firstLine="0" w:firstLineChars="0"/>
              <w:jc w:val="center"/>
              <w:rPr>
                <w:sz w:val="21"/>
                <w:szCs w:val="21"/>
              </w:rPr>
            </w:pPr>
            <w:r>
              <w:rPr>
                <w:rFonts w:hint="eastAsia"/>
                <w:sz w:val="21"/>
                <w:szCs w:val="21"/>
              </w:rPr>
              <w:t>3</w:t>
            </w:r>
          </w:p>
        </w:tc>
        <w:tc>
          <w:tcPr>
            <w:tcW w:w="8018" w:type="dxa"/>
            <w:tcBorders>
              <w:top w:val="nil"/>
              <w:left w:val="nil"/>
              <w:bottom w:val="nil"/>
              <w:right w:val="nil"/>
            </w:tcBorders>
          </w:tcPr>
          <w:p w14:paraId="1A26CDA4">
            <w:pPr>
              <w:pStyle w:val="85"/>
              <w:rPr>
                <w:sz w:val="21"/>
                <w:szCs w:val="21"/>
              </w:rPr>
            </w:pPr>
            <w:r>
              <w:rPr>
                <w:rFonts w:hint="eastAsia"/>
                <w:sz w:val="21"/>
                <w:szCs w:val="21"/>
              </w:rPr>
              <w:t>统计知识库文档TF-IDF分数并归一化，得到重要性权重表</w:t>
            </w:r>
          </w:p>
        </w:tc>
        <w:tc>
          <w:tcPr>
            <w:tcW w:w="382" w:type="dxa"/>
            <w:tcBorders>
              <w:top w:val="nil"/>
              <w:left w:val="nil"/>
              <w:bottom w:val="nil"/>
              <w:right w:val="single" w:color="auto" w:sz="4" w:space="0"/>
            </w:tcBorders>
          </w:tcPr>
          <w:p w14:paraId="5DABD70E">
            <w:pPr>
              <w:ind w:firstLine="480"/>
              <w:rPr>
                <w:sz w:val="21"/>
                <w:szCs w:val="21"/>
              </w:rPr>
            </w:pPr>
          </w:p>
        </w:tc>
      </w:tr>
      <w:tr w14:paraId="2090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D5BAA4C">
            <w:pPr>
              <w:ind w:firstLine="0" w:firstLineChars="0"/>
              <w:jc w:val="center"/>
              <w:rPr>
                <w:sz w:val="21"/>
                <w:szCs w:val="21"/>
              </w:rPr>
            </w:pPr>
            <w:r>
              <w:rPr>
                <w:rFonts w:hint="eastAsia"/>
                <w:sz w:val="21"/>
                <w:szCs w:val="21"/>
              </w:rPr>
              <w:t>4</w:t>
            </w:r>
          </w:p>
        </w:tc>
        <w:tc>
          <w:tcPr>
            <w:tcW w:w="8018" w:type="dxa"/>
            <w:tcBorders>
              <w:top w:val="nil"/>
              <w:left w:val="nil"/>
              <w:bottom w:val="nil"/>
              <w:right w:val="nil"/>
            </w:tcBorders>
          </w:tcPr>
          <w:p w14:paraId="40A11A20">
            <w:pPr>
              <w:pStyle w:val="85"/>
              <w:rPr>
                <w:sz w:val="21"/>
                <w:szCs w:val="21"/>
              </w:rPr>
            </w:pPr>
            <w:r>
              <w:rPr>
                <w:rFonts w:hint="eastAsia"/>
                <w:sz w:val="21"/>
                <w:szCs w:val="21"/>
              </w:rPr>
              <w:t>基于分层加权采样初始化种群</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7F74027B">
            <w:pPr>
              <w:ind w:firstLine="480"/>
              <w:rPr>
                <w:sz w:val="21"/>
                <w:szCs w:val="21"/>
              </w:rPr>
            </w:pPr>
          </w:p>
        </w:tc>
      </w:tr>
      <w:tr w14:paraId="1DB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5130312">
            <w:pPr>
              <w:ind w:firstLine="0" w:firstLineChars="0"/>
              <w:jc w:val="center"/>
              <w:rPr>
                <w:sz w:val="21"/>
                <w:szCs w:val="21"/>
              </w:rPr>
            </w:pPr>
            <w:r>
              <w:rPr>
                <w:rFonts w:hint="eastAsia"/>
                <w:sz w:val="21"/>
                <w:szCs w:val="21"/>
              </w:rPr>
              <w:t>5</w:t>
            </w:r>
          </w:p>
        </w:tc>
        <w:tc>
          <w:tcPr>
            <w:tcW w:w="8018" w:type="dxa"/>
            <w:tcBorders>
              <w:top w:val="nil"/>
              <w:left w:val="nil"/>
              <w:bottom w:val="nil"/>
              <w:right w:val="nil"/>
            </w:tcBorders>
          </w:tcPr>
          <w:p w14:paraId="5569AFE4">
            <w:pPr>
              <w:pStyle w:val="85"/>
              <w:rPr>
                <w:sz w:val="21"/>
                <w:szCs w:val="21"/>
              </w:rPr>
            </w:pPr>
            <w:r>
              <w:rPr>
                <w:rFonts w:hint="eastAsia"/>
                <w:sz w:val="21"/>
                <w:szCs w:val="21"/>
              </w:rPr>
              <w:t>对</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hAnsi="Cambria Math"/>
                <w:sz w:val="21"/>
                <w:szCs w:val="21"/>
              </w:rPr>
              <w:t>中每个个体显示评估</w:t>
            </w:r>
            <m:oMath>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ctrlPr>
                    <w:rPr>
                      <w:rFonts w:ascii="Cambria Math" w:hAnsi="Cambria Math"/>
                      <w:sz w:val="21"/>
                      <w:szCs w:val="21"/>
                    </w:rPr>
                  </m:ctrlPr>
                </m:e>
              </m:d>
            </m:oMath>
          </w:p>
        </w:tc>
        <w:tc>
          <w:tcPr>
            <w:tcW w:w="382" w:type="dxa"/>
            <w:tcBorders>
              <w:top w:val="nil"/>
              <w:left w:val="nil"/>
              <w:bottom w:val="nil"/>
              <w:right w:val="single" w:color="auto" w:sz="4" w:space="0"/>
            </w:tcBorders>
          </w:tcPr>
          <w:p w14:paraId="528D9C50">
            <w:pPr>
              <w:ind w:firstLine="480"/>
              <w:rPr>
                <w:sz w:val="21"/>
                <w:szCs w:val="21"/>
              </w:rPr>
            </w:pPr>
          </w:p>
        </w:tc>
      </w:tr>
      <w:tr w14:paraId="4FD1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49C865B">
            <w:pPr>
              <w:ind w:firstLine="0" w:firstLineChars="0"/>
              <w:jc w:val="center"/>
              <w:rPr>
                <w:sz w:val="21"/>
                <w:szCs w:val="21"/>
              </w:rPr>
            </w:pPr>
            <w:r>
              <w:rPr>
                <w:rFonts w:hint="eastAsia"/>
                <w:sz w:val="21"/>
                <w:szCs w:val="21"/>
              </w:rPr>
              <w:t>6</w:t>
            </w:r>
          </w:p>
        </w:tc>
        <w:tc>
          <w:tcPr>
            <w:tcW w:w="8018" w:type="dxa"/>
            <w:tcBorders>
              <w:top w:val="nil"/>
              <w:left w:val="nil"/>
              <w:bottom w:val="nil"/>
              <w:right w:val="nil"/>
            </w:tcBorders>
          </w:tcPr>
          <w:p w14:paraId="63DB3682">
            <w:pPr>
              <w:pStyle w:val="85"/>
              <w:rPr>
                <w:sz w:val="21"/>
                <w:szCs w:val="21"/>
              </w:rPr>
            </w:pPr>
            <w:r>
              <w:rPr>
                <w:rFonts w:hint="eastAsia"/>
                <w:sz w:val="21"/>
                <w:szCs w:val="21"/>
              </w:rPr>
              <w:t>对</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hAnsi="Cambria Math"/>
                <w:sz w:val="21"/>
                <w:szCs w:val="21"/>
              </w:rPr>
              <w:t>执行非支配排序与拥挤度计算</w:t>
            </w:r>
          </w:p>
        </w:tc>
        <w:tc>
          <w:tcPr>
            <w:tcW w:w="382" w:type="dxa"/>
            <w:tcBorders>
              <w:top w:val="nil"/>
              <w:left w:val="nil"/>
              <w:bottom w:val="nil"/>
              <w:right w:val="single" w:color="auto" w:sz="4" w:space="0"/>
            </w:tcBorders>
          </w:tcPr>
          <w:p w14:paraId="6BC7172E">
            <w:pPr>
              <w:ind w:firstLine="480"/>
              <w:rPr>
                <w:sz w:val="21"/>
                <w:szCs w:val="21"/>
              </w:rPr>
            </w:pPr>
          </w:p>
        </w:tc>
      </w:tr>
      <w:tr w14:paraId="1623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5BF5186">
            <w:pPr>
              <w:ind w:firstLine="0" w:firstLineChars="0"/>
              <w:jc w:val="center"/>
              <w:rPr>
                <w:sz w:val="21"/>
                <w:szCs w:val="21"/>
              </w:rPr>
            </w:pPr>
            <w:r>
              <w:rPr>
                <w:rFonts w:hint="eastAsia"/>
                <w:sz w:val="21"/>
                <w:szCs w:val="21"/>
              </w:rPr>
              <w:t>7</w:t>
            </w:r>
          </w:p>
        </w:tc>
        <w:tc>
          <w:tcPr>
            <w:tcW w:w="8018" w:type="dxa"/>
            <w:tcBorders>
              <w:top w:val="nil"/>
              <w:left w:val="nil"/>
              <w:bottom w:val="nil"/>
              <w:right w:val="nil"/>
            </w:tcBorders>
          </w:tcPr>
          <w:p w14:paraId="37A744AB">
            <w:pPr>
              <w:pStyle w:val="85"/>
              <w:rPr>
                <w:sz w:val="21"/>
                <w:szCs w:val="21"/>
              </w:rPr>
            </w:pPr>
            <w:r>
              <w:rPr>
                <w:rFonts w:hint="eastAsia"/>
                <w:sz w:val="21"/>
                <w:szCs w:val="21"/>
              </w:rPr>
              <w:t>初始化精英档案</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sz w:val="21"/>
                <w:szCs w:val="21"/>
              </w:rPr>
              <w:t xml:space="preserve"> </w:t>
            </w:r>
            <m:oMath>
              <m:r>
                <m:rPr/>
                <w:rPr>
                  <w:rFonts w:ascii="Cambria Math" w:hAnsi="Cambria Math"/>
                  <w:sz w:val="21"/>
                  <w:szCs w:val="21"/>
                </w:rPr>
                <m:t>←</m:t>
              </m:r>
            </m:oMath>
            <w:r>
              <w:rPr>
                <w:rFonts w:hint="eastAsia"/>
                <w:sz w:val="21"/>
                <w:szCs w:val="21"/>
              </w:rPr>
              <w:t>NonDominated(</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sz w:val="21"/>
                <w:szCs w:val="21"/>
              </w:rPr>
              <w:t>)</w:t>
            </w:r>
          </w:p>
        </w:tc>
        <w:tc>
          <w:tcPr>
            <w:tcW w:w="382" w:type="dxa"/>
            <w:tcBorders>
              <w:top w:val="nil"/>
              <w:left w:val="nil"/>
              <w:bottom w:val="nil"/>
              <w:right w:val="single" w:color="auto" w:sz="4" w:space="0"/>
            </w:tcBorders>
          </w:tcPr>
          <w:p w14:paraId="2702166F">
            <w:pPr>
              <w:ind w:firstLine="480"/>
              <w:rPr>
                <w:sz w:val="21"/>
                <w:szCs w:val="21"/>
              </w:rPr>
            </w:pPr>
          </w:p>
        </w:tc>
      </w:tr>
      <w:tr w14:paraId="79E7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8A55F5A">
            <w:pPr>
              <w:ind w:firstLine="0" w:firstLineChars="0"/>
              <w:jc w:val="center"/>
              <w:rPr>
                <w:sz w:val="21"/>
                <w:szCs w:val="21"/>
              </w:rPr>
            </w:pPr>
            <w:r>
              <w:rPr>
                <w:rFonts w:hint="eastAsia"/>
                <w:sz w:val="21"/>
                <w:szCs w:val="21"/>
              </w:rPr>
              <w:t>8</w:t>
            </w:r>
          </w:p>
        </w:tc>
        <w:tc>
          <w:tcPr>
            <w:tcW w:w="8018" w:type="dxa"/>
            <w:tcBorders>
              <w:top w:val="nil"/>
              <w:left w:val="nil"/>
              <w:bottom w:val="nil"/>
              <w:right w:val="nil"/>
            </w:tcBorders>
          </w:tcPr>
          <w:p w14:paraId="2B47F1BD">
            <w:pPr>
              <w:pStyle w:val="85"/>
              <w:rPr>
                <w:sz w:val="21"/>
                <w:szCs w:val="21"/>
              </w:rPr>
            </w:pPr>
            <w:r>
              <w:rPr>
                <w:rFonts w:hint="eastAsia"/>
                <w:b/>
                <w:bCs/>
                <w:sz w:val="21"/>
                <w:szCs w:val="21"/>
              </w:rPr>
              <w:t>for</w:t>
            </w:r>
            <w:r>
              <w:rPr>
                <w:rFonts w:hint="eastAsia"/>
                <w:sz w:val="21"/>
                <w:szCs w:val="21"/>
              </w:rPr>
              <w:t xml:space="preserve"> t=0 to T-1</w:t>
            </w:r>
          </w:p>
        </w:tc>
        <w:tc>
          <w:tcPr>
            <w:tcW w:w="382" w:type="dxa"/>
            <w:tcBorders>
              <w:top w:val="nil"/>
              <w:left w:val="nil"/>
              <w:bottom w:val="nil"/>
              <w:right w:val="single" w:color="auto" w:sz="4" w:space="0"/>
            </w:tcBorders>
          </w:tcPr>
          <w:p w14:paraId="0211A4AC">
            <w:pPr>
              <w:ind w:firstLine="480"/>
              <w:rPr>
                <w:sz w:val="21"/>
                <w:szCs w:val="21"/>
              </w:rPr>
            </w:pPr>
          </w:p>
        </w:tc>
      </w:tr>
      <w:tr w14:paraId="0063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1BBB4C6">
            <w:pPr>
              <w:ind w:firstLine="0" w:firstLineChars="0"/>
              <w:jc w:val="center"/>
              <w:rPr>
                <w:sz w:val="21"/>
                <w:szCs w:val="21"/>
              </w:rPr>
            </w:pPr>
            <w:r>
              <w:rPr>
                <w:rFonts w:hint="eastAsia"/>
                <w:sz w:val="21"/>
                <w:szCs w:val="21"/>
              </w:rPr>
              <w:t>9</w:t>
            </w:r>
          </w:p>
        </w:tc>
        <w:tc>
          <w:tcPr>
            <w:tcW w:w="8018" w:type="dxa"/>
            <w:tcBorders>
              <w:top w:val="nil"/>
              <w:left w:val="nil"/>
              <w:bottom w:val="nil"/>
              <w:right w:val="nil"/>
            </w:tcBorders>
          </w:tcPr>
          <w:p w14:paraId="0912D9BD">
            <w:pPr>
              <w:pStyle w:val="85"/>
              <w:rPr>
                <w:sz w:val="21"/>
                <w:szCs w:val="21"/>
              </w:rPr>
            </w:pPr>
            <w:r>
              <w:rPr>
                <w:rFonts w:hint="eastAsia"/>
                <w:sz w:val="21"/>
                <w:szCs w:val="21"/>
              </w:rPr>
              <w:t xml:space="preserve">    基于二元锦标赛选择构建交配池</w:t>
            </w:r>
            <m:oMath>
              <m:sSub>
                <m:sSubPr>
                  <m:ctrlPr>
                    <w:rPr>
                      <w:rFonts w:ascii="Cambria Math" w:hAnsi="Cambria Math"/>
                      <w:sz w:val="21"/>
                      <w:szCs w:val="21"/>
                    </w:rPr>
                  </m:ctrlPr>
                </m:sSubPr>
                <m:e>
                  <m:r>
                    <m:rPr>
                      <m:sty m:val="p"/>
                    </m:rPr>
                    <w:rPr>
                      <w:rFonts w:hint="eastAsia" w:ascii="Cambria Math" w:hAnsi="Cambria Math"/>
                      <w:sz w:val="21"/>
                      <w:szCs w:val="21"/>
                    </w:rPr>
                    <m:t>M</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（含显式精英注入）</w:t>
            </w:r>
          </w:p>
        </w:tc>
        <w:tc>
          <w:tcPr>
            <w:tcW w:w="382" w:type="dxa"/>
            <w:tcBorders>
              <w:top w:val="nil"/>
              <w:left w:val="nil"/>
              <w:bottom w:val="nil"/>
              <w:right w:val="single" w:color="auto" w:sz="4" w:space="0"/>
            </w:tcBorders>
          </w:tcPr>
          <w:p w14:paraId="3337D7EA">
            <w:pPr>
              <w:ind w:firstLine="480"/>
              <w:rPr>
                <w:sz w:val="21"/>
                <w:szCs w:val="21"/>
              </w:rPr>
            </w:pPr>
          </w:p>
        </w:tc>
      </w:tr>
      <w:tr w14:paraId="7AC7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1C1A90E">
            <w:pPr>
              <w:ind w:firstLine="0" w:firstLineChars="0"/>
              <w:jc w:val="center"/>
              <w:rPr>
                <w:sz w:val="21"/>
                <w:szCs w:val="21"/>
              </w:rPr>
            </w:pPr>
            <w:r>
              <w:rPr>
                <w:rFonts w:hint="eastAsia"/>
                <w:sz w:val="21"/>
                <w:szCs w:val="21"/>
              </w:rPr>
              <w:t>10</w:t>
            </w:r>
          </w:p>
        </w:tc>
        <w:tc>
          <w:tcPr>
            <w:tcW w:w="8018" w:type="dxa"/>
            <w:tcBorders>
              <w:top w:val="nil"/>
              <w:left w:val="nil"/>
              <w:bottom w:val="nil"/>
              <w:right w:val="nil"/>
            </w:tcBorders>
          </w:tcPr>
          <w:p w14:paraId="2D7F6291">
            <w:pPr>
              <w:pStyle w:val="85"/>
              <w:rPr>
                <w:sz w:val="21"/>
                <w:szCs w:val="21"/>
              </w:rPr>
            </w:pPr>
            <w:r>
              <w:rPr>
                <w:rFonts w:hint="eastAsia"/>
                <w:sz w:val="21"/>
                <w:szCs w:val="21"/>
              </w:rPr>
              <w:t xml:space="preserve">    对交配池个体按概率</w:t>
            </w:r>
            <m:oMath>
              <m:sSub>
                <m:sSubPr>
                  <m:ctrlPr>
                    <w:rPr>
                      <w:rFonts w:ascii="Cambria Math" w:hAnsi="Cambria Math"/>
                      <w:sz w:val="21"/>
                      <w:szCs w:val="21"/>
                    </w:rPr>
                  </m:ctrlPr>
                </m:sSubPr>
                <m:e>
                  <m:r>
                    <m:rPr>
                      <m:sty m:val="p"/>
                    </m:rPr>
                    <w:rPr>
                      <w:rFonts w:hint="eastAsia"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c</m:t>
                  </m:r>
                  <m:ctrlPr>
                    <w:rPr>
                      <w:rFonts w:ascii="Cambria Math" w:hAnsi="Cambria Math"/>
                      <w:sz w:val="21"/>
                      <w:szCs w:val="21"/>
                    </w:rPr>
                  </m:ctrlPr>
                </m:sub>
              </m:sSub>
            </m:oMath>
            <w:r>
              <w:rPr>
                <w:rFonts w:hint="eastAsia" w:hAnsi="Cambria Math"/>
                <w:sz w:val="21"/>
                <w:szCs w:val="21"/>
              </w:rPr>
              <w:t>执行句边界优先单点交叉，生成中间子代</w:t>
            </w:r>
          </w:p>
        </w:tc>
        <w:tc>
          <w:tcPr>
            <w:tcW w:w="382" w:type="dxa"/>
            <w:tcBorders>
              <w:top w:val="nil"/>
              <w:left w:val="nil"/>
              <w:bottom w:val="nil"/>
              <w:right w:val="single" w:color="auto" w:sz="4" w:space="0"/>
            </w:tcBorders>
          </w:tcPr>
          <w:p w14:paraId="0AF52CDF">
            <w:pPr>
              <w:ind w:firstLine="480"/>
              <w:rPr>
                <w:sz w:val="21"/>
                <w:szCs w:val="21"/>
              </w:rPr>
            </w:pPr>
          </w:p>
        </w:tc>
      </w:tr>
      <w:tr w14:paraId="67B5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21C6CEC">
            <w:pPr>
              <w:ind w:firstLine="0" w:firstLineChars="0"/>
              <w:jc w:val="center"/>
              <w:rPr>
                <w:sz w:val="21"/>
                <w:szCs w:val="21"/>
              </w:rPr>
            </w:pPr>
            <w:r>
              <w:rPr>
                <w:rFonts w:hint="eastAsia"/>
                <w:sz w:val="21"/>
                <w:szCs w:val="21"/>
              </w:rPr>
              <w:t>11</w:t>
            </w:r>
          </w:p>
        </w:tc>
        <w:tc>
          <w:tcPr>
            <w:tcW w:w="8018" w:type="dxa"/>
            <w:tcBorders>
              <w:top w:val="nil"/>
              <w:left w:val="nil"/>
              <w:bottom w:val="nil"/>
              <w:right w:val="nil"/>
            </w:tcBorders>
          </w:tcPr>
          <w:p w14:paraId="578B5FCB">
            <w:pPr>
              <w:pStyle w:val="85"/>
              <w:rPr>
                <w:sz w:val="21"/>
                <w:szCs w:val="21"/>
              </w:rPr>
            </w:pPr>
            <w:r>
              <w:rPr>
                <w:rFonts w:hint="eastAsia"/>
                <w:sz w:val="21"/>
                <w:szCs w:val="21"/>
              </w:rPr>
              <w:t xml:space="preserve">    对中间子代按概率</w:t>
            </w:r>
            <m:oMath>
              <m:sSub>
                <m:sSubPr>
                  <m:ctrlPr>
                    <w:rPr>
                      <w:rFonts w:ascii="Cambria Math" w:hAnsi="Cambria Math"/>
                      <w:sz w:val="21"/>
                      <w:szCs w:val="21"/>
                    </w:rPr>
                  </m:ctrlPr>
                </m:sSubPr>
                <m:e>
                  <m:r>
                    <m:rPr>
                      <m:sty m:val="p"/>
                    </m:rPr>
                    <w:rPr>
                      <w:rFonts w:hint="eastAsia" w:ascii="Cambria Math" w:hAnsi="Cambria Math"/>
                      <w:sz w:val="21"/>
                      <w:szCs w:val="21"/>
                    </w:rPr>
                    <m:t>p</m:t>
                  </m:r>
                  <m:ctrlPr>
                    <w:rPr>
                      <w:rFonts w:ascii="Cambria Math" w:hAnsi="Cambria Math"/>
                      <w:sz w:val="21"/>
                      <w:szCs w:val="21"/>
                    </w:rPr>
                  </m:ctrlPr>
                </m:e>
                <m:sub>
                  <m:r>
                    <m:rPr>
                      <m:sty m:val="p"/>
                    </m:rPr>
                    <w:rPr>
                      <w:rFonts w:hint="eastAsia" w:ascii="Cambria Math" w:hAnsi="Cambria Math"/>
                      <w:sz w:val="21"/>
                      <w:szCs w:val="21"/>
                    </w:rPr>
                    <m:t>m</m:t>
                  </m:r>
                  <m:ctrlPr>
                    <w:rPr>
                      <w:rFonts w:ascii="Cambria Math" w:hAnsi="Cambria Math"/>
                      <w:sz w:val="21"/>
                      <w:szCs w:val="21"/>
                    </w:rPr>
                  </m:ctrlPr>
                </m:sub>
              </m:sSub>
            </m:oMath>
            <w:r>
              <w:rPr>
                <w:rFonts w:hint="eastAsia" w:hAnsi="Cambria Math"/>
                <w:sz w:val="21"/>
                <w:szCs w:val="21"/>
              </w:rPr>
              <w:t>执行动态重要性引导变异，得到子代种群</w:t>
            </w:r>
            <m:oMath>
              <m:sSub>
                <m:sSubPr>
                  <m:ctrlPr>
                    <w:rPr>
                      <w:rFonts w:ascii="Cambria Math" w:hAnsi="Cambria Math"/>
                      <w:sz w:val="21"/>
                      <w:szCs w:val="21"/>
                    </w:rPr>
                  </m:ctrlPr>
                </m:sSubPr>
                <m:e>
                  <m:r>
                    <m:rPr>
                      <m:sty m:val="p"/>
                    </m:rPr>
                    <w:rPr>
                      <w:rFonts w:hint="eastAsia" w:ascii="Cambria Math" w:hAnsi="Cambria Math"/>
                      <w:sz w:val="21"/>
                      <w:szCs w:val="21"/>
                    </w:rPr>
                    <m:t>Q</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18E6C238">
            <w:pPr>
              <w:ind w:firstLine="480"/>
              <w:rPr>
                <w:sz w:val="21"/>
                <w:szCs w:val="21"/>
              </w:rPr>
            </w:pPr>
          </w:p>
        </w:tc>
      </w:tr>
      <w:tr w14:paraId="4851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DA79FF1">
            <w:pPr>
              <w:ind w:firstLine="0" w:firstLineChars="0"/>
              <w:jc w:val="center"/>
              <w:rPr>
                <w:sz w:val="21"/>
                <w:szCs w:val="21"/>
              </w:rPr>
            </w:pPr>
            <w:r>
              <w:rPr>
                <w:rFonts w:hint="eastAsia"/>
                <w:sz w:val="21"/>
                <w:szCs w:val="21"/>
              </w:rPr>
              <w:t>12</w:t>
            </w:r>
          </w:p>
        </w:tc>
        <w:tc>
          <w:tcPr>
            <w:tcW w:w="8018" w:type="dxa"/>
            <w:tcBorders>
              <w:top w:val="nil"/>
              <w:left w:val="nil"/>
              <w:bottom w:val="nil"/>
              <w:right w:val="nil"/>
            </w:tcBorders>
          </w:tcPr>
          <w:p w14:paraId="62AFB54B">
            <w:pPr>
              <w:pStyle w:val="85"/>
              <w:rPr>
                <w:sz w:val="21"/>
                <w:szCs w:val="21"/>
              </w:rPr>
            </w:pPr>
            <w:r>
              <w:rPr>
                <w:rFonts w:hint="eastAsia"/>
                <w:sz w:val="21"/>
                <w:szCs w:val="21"/>
              </w:rPr>
              <w:t xml:space="preserve">    显示评估</w:t>
            </w:r>
            <m:oMath>
              <m:sSub>
                <m:sSubPr>
                  <m:ctrlPr>
                    <w:rPr>
                      <w:rFonts w:ascii="Cambria Math" w:hAnsi="Cambria Math"/>
                      <w:sz w:val="21"/>
                      <w:szCs w:val="21"/>
                    </w:rPr>
                  </m:ctrlPr>
                </m:sSubPr>
                <m:e>
                  <m:r>
                    <m:rPr>
                      <m:sty m:val="p"/>
                    </m:rPr>
                    <w:rPr>
                      <w:rFonts w:hint="eastAsia" w:ascii="Cambria Math" w:hAnsi="Cambria Math"/>
                      <w:sz w:val="21"/>
                      <w:szCs w:val="21"/>
                    </w:rPr>
                    <m:t>Q</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中所有个体</w:t>
            </w:r>
            <m:oMath>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ctrlPr>
                    <w:rPr>
                      <w:rFonts w:ascii="Cambria Math" w:hAnsi="Cambria Math"/>
                      <w:sz w:val="21"/>
                      <w:szCs w:val="21"/>
                    </w:rPr>
                  </m:ctrlPr>
                </m:e>
              </m:d>
            </m:oMath>
          </w:p>
        </w:tc>
        <w:tc>
          <w:tcPr>
            <w:tcW w:w="382" w:type="dxa"/>
            <w:tcBorders>
              <w:top w:val="nil"/>
              <w:left w:val="nil"/>
              <w:bottom w:val="nil"/>
              <w:right w:val="single" w:color="auto" w:sz="4" w:space="0"/>
            </w:tcBorders>
          </w:tcPr>
          <w:p w14:paraId="09CAE8CC">
            <w:pPr>
              <w:ind w:firstLine="480"/>
              <w:rPr>
                <w:sz w:val="21"/>
                <w:szCs w:val="21"/>
              </w:rPr>
            </w:pPr>
          </w:p>
        </w:tc>
      </w:tr>
      <w:tr w14:paraId="6AE1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D60B1C3">
            <w:pPr>
              <w:ind w:firstLine="0" w:firstLineChars="0"/>
              <w:jc w:val="center"/>
              <w:rPr>
                <w:sz w:val="21"/>
                <w:szCs w:val="21"/>
              </w:rPr>
            </w:pPr>
            <w:r>
              <w:rPr>
                <w:rFonts w:hint="eastAsia"/>
                <w:sz w:val="21"/>
                <w:szCs w:val="21"/>
              </w:rPr>
              <w:t>13</w:t>
            </w:r>
          </w:p>
        </w:tc>
        <w:tc>
          <w:tcPr>
            <w:tcW w:w="8018" w:type="dxa"/>
            <w:tcBorders>
              <w:top w:val="nil"/>
              <w:left w:val="nil"/>
              <w:bottom w:val="nil"/>
              <w:right w:val="nil"/>
            </w:tcBorders>
          </w:tcPr>
          <w:p w14:paraId="01908140">
            <w:pPr>
              <w:pStyle w:val="85"/>
              <w:rPr>
                <w:sz w:val="21"/>
                <w:szCs w:val="21"/>
              </w:rPr>
            </w:pPr>
            <w:r>
              <w:rPr>
                <w:rFonts w:hint="eastAsia"/>
                <w:sz w:val="21"/>
                <w:szCs w:val="21"/>
              </w:rPr>
              <w:t xml:space="preserve">    合并</w:t>
            </w:r>
            <m:oMath>
              <m:sSub>
                <m:sSubPr>
                  <m:ctrlPr>
                    <w:rPr>
                      <w:rFonts w:ascii="Cambria Math" w:hAnsi="Cambria Math"/>
                      <w:sz w:val="21"/>
                      <w:szCs w:val="21"/>
                    </w:rPr>
                  </m:ctrlPr>
                </m:sSubPr>
                <m:e>
                  <m:r>
                    <m:rPr/>
                    <w:rPr>
                      <w:rFonts w:ascii="Cambria Math" w:hAnsi="Cambria Math"/>
                      <w:sz w:val="21"/>
                      <w:szCs w:val="21"/>
                    </w:rPr>
                    <m:t>R</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1FBB2E06">
            <w:pPr>
              <w:ind w:firstLine="480"/>
              <w:rPr>
                <w:sz w:val="21"/>
                <w:szCs w:val="21"/>
              </w:rPr>
            </w:pPr>
          </w:p>
        </w:tc>
      </w:tr>
      <w:tr w14:paraId="0A71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0FBDA3A">
            <w:pPr>
              <w:ind w:firstLine="0" w:firstLineChars="0"/>
              <w:jc w:val="center"/>
              <w:rPr>
                <w:sz w:val="21"/>
                <w:szCs w:val="21"/>
              </w:rPr>
            </w:pPr>
            <w:r>
              <w:rPr>
                <w:rFonts w:hint="eastAsia"/>
                <w:sz w:val="21"/>
                <w:szCs w:val="21"/>
              </w:rPr>
              <w:t>14</w:t>
            </w:r>
          </w:p>
        </w:tc>
        <w:tc>
          <w:tcPr>
            <w:tcW w:w="8018" w:type="dxa"/>
            <w:tcBorders>
              <w:top w:val="nil"/>
              <w:left w:val="nil"/>
              <w:bottom w:val="nil"/>
              <w:right w:val="nil"/>
            </w:tcBorders>
          </w:tcPr>
          <w:p w14:paraId="38EFDF87">
            <w:pPr>
              <w:pStyle w:val="85"/>
              <w:rPr>
                <w:sz w:val="21"/>
                <w:szCs w:val="21"/>
              </w:rPr>
            </w:pPr>
            <w:r>
              <w:rPr>
                <w:rFonts w:hint="eastAsia"/>
                <w:sz w:val="21"/>
                <w:szCs w:val="21"/>
              </w:rPr>
              <w:t xml:space="preserve">    对</w:t>
            </w:r>
            <m:oMath>
              <m:sSub>
                <m:sSubPr>
                  <m:ctrlPr>
                    <w:rPr>
                      <w:rFonts w:ascii="Cambria Math" w:hAnsi="Cambria Math"/>
                      <w:sz w:val="21"/>
                      <w:szCs w:val="21"/>
                    </w:rPr>
                  </m:ctrlPr>
                </m:sSubPr>
                <m:e>
                  <m:r>
                    <m:rPr/>
                    <w:rPr>
                      <w:rFonts w:ascii="Cambria Math" w:hAnsi="Cambria Math"/>
                      <w:sz w:val="21"/>
                      <w:szCs w:val="21"/>
                    </w:rPr>
                    <m:t>R</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r>
              <w:rPr>
                <w:rFonts w:hint="eastAsia" w:hAnsi="Cambria Math"/>
                <w:sz w:val="21"/>
                <w:szCs w:val="21"/>
              </w:rPr>
              <w:t>执行NSGA-</w:t>
            </w:r>
            <w:r>
              <w:rPr>
                <w:rFonts w:hint="eastAsia"/>
                <w:sz w:val="21"/>
                <w:szCs w:val="21"/>
              </w:rPr>
              <w:t>II环境选择，得到</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t+1</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655F0C91">
            <w:pPr>
              <w:ind w:firstLine="480"/>
              <w:rPr>
                <w:sz w:val="21"/>
                <w:szCs w:val="21"/>
              </w:rPr>
            </w:pPr>
          </w:p>
        </w:tc>
      </w:tr>
      <w:tr w14:paraId="7539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235B1D4">
            <w:pPr>
              <w:ind w:firstLine="0" w:firstLineChars="0"/>
              <w:jc w:val="center"/>
              <w:rPr>
                <w:sz w:val="21"/>
                <w:szCs w:val="21"/>
              </w:rPr>
            </w:pPr>
            <w:r>
              <w:rPr>
                <w:rFonts w:hint="eastAsia"/>
                <w:sz w:val="21"/>
                <w:szCs w:val="21"/>
              </w:rPr>
              <w:t>15</w:t>
            </w:r>
          </w:p>
        </w:tc>
        <w:tc>
          <w:tcPr>
            <w:tcW w:w="8018" w:type="dxa"/>
            <w:tcBorders>
              <w:top w:val="nil"/>
              <w:left w:val="nil"/>
              <w:bottom w:val="nil"/>
              <w:right w:val="nil"/>
            </w:tcBorders>
          </w:tcPr>
          <w:p w14:paraId="70F3F465">
            <w:pPr>
              <w:pStyle w:val="85"/>
              <w:rPr>
                <w:sz w:val="21"/>
                <w:szCs w:val="21"/>
              </w:rPr>
            </w:pPr>
            <w:r>
              <w:rPr>
                <w:rFonts w:hint="eastAsia"/>
                <w:sz w:val="21"/>
                <w:szCs w:val="21"/>
              </w:rPr>
              <w:t xml:space="preserve">    非支配过滤+拥挤度截断更新精英档案</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t+1</m:t>
                  </m:r>
                  <m:ctrlPr>
                    <w:rPr>
                      <w:rFonts w:ascii="Cambria Math" w:hAnsi="Cambria Math"/>
                      <w:sz w:val="21"/>
                      <w:szCs w:val="21"/>
                    </w:rPr>
                  </m:ctrlPr>
                </m:sub>
              </m:sSub>
            </m:oMath>
          </w:p>
        </w:tc>
        <w:tc>
          <w:tcPr>
            <w:tcW w:w="382" w:type="dxa"/>
            <w:tcBorders>
              <w:top w:val="nil"/>
              <w:left w:val="nil"/>
              <w:bottom w:val="nil"/>
              <w:right w:val="single" w:color="auto" w:sz="4" w:space="0"/>
            </w:tcBorders>
          </w:tcPr>
          <w:p w14:paraId="59F3B37C">
            <w:pPr>
              <w:ind w:firstLine="480"/>
              <w:rPr>
                <w:sz w:val="21"/>
                <w:szCs w:val="21"/>
              </w:rPr>
            </w:pPr>
          </w:p>
        </w:tc>
      </w:tr>
      <w:tr w14:paraId="1BD8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CB0A5FE">
            <w:pPr>
              <w:ind w:firstLine="0" w:firstLineChars="0"/>
              <w:jc w:val="center"/>
              <w:rPr>
                <w:sz w:val="21"/>
                <w:szCs w:val="21"/>
              </w:rPr>
            </w:pPr>
            <w:r>
              <w:rPr>
                <w:rFonts w:hint="eastAsia"/>
                <w:sz w:val="21"/>
                <w:szCs w:val="21"/>
              </w:rPr>
              <w:t>16</w:t>
            </w:r>
          </w:p>
        </w:tc>
        <w:tc>
          <w:tcPr>
            <w:tcW w:w="8018" w:type="dxa"/>
            <w:tcBorders>
              <w:top w:val="nil"/>
              <w:left w:val="nil"/>
              <w:bottom w:val="nil"/>
              <w:right w:val="nil"/>
            </w:tcBorders>
          </w:tcPr>
          <w:p w14:paraId="5FDCE1B4">
            <w:pPr>
              <w:pStyle w:val="85"/>
              <w:rPr>
                <w:sz w:val="21"/>
                <w:szCs w:val="21"/>
              </w:rPr>
            </w:pPr>
            <w:r>
              <w:rPr>
                <w:rFonts w:hint="eastAsia"/>
                <w:b/>
                <w:bCs/>
                <w:sz w:val="21"/>
                <w:szCs w:val="21"/>
              </w:rPr>
              <w:t>end</w:t>
            </w:r>
          </w:p>
        </w:tc>
        <w:tc>
          <w:tcPr>
            <w:tcW w:w="382" w:type="dxa"/>
            <w:tcBorders>
              <w:top w:val="nil"/>
              <w:left w:val="nil"/>
              <w:bottom w:val="nil"/>
              <w:right w:val="single" w:color="auto" w:sz="4" w:space="0"/>
            </w:tcBorders>
          </w:tcPr>
          <w:p w14:paraId="37CBADD4">
            <w:pPr>
              <w:ind w:firstLine="480"/>
              <w:rPr>
                <w:sz w:val="21"/>
                <w:szCs w:val="21"/>
              </w:rPr>
            </w:pPr>
          </w:p>
        </w:tc>
      </w:tr>
      <w:tr w14:paraId="3B9F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7CEBD02">
            <w:pPr>
              <w:ind w:firstLine="0" w:firstLineChars="0"/>
              <w:jc w:val="center"/>
              <w:rPr>
                <w:sz w:val="21"/>
                <w:szCs w:val="21"/>
              </w:rPr>
            </w:pPr>
            <w:r>
              <w:rPr>
                <w:rFonts w:hint="eastAsia"/>
                <w:sz w:val="21"/>
                <w:szCs w:val="21"/>
              </w:rPr>
              <w:t>17</w:t>
            </w:r>
          </w:p>
        </w:tc>
        <w:tc>
          <w:tcPr>
            <w:tcW w:w="8018" w:type="dxa"/>
            <w:tcBorders>
              <w:top w:val="nil"/>
              <w:left w:val="nil"/>
              <w:bottom w:val="nil"/>
              <w:right w:val="nil"/>
            </w:tcBorders>
          </w:tcPr>
          <w:p w14:paraId="3135E4D9">
            <w:pPr>
              <w:pStyle w:val="85"/>
              <w:rPr>
                <w:sz w:val="21"/>
                <w:szCs w:val="21"/>
              </w:rPr>
            </w:pPr>
            <w:r>
              <w:rPr>
                <w:rFonts w:hint="eastAsia"/>
                <w:sz w:val="21"/>
                <w:szCs w:val="21"/>
              </w:rPr>
              <w:t>在最终档案上</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sz w:val="21"/>
                <w:szCs w:val="21"/>
              </w:rPr>
              <w:t>执行代表解选择，得到</w:t>
            </w:r>
            <m:oMath>
              <m:sSup>
                <m:sSupPr>
                  <m:ctrlPr>
                    <w:rPr>
                      <w:rFonts w:ascii="Cambria Math" w:hAnsi="Cambria Math"/>
                      <w:i/>
                      <w:sz w:val="21"/>
                      <w:szCs w:val="21"/>
                    </w:rPr>
                  </m:ctrlPr>
                </m:sSupPr>
                <m:e>
                  <m:r>
                    <m:rPr/>
                    <w:rPr>
                      <w:rFonts w:ascii="Cambria Math" w:hAnsi="Cambria Math"/>
                      <w:sz w:val="21"/>
                      <w:szCs w:val="21"/>
                    </w:rPr>
                    <m:t>d</m:t>
                  </m:r>
                  <m:ctrlPr>
                    <w:rPr>
                      <w:rFonts w:ascii="Cambria Math" w:hAnsi="Cambria Math"/>
                      <w:i/>
                      <w:sz w:val="21"/>
                      <w:szCs w:val="21"/>
                    </w:rPr>
                  </m:ctrlPr>
                </m:e>
                <m:sup>
                  <m:r>
                    <m:rPr/>
                    <w:rPr>
                      <w:rFonts w:ascii="Cambria Math" w:hAnsi="Cambria Math"/>
                      <w:sz w:val="21"/>
                      <w:szCs w:val="21"/>
                    </w:rPr>
                    <m:t>∗</m:t>
                  </m:r>
                  <m:ctrlPr>
                    <w:rPr>
                      <w:rFonts w:ascii="Cambria Math" w:hAnsi="Cambria Math"/>
                      <w:i/>
                      <w:sz w:val="21"/>
                      <w:szCs w:val="21"/>
                    </w:rPr>
                  </m:ctrlPr>
                </m:sup>
              </m:sSup>
              <m:r>
                <m:rPr/>
                <w:rPr>
                  <w:rFonts w:ascii="Cambria Math" w:hAnsi="Cambria Math"/>
                  <w:sz w:val="21"/>
                  <w:szCs w:val="21"/>
                </w:rPr>
                <m:t>←</m:t>
              </m:r>
            </m:oMath>
            <w:r>
              <w:rPr>
                <w:rFonts w:hint="eastAsia" w:hAnsi="Cambria Math"/>
                <w:sz w:val="21"/>
                <w:szCs w:val="21"/>
              </w:rPr>
              <w:t>SelectRep(</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w:t>
            </w:r>
          </w:p>
        </w:tc>
        <w:tc>
          <w:tcPr>
            <w:tcW w:w="382" w:type="dxa"/>
            <w:tcBorders>
              <w:top w:val="nil"/>
              <w:left w:val="nil"/>
              <w:bottom w:val="nil"/>
              <w:right w:val="single" w:color="auto" w:sz="4" w:space="0"/>
            </w:tcBorders>
          </w:tcPr>
          <w:p w14:paraId="7B991A9E">
            <w:pPr>
              <w:ind w:firstLine="480"/>
              <w:rPr>
                <w:sz w:val="21"/>
                <w:szCs w:val="21"/>
              </w:rPr>
            </w:pPr>
          </w:p>
        </w:tc>
      </w:tr>
      <w:tr w14:paraId="2360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single" w:color="auto" w:sz="4" w:space="0"/>
              <w:right w:val="nil"/>
            </w:tcBorders>
          </w:tcPr>
          <w:p w14:paraId="5F8F8B17">
            <w:pPr>
              <w:ind w:firstLine="0" w:firstLineChars="0"/>
              <w:jc w:val="center"/>
              <w:rPr>
                <w:sz w:val="21"/>
                <w:szCs w:val="21"/>
              </w:rPr>
            </w:pPr>
          </w:p>
        </w:tc>
        <w:tc>
          <w:tcPr>
            <w:tcW w:w="8018" w:type="dxa"/>
            <w:tcBorders>
              <w:top w:val="nil"/>
              <w:left w:val="nil"/>
              <w:bottom w:val="single" w:color="auto" w:sz="4" w:space="0"/>
              <w:right w:val="nil"/>
            </w:tcBorders>
          </w:tcPr>
          <w:p w14:paraId="20D7E7BF">
            <w:pPr>
              <w:pStyle w:val="85"/>
              <w:rPr>
                <w:sz w:val="21"/>
                <w:szCs w:val="21"/>
              </w:rPr>
            </w:pPr>
            <w:r>
              <w:rPr>
                <w:rFonts w:hint="eastAsia"/>
                <w:b/>
                <w:bCs/>
                <w:sz w:val="21"/>
                <w:szCs w:val="21"/>
              </w:rPr>
              <w:t>return</w:t>
            </w:r>
            <w:r>
              <w:rPr>
                <w:rFonts w:hint="eastAsia"/>
                <w:sz w:val="21"/>
                <w:szCs w:val="21"/>
              </w:rPr>
              <w:t xml:space="preserve"> </w:t>
            </w:r>
            <m:oMath>
              <m:sSup>
                <m:sSupPr>
                  <m:ctrlPr>
                    <w:rPr>
                      <w:rFonts w:ascii="Cambria Math" w:hAnsi="Cambria Math"/>
                      <w:i/>
                      <w:sz w:val="21"/>
                      <w:szCs w:val="21"/>
                    </w:rPr>
                  </m:ctrlPr>
                </m:sSupPr>
                <m:e>
                  <m:r>
                    <m:rPr/>
                    <w:rPr>
                      <w:rFonts w:ascii="Cambria Math" w:hAnsi="Cambria Math"/>
                      <w:sz w:val="21"/>
                      <w:szCs w:val="21"/>
                    </w:rPr>
                    <m:t>d</m:t>
                  </m:r>
                  <m:ctrlPr>
                    <w:rPr>
                      <w:rFonts w:ascii="Cambria Math" w:hAnsi="Cambria Math"/>
                      <w:i/>
                      <w:sz w:val="21"/>
                      <w:szCs w:val="21"/>
                    </w:rPr>
                  </m:ctrlPr>
                </m:e>
                <m:sup>
                  <m:r>
                    <m:rPr/>
                    <w:rPr>
                      <w:rFonts w:ascii="Cambria Math" w:hAnsi="Cambria Math"/>
                      <w:sz w:val="21"/>
                      <w:szCs w:val="21"/>
                    </w:rPr>
                    <m:t>∗</m:t>
                  </m:r>
                  <m:ctrlPr>
                    <w:rPr>
                      <w:rFonts w:ascii="Cambria Math" w:hAnsi="Cambria Math"/>
                      <w:i/>
                      <w:sz w:val="21"/>
                      <w:szCs w:val="21"/>
                    </w:rPr>
                  </m:ctrlPr>
                </m:sup>
              </m:sSup>
            </m:oMath>
          </w:p>
        </w:tc>
        <w:tc>
          <w:tcPr>
            <w:tcW w:w="382" w:type="dxa"/>
            <w:tcBorders>
              <w:top w:val="nil"/>
              <w:left w:val="nil"/>
              <w:bottom w:val="single" w:color="auto" w:sz="4" w:space="0"/>
              <w:right w:val="single" w:color="auto" w:sz="4" w:space="0"/>
            </w:tcBorders>
          </w:tcPr>
          <w:p w14:paraId="15E23D91">
            <w:pPr>
              <w:ind w:firstLine="480"/>
              <w:rPr>
                <w:sz w:val="21"/>
                <w:szCs w:val="21"/>
              </w:rPr>
            </w:pPr>
          </w:p>
        </w:tc>
      </w:tr>
    </w:tbl>
    <w:p w14:paraId="4BECA0D5">
      <w:pPr>
        <w:pStyle w:val="4"/>
      </w:pPr>
      <w:bookmarkStart w:id="95" w:name="_Toc24901"/>
      <w:r>
        <w:rPr>
          <w:rFonts w:hint="eastAsia"/>
        </w:rPr>
        <w:t>4.2.2  种群初始化</w:t>
      </w:r>
      <w:bookmarkEnd w:id="95"/>
    </w:p>
    <w:p w14:paraId="4FE2D81B">
      <w:pPr>
        <w:ind w:firstLine="480"/>
      </w:pPr>
      <w:r>
        <w:rPr>
          <w:rFonts w:hint="eastAsia"/>
        </w:rPr>
        <w:t xml:space="preserve">种群初始化是遗传算法的第一步，直接影响搜索的起始点和多样性。确保初始个体在覆盖高影响力词元的同时保持多样性可以为后续对抗文档生成打下坚实基础。   </w:t>
      </w:r>
    </w:p>
    <w:p w14:paraId="4C895DA6">
      <w:pPr>
        <w:ind w:firstLine="480"/>
      </w:pPr>
      <w:r>
        <w:rPr>
          <w:rFonts w:hint="eastAsia"/>
        </w:rPr>
        <w:t>在RAG检索召回文档过程中，不同的词元对文档与查询相似程度的贡献是不一致的[]，因此需要首先对知识库中文档的词元进行重要性计算，以引导遗传算法朝向更有效的对抗段落。本文采用TF-IDF（Term Frequency-Inverse Document Frequency）作为词元的重要性度量，通过该方法可以量化每个词元在文档中的相对重要性。</w:t>
      </w:r>
    </w:p>
    <w:p w14:paraId="4CDA7AFA">
      <w:pPr>
        <w:ind w:firstLine="480" w:firstLineChars="0"/>
      </w:pPr>
      <w:r>
        <w:rPr>
          <w:rFonts w:hint="eastAsia"/>
        </w:rPr>
        <w:t>BOGA-RAGP采用基于重要性分层的加权采样策略。具体而言，首先从知识库中计算所有词元的TF-IDF分数，并将其分为高（H）、中（M）和低（L）三个重要性层：高重要性层包含TF-IDF分数前20%的词元，中重要性层为中间60%，低重要性层为剩余20%。然后对所有词元分数进行全局归一化，将TF-IDF分数转换为概率分布，用于在采样时为每个词元分配选择概率。采样比例设为</w:t>
      </w:r>
      <m:oMath>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)=(0.5,0.3,0.2)</m:t>
        </m:r>
      </m:oMath>
      <w:r>
        <w:rPr>
          <w:rFonts w:hint="eastAsia"/>
        </w:rPr>
        <w:t>，以确保从特定层采样token时，高TF-IDF的token在该层内更有机会被选中（加权采样）而非随机，优先引入高影响力词元。每个个体为固定长度</w:t>
      </w:r>
      <m:oMath>
        <m:r>
          <m:rPr/>
          <w:rPr>
            <w:rFonts w:hint="eastAsia" w:ascii="Cambria Math" w:hAnsi="Cambria Math"/>
          </w:rPr>
          <m:t>L</m:t>
        </m:r>
      </m:oMath>
      <w:r>
        <w:rPr>
          <w:rFonts w:hint="eastAsia"/>
        </w:rPr>
        <w:t>的词元序列，最终从领域词汇表中采样生成初始文档。</w:t>
      </w:r>
    </w:p>
    <w:p w14:paraId="74ACA235">
      <w:pPr>
        <w:pStyle w:val="4"/>
      </w:pPr>
      <w:bookmarkStart w:id="96" w:name="_Toc9577"/>
      <w:r>
        <w:rPr>
          <w:rFonts w:hint="eastAsia"/>
        </w:rPr>
        <w:t>4.2.3  交叉算子设计</w:t>
      </w:r>
      <w:bookmarkEnd w:id="96"/>
    </w:p>
    <w:p w14:paraId="1DD7BFD8">
      <w:pPr>
        <w:ind w:firstLine="480"/>
      </w:pPr>
      <w:r>
        <w:rPr>
          <w:rFonts w:hint="eastAsia"/>
        </w:rPr>
        <w:t>交叉操作旨在组合父代个体的优良基因，探索新的解空间。BOGA-RAG采用改进的单点交叉策略，以适应词元序列编码的结构特性。具体而言，交叉优先在句子边界处切分，以保留连续片段的语义结构，避免破坏子代的流畅性。切点选择策略为：优先识别标点符号作为边界，若无则随机选择。设父代为</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和</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，长度均为</w:t>
      </w:r>
      <m:oMath>
        <m:r>
          <m:rPr/>
          <w:rPr>
            <w:rFonts w:hint="eastAsia" w:ascii="Cambria Math" w:hAnsi="Cambria Math"/>
          </w:rPr>
          <m:t>L</m:t>
        </m:r>
      </m:oMath>
      <w:r>
        <w:rPr>
          <w:rFonts w:hint="eastAsia"/>
        </w:rPr>
        <w:t>，随机切点为</w:t>
      </w:r>
      <m:oMath>
        <m:r>
          <m:rPr/>
          <w:rPr>
            <w:rFonts w:ascii="Cambria Math" w:hAnsi="Cambria Math"/>
          </w:rPr>
          <m:t>k∈[1,L−1]</m:t>
        </m:r>
      </m:oMath>
      <w:r>
        <w:rPr>
          <w:rFonts w:hint="eastAsia"/>
        </w:rPr>
        <w:t>，则子代为：</w:t>
      </w:r>
    </w:p>
    <w:p w14:paraId="78E78D38">
      <w:pPr>
        <w:pStyle w:val="86"/>
        <w:ind w:firstLine="480"/>
        <w:rPr>
          <w:rFonts w:hint="default"/>
          <w:b w:val="0"/>
          <w:i w:val="0"/>
          <w:lang w:val="en-US" w:eastAsia="zh-CN"/>
        </w:rPr>
      </w:pPr>
      <m:oMathPara>
        <m:oMath>
          <m:eqArr>
            <m:eqArrPr>
              <m:maxDist m:val="1"/>
              <m:ctrlPr>
                <w:rPr>
                  <w:rFonts w:hint="eastAsia"/>
                  <w:b w:val="0"/>
                  <w:i w:val="0"/>
                  <w:lang w:val="en-US" w:eastAsia="zh-CN"/>
                </w:rPr>
              </m:ctrlPr>
            </m:eqArrPr>
            <m:e>
              <m:sSub>
                <m:sSubPr/>
                <m:e>
                  <m:r>
                    <m:rPr>
                      <m:sty m:val="p"/>
                    </m:rPr>
                    <m:t>c</m:t>
                  </m:r>
                </m:e>
                <m:sub>
                  <m:r>
                    <m:rPr>
                      <m:sty m:val="p"/>
                    </m:rPr>
                    <m:t>1</m:t>
                  </m:r>
                </m:sub>
              </m:sSub>
              <m:r>
                <m:rPr>
                  <m:sty m:val="p"/>
                </m:rPr>
                <m:t>=[</m:t>
              </m:r>
              <m:sSubSup>
                <m:sSubSupPr/>
                <m:e>
                  <m:r>
                    <m:rPr>
                      <m:sty m:val="p"/>
                    </m:rPr>
                    <m:t>p</m:t>
                  </m:r>
                </m:e>
                <m:sub>
                  <m:r>
                    <m:rPr>
                      <m:sty m:val="p"/>
                    </m:rPr>
                    <m:t>1</m:t>
                  </m:r>
                </m:sub>
                <m:sup>
                  <m:r>
                    <m:rPr>
                      <m:sty m:val="p"/>
                    </m:rPr>
                    <m:t>1:k</m:t>
                  </m:r>
                </m:sup>
              </m:sSubSup>
              <m:r>
                <m:rPr>
                  <m:sty m:val="p"/>
                </m:rPr>
                <m:t>,</m:t>
              </m:r>
              <m:sSubSup>
                <m:sSubSupPr/>
                <m:e>
                  <m:r>
                    <m:rPr>
                      <m:sty m:val="p"/>
                    </m:rPr>
                    <m:t>p</m:t>
                  </m:r>
                </m:e>
                <m:sub>
                  <m:r>
                    <m:rPr>
                      <m:sty m:val="p"/>
                    </m:rPr>
                    <m:t>2</m:t>
                  </m:r>
                </m:sub>
                <m:sup>
                  <m:r>
                    <m:rPr>
                      <m:sty m:val="p"/>
                    </m:rPr>
                    <m:t>k+1:L</m:t>
                  </m:r>
                </m:sup>
              </m:sSubSup>
              <m:r>
                <m:rPr>
                  <m:sty m:val="p"/>
                </m:rPr>
                <m:t>],</m:t>
              </m:r>
              <m:sSub>
                <m:sSubPr/>
                <m:e>
                  <m:r>
                    <m:rPr>
                      <m:sty m:val="p"/>
                    </m:rPr>
                    <m:t>c</m:t>
                  </m:r>
                </m:e>
                <m:sub>
                  <m:r>
                    <m:rPr>
                      <m:sty m:val="p"/>
                    </m:rPr>
                    <m:t>2</m:t>
                  </m:r>
                </m:sub>
              </m:sSub>
              <m:r>
                <m:rPr>
                  <m:sty m:val="p"/>
                </m:rPr>
                <m:t>=[</m:t>
              </m:r>
              <m:sSubSup>
                <m:sSubSupPr/>
                <m:e>
                  <m:r>
                    <m:rPr>
                      <m:sty m:val="p"/>
                    </m:rPr>
                    <m:t>p</m:t>
                  </m:r>
                </m:e>
                <m:sub>
                  <m:r>
                    <m:rPr>
                      <m:sty m:val="p"/>
                    </m:rPr>
                    <m:t>2</m:t>
                  </m:r>
                </m:sub>
                <m:sup>
                  <m:r>
                    <m:rPr>
                      <m:sty m:val="p"/>
                    </m:rPr>
                    <m:t>1:k</m:t>
                  </m:r>
                </m:sup>
              </m:sSubSup>
              <m:r>
                <m:rPr>
                  <m:sty m:val="p"/>
                </m:rPr>
                <m:t>,</m:t>
              </m:r>
              <m:sSubSup>
                <m:sSubSupPr/>
                <m:e>
                  <m:r>
                    <m:rPr>
                      <m:sty m:val="p"/>
                    </m:rPr>
                    <m:t>p</m:t>
                  </m:r>
                </m:e>
                <m:sub>
                  <m:r>
                    <m:rPr>
                      <m:sty m:val="p"/>
                    </m:rPr>
                    <m:t>1</m:t>
                  </m:r>
                </m:sub>
                <m:sup>
                  <m:r>
                    <m:rPr>
                      <m:sty m:val="p"/>
                    </m:rPr>
                    <m:t>k+1:L</m:t>
                  </m:r>
                </m:sup>
              </m:sSubSup>
              <m:r>
                <m:rPr>
                  <m:sty m:val="p"/>
                </m:rPr>
                <m:t>]</m:t>
              </m:r>
              <m:r>
                <m:rPr>
                  <m:sty m:val="p"/>
                </m:rPr>
                <w:rPr>
                  <w:rFonts w:hint="default"/>
                  <w:lang w:val="en-US" w:eastAsia="zh-CN"/>
                </w:rPr>
                <m:t>#</m:t>
              </m:r>
              <m:r>
                <m:rPr>
                  <m:sty m:val="p"/>
                </m:rPr>
                <w:rPr>
                  <w:rFonts w:hint="eastAsia"/>
                  <w:lang w:val="en-US" w:eastAsia="zh-CN"/>
                </w:rPr>
                <m:t>（</m:t>
              </m:r>
              <m:r>
                <m:rPr>
                  <m:sty m:val="p"/>
                </m:rPr>
                <w:rPr>
                  <w:rFonts w:hint="default"/>
                  <w:lang w:val="en-US" w:eastAsia="zh-CN"/>
                </w:rPr>
                <m:t>4−6</m:t>
              </m:r>
              <m:r>
                <m:rPr>
                  <m:sty m:val="p"/>
                </m:rPr>
                <w:rPr>
                  <w:rFonts w:hint="eastAsia"/>
                  <w:lang w:val="en-US" w:eastAsia="zh-CN"/>
                </w:rPr>
                <m:t>）</m:t>
              </m:r>
              <m:ctrlPr>
                <w:rPr>
                  <w:rFonts w:hint="eastAsia"/>
                  <w:b w:val="0"/>
                  <w:i w:val="0"/>
                  <w:lang w:val="en-US" w:eastAsia="zh-CN"/>
                </w:rPr>
              </m:ctrlPr>
            </m:e>
          </m:eqArr>
        </m:oMath>
      </m:oMathPara>
    </w:p>
    <w:p w14:paraId="66218FAF">
      <w:pPr>
        <w:ind w:firstLine="0" w:firstLineChars="0"/>
      </w:pPr>
      <w:r>
        <w:rPr>
          <w:rFonts w:hint="eastAsia"/>
        </w:rPr>
        <w:t>后处理包括去除连续重复token和语法错误检查，以提升子代的PPL性能。交叉概率设为0.9。该策略的优势在于保留局部语义结构，相比均匀交叉更稳定地优化</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w:t>
      </w:r>
    </w:p>
    <w:p w14:paraId="30920D9C">
      <w:pPr>
        <w:pStyle w:val="4"/>
      </w:pPr>
      <w:bookmarkStart w:id="97" w:name="_Toc31716"/>
      <w:r>
        <w:rPr>
          <w:rFonts w:hint="eastAsia"/>
        </w:rPr>
        <w:t>4.2.4  动态重要性引导变异</w:t>
      </w:r>
      <w:bookmarkEnd w:id="97"/>
    </w:p>
    <w:p w14:paraId="6E20D5C3">
      <w:pPr>
        <w:ind w:firstLine="480"/>
      </w:pPr>
      <w:r>
        <w:rPr>
          <w:rFonts w:hint="eastAsia"/>
        </w:rPr>
        <w:t>变异操作引入随机性，防止早熟收敛。BOGA-RAG延续DIGA的思想，根据词元重要性分数动态调整变异概率：低重要性词元更易被替换，高重要性词元优先保留。同时引入自适应温度参数</w:t>
      </w:r>
      <m:oMath>
        <m:r>
          <m:rPr/>
          <w:rPr>
            <w:rFonts w:ascii="Cambria Math" w:hAnsi="Cambria Math"/>
          </w:rPr>
          <m:t>τ(t)</m:t>
        </m:r>
      </m:oMath>
      <w:r>
        <w:rPr>
          <w:rFonts w:hint="eastAsia"/>
        </w:rPr>
        <w:t>，以平衡前期探索与后期收敛。对触发变异的个体中每个词元</w:t>
      </w:r>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，其替换概率为：</w:t>
      </w:r>
    </w:p>
    <w:p w14:paraId="4B6F2D3C">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sty m:val="p"/>
                    </m:rPr>
                    <m:t>P</m:t>
                  </m:r>
                </m:e>
                <m:sub>
                  <m:r>
                    <m:rPr>
                      <m:sty m:val="p"/>
                    </m:rPr>
                    <m:t>replace</m:t>
                  </m:r>
                </m:sub>
              </m:sSub>
              <m:r>
                <m:rPr>
                  <m:sty m:val="p"/>
                </m:rPr>
                <m:t>(</m:t>
              </m:r>
              <m:sSub>
                <m:sSubPr/>
                <m:e>
                  <m:r>
                    <m:rPr>
                      <m:sty m:val="p"/>
                    </m:rPr>
                    <m:t>t</m:t>
                  </m:r>
                </m:e>
                <m:sub>
                  <m:r>
                    <m:rPr>
                      <m:sty m:val="p"/>
                    </m:rPr>
                    <m:t>i</m:t>
                  </m:r>
                </m:sub>
              </m:sSub>
              <m:r>
                <m:rPr>
                  <m:sty m:val="p"/>
                </m:rPr>
                <m:t>)=min</m:t>
              </m:r>
              <m:d>
                <m:dPr/>
                <m:e>
                  <m:f>
                    <m:fPr/>
                    <m:num>
                      <m:r>
                        <m:rPr>
                          <m:sty m:val="p"/>
                        </m:rPr>
                        <m:t>(C−Score(</m:t>
                      </m:r>
                      <m:sSub>
                        <m:sSubPr/>
                        <m:e>
                          <m:r>
                            <m:rPr>
                              <m:sty m:val="p"/>
                            </m:rPr>
                            <m:t>t</m:t>
                          </m:r>
                        </m:e>
                        <m:sub>
                          <m:r>
                            <m:rPr>
                              <m:sty m:val="p"/>
                            </m:rPr>
                            <m:t>i</m:t>
                          </m:r>
                        </m:sub>
                      </m:sSub>
                      <m:r>
                        <m:rPr>
                          <m:sty m:val="p"/>
                        </m:rPr>
                        <m:t>))⋅τ(t)</m:t>
                      </m:r>
                    </m:num>
                    <m:den>
                      <m:r>
                        <m:rPr>
                          <m:sty m:val="p"/>
                        </m:rPr>
                        <m:t>Z</m:t>
                      </m:r>
                    </m:den>
                  </m:f>
                  <m:r>
                    <m:rPr>
                      <m:sty m:val="p"/>
                    </m:rPr>
                    <m:t>+γ,1</m:t>
                  </m:r>
                </m:e>
              </m:d>
              <m:r>
                <m:rPr>
                  <m:sty m:val="p"/>
                </m:rPr>
                <w:rPr>
                  <w:rFonts w:hint="default"/>
                  <w:lang w:val="en-US" w:eastAsia="zh-CN"/>
                </w:rPr>
                <m:t>#</m:t>
              </m:r>
              <m:r>
                <m:rPr>
                  <m:sty m:val="p"/>
                </m:rPr>
                <w:rPr>
                  <w:rFonts w:hint="eastAsia"/>
                  <w:lang w:val="en-US" w:eastAsia="zh-CN"/>
                </w:rPr>
                <m:t>（</m:t>
              </m:r>
              <m:r>
                <m:rPr>
                  <m:sty m:val="p"/>
                </m:rPr>
                <w:rPr>
                  <w:rFonts w:hint="default"/>
                  <w:lang w:val="en-US" w:eastAsia="zh-CN"/>
                </w:rPr>
                <m:t>4−7</m:t>
              </m:r>
              <m:r>
                <m:rPr>
                  <m:sty m:val="p"/>
                </m:rPr>
                <w:rPr>
                  <w:rFonts w:hint="eastAsia"/>
                  <w:lang w:val="en-US" w:eastAsia="zh-CN"/>
                </w:rPr>
                <m:t>）</m:t>
              </m:r>
              <m:ctrlPr>
                <w:rPr>
                  <w:rFonts w:hint="eastAsia"/>
                  <w:i w:val="0"/>
                  <w:lang w:val="en-US" w:eastAsia="zh-CN"/>
                </w:rPr>
              </m:ctrlPr>
            </m:e>
          </m:eqArr>
        </m:oMath>
      </m:oMathPara>
    </w:p>
    <w:p w14:paraId="5C063F36">
      <w:pPr>
        <w:ind w:firstLine="0" w:firstLineChars="0"/>
      </w:pPr>
      <w:r>
        <w:rPr>
          <w:rFonts w:hint="eastAsia"/>
        </w:rPr>
        <w:t>其中</w:t>
      </w:r>
      <m:oMath>
        <m:r>
          <m:rPr/>
          <w:rPr>
            <w:rFonts w:ascii="Cambria Math" w:hAnsi="Cambria Math"/>
          </w:rPr>
          <m:t>C</m:t>
        </m:r>
      </m:oMath>
      <w:r>
        <w:rPr>
          <w:rFonts w:hint="eastAsia"/>
        </w:rPr>
        <w:t>为最大TF-IDF分数，</w:t>
      </w:r>
      <m:oMath>
        <m:r>
          <m:rPr>
            <m:sty m:val="p"/>
          </m:rPr>
          <w:rPr>
            <w:rFonts w:ascii="Cambria Math" w:hAnsi="Cambria Math"/>
          </w:rPr>
          <m:t>Score</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为当前token分数，</w:t>
      </w:r>
      <m:oMath>
        <m:r>
          <m:rPr/>
          <w:rPr>
            <w:rFonts w:ascii="Cambria Math" w:hAnsi="Cambria Math"/>
          </w:rPr>
          <m:t>Z</m:t>
        </m:r>
      </m:oMath>
      <w:r>
        <w:rPr>
          <w:rFonts w:hint="eastAsia"/>
        </w:rPr>
        <w:t>为归一化因子，</w:t>
      </w:r>
      <m:oMath>
        <m:r>
          <m:rPr/>
          <w:rPr>
            <w:rFonts w:ascii="Cambria Math" w:hAnsi="Cambria Math"/>
          </w:rPr>
          <m:t>γ</m:t>
        </m:r>
      </m:oMath>
      <w:r>
        <w:rPr>
          <w:rFonts w:hint="eastAsia"/>
        </w:rPr>
        <w:t>为基础变异率。温度调整方式为：</w:t>
      </w:r>
    </w:p>
    <w:p w14:paraId="68763AA7">
      <w:pPr>
        <w:pStyle w:val="86"/>
        <w:ind w:firstLine="480"/>
        <w:rPr>
          <w:rFonts w:hint="eastAsia"/>
          <w:i w:val="0"/>
          <w:lang w:val="en-US" w:eastAsia="zh-CN"/>
        </w:rPr>
      </w:pPr>
      <m:oMathPara>
        <m:oMath>
          <m:eqArr>
            <m:eqArrPr>
              <m:maxDist m:val="1"/>
              <m:ctrlPr>
                <w:rPr>
                  <w:rFonts w:hint="eastAsia"/>
                  <w:i w:val="0"/>
                  <w:lang w:val="en-US" w:eastAsia="zh-CN"/>
                </w:rPr>
              </m:ctrlPr>
            </m:eqArrPr>
            <m:e>
              <m:r>
                <m:rPr>
                  <m:sty m:val="p"/>
                </m:rPr>
                <m:t>τ(t)=</m:t>
              </m:r>
              <m:sSub>
                <m:sSubPr/>
                <m:e>
                  <m:r>
                    <m:rPr>
                      <m:sty m:val="p"/>
                    </m:rPr>
                    <m:t>τ</m:t>
                  </m:r>
                </m:e>
                <m:sub>
                  <m:r>
                    <m:rPr>
                      <m:sty m:val="p"/>
                    </m:rPr>
                    <m:t>max</m:t>
                  </m:r>
                </m:sub>
              </m:sSub>
              <m:r>
                <m:rPr>
                  <m:sty m:val="p"/>
                </m:rPr>
                <m:t>(1−</m:t>
              </m:r>
              <m:f>
                <m:fPr/>
                <m:num>
                  <m:r>
                    <m:rPr>
                      <m:sty m:val="p"/>
                    </m:rPr>
                    <m:t>t</m:t>
                  </m:r>
                </m:num>
                <m:den>
                  <m:r>
                    <m:rPr>
                      <m:sty m:val="p"/>
                    </m:rPr>
                    <m:t>T</m:t>
                  </m:r>
                </m:den>
              </m:f>
              <m:sSup>
                <m:sSupPr/>
                <m:e>
                  <m:r>
                    <m:rPr>
                      <m:sty m:val="p"/>
                    </m:rPr>
                    <m:t>)</m:t>
                  </m:r>
                </m:e>
                <m:sup>
                  <m:r>
                    <m:rPr>
                      <m:sty m:val="p"/>
                    </m:rPr>
                    <m:t>α</m:t>
                  </m:r>
                </m:sup>
              </m:sSup>
              <m:r>
                <m:rPr>
                  <m:sty m:val="p"/>
                </m:rPr>
                <m:t>+</m:t>
              </m:r>
              <m:sSub>
                <m:sSubPr/>
                <m:e>
                  <m:r>
                    <m:rPr>
                      <m:sty m:val="p"/>
                    </m:rPr>
                    <m:t>τ</m:t>
                  </m:r>
                </m:e>
                <m:sub>
                  <m:r>
                    <m:rPr>
                      <m:sty m:val="p"/>
                    </m:rPr>
                    <m:t>min</m:t>
                  </m:r>
                </m:sub>
              </m:sSub>
              <m:r>
                <m:rPr>
                  <m:sty m:val="p"/>
                </m:rPr>
                <w:rPr>
                  <w:rFonts w:hint="default"/>
                  <w:lang w:val="en-US" w:eastAsia="zh-CN"/>
                </w:rPr>
                <m:t>#</m:t>
              </m:r>
              <m:r>
                <m:rPr>
                  <m:sty m:val="p"/>
                </m:rPr>
                <w:rPr>
                  <w:rFonts w:hint="eastAsia"/>
                  <w:lang w:val="en-US" w:eastAsia="zh-CN"/>
                </w:rPr>
                <m:t>（</m:t>
              </m:r>
              <m:r>
                <m:rPr>
                  <m:sty m:val="p"/>
                </m:rPr>
                <w:rPr>
                  <w:rFonts w:hint="default"/>
                  <w:lang w:val="en-US" w:eastAsia="zh-CN"/>
                </w:rPr>
                <m:t>4−8</m:t>
              </m:r>
              <m:r>
                <m:rPr>
                  <m:sty m:val="p"/>
                </m:rPr>
                <w:rPr>
                  <w:rFonts w:hint="eastAsia"/>
                  <w:lang w:val="en-US" w:eastAsia="zh-CN"/>
                </w:rPr>
                <m:t>）</m:t>
              </m:r>
              <m:ctrlPr>
                <w:rPr>
                  <w:rFonts w:hint="eastAsia"/>
                  <w:i w:val="0"/>
                  <w:lang w:val="en-US" w:eastAsia="zh-CN"/>
                </w:rPr>
              </m:ctrlPr>
            </m:e>
          </m:eqArr>
        </m:oMath>
      </m:oMathPara>
    </w:p>
    <w:p w14:paraId="6BF01DEA">
      <w:pPr>
        <w:ind w:firstLine="0" w:firstLineChars="0"/>
      </w:pPr>
      <w:r>
        <w:rPr>
          <w:rFonts w:hint="eastAsia"/>
        </w:rPr>
        <w:t>参数设为</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hint="eastAsia" w:ascii="Cambria Math" w:hAnsi="Cambria Math"/>
          </w:rPr>
          <m:t>=1.0</m:t>
        </m:r>
      </m:oMath>
      <w:r>
        <w:rPr>
          <w:rFonts w:hint="eastAsia"/>
        </w:rPr>
        <w:t>、</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hint="eastAsia" w:ascii="Cambria Math" w:hAnsi="Cambria Math"/>
          </w:rPr>
          <m:t>=0.3</m:t>
        </m:r>
      </m:oMath>
      <w:r>
        <w:rPr>
          <w:rFonts w:hint="eastAsia"/>
        </w:rPr>
        <w:t>、</w:t>
      </w:r>
      <m:oMath>
        <m:r>
          <m:rPr/>
          <w:rPr>
            <w:rFonts w:ascii="Cambria Math" w:hAnsi="Cambria Math"/>
          </w:rPr>
          <m:t>α=0.5</m:t>
        </m:r>
      </m:oMath>
      <w:r>
        <w:rPr>
          <w:rFonts w:hint="eastAsia"/>
        </w:rPr>
        <w:t>。替换方向从高分token集合中加权采样，并优先选择上下文相关token，以保持语义连贯性。个体级变异概率为0.3。该机制确保前期高温度促进探索，后期低温度精细优化。</w:t>
      </w:r>
    </w:p>
    <w:p w14:paraId="75B89184">
      <w:pPr>
        <w:pStyle w:val="4"/>
      </w:pPr>
      <w:bookmarkStart w:id="98" w:name="_Toc22253"/>
      <w:r>
        <w:rPr>
          <w:rFonts w:hint="eastAsia"/>
        </w:rPr>
        <w:t>4.2.5  种群选择与更新</w:t>
      </w:r>
      <w:bookmarkEnd w:id="98"/>
    </w:p>
    <w:p w14:paraId="44B36A5E">
      <w:pPr>
        <w:ind w:firstLine="480" w:firstLineChars="0"/>
      </w:pPr>
      <w:r>
        <w:rPr>
          <w:rFonts w:hint="eastAsia"/>
        </w:rPr>
        <w:t>选择与更新是NSGA-II的核心步骤，确保种群向Pareto前沿收敛。父代选择采用拥挤比较算子驱动的二元锦标赛：从父代种群</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中随机抽取两个个体，优先选择非支配等级更低者；若等级相同，则选择拥挤度距离更大的个体进入交配池。对交叉和变异得到的子代种群</w:t>
      </w:r>
      <m:oMath>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hAnsi="Cambria Math"/>
        </w:rPr>
        <w:t>进行</w:t>
      </w:r>
      <w:r>
        <w:rPr>
          <w:rFonts w:hint="eastAsia"/>
        </w:rPr>
        <w:t>显式</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hAnsi="Cambria Math"/>
        </w:rPr>
        <w:t>目标</w:t>
      </w:r>
      <w:r>
        <w:rPr>
          <w:rFonts w:hint="eastAsia"/>
        </w:rPr>
        <w:t>评估，然后与父代合并</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。对合并种群</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执行快速非支配排序，得到分层集合</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。按等级从优到劣填充下一代种群</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，当某一层</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超过种群规模</w:t>
      </w:r>
      <m:oMath>
        <m:r>
          <m:rPr/>
          <w:rPr>
            <w:rFonts w:hint="eastAsia" w:ascii="Cambria Math" w:hAnsi="Cambria Math"/>
          </w:rPr>
          <m:t>N</m:t>
        </m:r>
      </m:oMath>
      <w:r>
        <w:rPr>
          <w:rFonts w:hint="eastAsia"/>
        </w:rPr>
        <w:t>时，按拥挤度距离从大到小保留前</w:t>
      </w:r>
      <m:oMath>
        <m:r>
          <m:rPr/>
          <w:rPr>
            <w:rFonts w:ascii="Cambria Math" w:hAnsi="Cambria Math"/>
          </w:rPr>
          <m:t>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oMath>
      <w:r>
        <w:rPr>
          <w:rFonts w:hint="eastAsia"/>
        </w:rPr>
        <w:t>个个体。</w:t>
      </w:r>
    </w:p>
    <w:p w14:paraId="320463E7">
      <w:pPr>
        <w:ind w:firstLine="480" w:firstLineChars="0"/>
      </w:pPr>
      <w:r>
        <w:rPr>
          <w:rFonts w:hint="eastAsia"/>
        </w:rPr>
        <w:t>此外，为避免“仅依赖最终代第一前沿”导致优质解因末代随机波动而丢失，本文维护独立精英档案</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存储历史非支配解，并将其作为最终输出的候选集合来源。每代更新为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（当前前沿），并限制规模为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t>
            </m:r>
            <m:ctrlPr>
              <w:rPr>
                <w:rFonts w:ascii="Cambria Math" w:hAnsi="Cambria Math"/>
              </w:rPr>
            </m:ctrlPr>
          </m:sub>
        </m:sSub>
      </m:oMath>
      <w:r>
        <w:rPr>
          <w:rFonts w:hint="eastAsia"/>
        </w:rPr>
        <w:t>。迭代结束后，档案</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hint="eastAsia" w:ascii="Cambria Math" w:hAnsi="Cambria Math"/>
              </w:rPr>
              <m:t>T</m:t>
            </m:r>
            <m:ctrlPr>
              <w:rPr>
                <w:rFonts w:ascii="Cambria Math" w:hAnsi="Cambria Math"/>
              </w:rPr>
            </m:ctrlPr>
          </m:sub>
        </m:sSub>
      </m:oMath>
      <w:r>
        <w:rPr>
          <w:rFonts w:hint="eastAsia"/>
        </w:rPr>
        <w:t>为一组非支配解，但实际注入需要单篇对抗文档，因此本文采用“平衡型代表解选择”，以接近理想点为准则，选择加权距离最小的个体作为代表解：</w:t>
      </w:r>
    </w:p>
    <w:p w14:paraId="6D7960E5">
      <w:pPr>
        <w:pStyle w:val="86"/>
        <w:ind w:firstLine="480"/>
        <w:rPr>
          <w:rFonts w:hint="default"/>
          <w:i w:val="0"/>
          <w:lang w:val="en-US" w:eastAsia="zh-CN"/>
        </w:rPr>
      </w:pPr>
      <m:oMathPara>
        <m:oMath>
          <m:eqArr>
            <m:eqArrPr>
              <m:maxDist m:val="1"/>
              <m:ctrlPr>
                <w:rPr>
                  <w:rFonts w:hint="eastAsia"/>
                  <w:i w:val="0"/>
                  <w:lang w:val="en-US" w:eastAsia="zh-CN"/>
                </w:rPr>
              </m:ctrlPr>
            </m:eqArrPr>
            <m:e>
              <m:sSup>
                <m:sSupPr/>
                <m:e>
                  <m:r>
                    <m:rPr/>
                    <m:t>d</m:t>
                  </m:r>
                </m:e>
                <m:sup>
                  <m:r>
                    <m:rPr/>
                    <m:t>∗</m:t>
                  </m:r>
                </m:sup>
              </m:sSup>
              <m:r>
                <m:rPr/>
                <m:t>=</m:t>
              </m:r>
              <m:r>
                <m:rPr>
                  <m:sty m:val="p"/>
                </m:rPr>
                <m:t>arg</m:t>
              </m:r>
              <m:r>
                <m:rPr/>
                <m:t>⁡</m:t>
              </m:r>
              <m:limLow>
                <m:limLowPr/>
                <m:e>
                  <m:r>
                    <m:rPr/>
                    <m:t>min</m:t>
                  </m:r>
                </m:e>
                <m:lim>
                  <m:r>
                    <m:rPr/>
                    <m:t>d∈</m:t>
                  </m:r>
                  <m:sSub>
                    <m:sSubPr/>
                    <m:e>
                      <m:r>
                        <m:rPr/>
                        <m:t>A</m:t>
                      </m:r>
                    </m:e>
                    <m:sub>
                      <m:r>
                        <m:rPr/>
                        <m:t>T</m:t>
                      </m:r>
                    </m:sub>
                  </m:sSub>
                </m:lim>
              </m:limLow>
              <m:r>
                <m:rPr/>
                <m:t> </m:t>
              </m:r>
              <m:d>
                <m:dPr>
                  <m:begChr m:val="["/>
                  <m:endChr m:val="]"/>
                </m:dPr>
                <m:e>
                  <m:r>
                    <m:rPr/>
                    <m:t>λ</m:t>
                  </m:r>
                  <m:d>
                    <m:dPr/>
                    <m:e>
                      <m:r>
                        <m:rPr/>
                        <m:t>1−</m:t>
                      </m:r>
                      <m:sSub>
                        <m:sSubPr/>
                        <m:e>
                          <m:acc>
                            <m:accPr/>
                            <m:e>
                              <m:r>
                                <m:rPr/>
                                <m:t>f</m:t>
                              </m:r>
                            </m:e>
                          </m:acc>
                        </m:e>
                        <m:sub>
                          <m:r>
                            <m:rPr/>
                            <m:t>1</m:t>
                          </m:r>
                        </m:sub>
                      </m:sSub>
                      <m:r>
                        <m:rPr/>
                        <m:t>(d)</m:t>
                      </m:r>
                    </m:e>
                  </m:d>
                  <m:r>
                    <m:rPr/>
                    <m:t>+</m:t>
                  </m:r>
                  <m:d>
                    <m:dPr/>
                    <m:e>
                      <m:r>
                        <m:rPr/>
                        <m:t>1−λ</m:t>
                      </m:r>
                    </m:e>
                  </m:d>
                  <m:sSub>
                    <m:sSubPr/>
                    <m:e>
                      <m:acc>
                        <m:accPr/>
                        <m:e>
                          <m:r>
                            <m:rPr/>
                            <m:t>f</m:t>
                          </m:r>
                        </m:e>
                      </m:acc>
                    </m:e>
                    <m:sub>
                      <m:r>
                        <m:rPr/>
                        <m:t>2</m:t>
                      </m:r>
                    </m:sub>
                  </m:sSub>
                  <m:r>
                    <m:rPr/>
                    <m:t>(d)</m:t>
                  </m:r>
                </m:e>
              </m:d>
              <m:r>
                <m:rPr>
                  <m:sty m:val="p"/>
                </m:rPr>
                <w:rPr>
                  <w:rFonts w:hint="default"/>
                  <w:lang w:val="en-US" w:eastAsia="zh-CN"/>
                </w:rPr>
                <m:t>#</m:t>
              </m:r>
              <m:r>
                <m:rPr>
                  <m:sty m:val="p"/>
                </m:rPr>
                <w:rPr>
                  <w:rFonts w:hint="eastAsia"/>
                  <w:lang w:val="en-US" w:eastAsia="zh-CN"/>
                </w:rPr>
                <m:t>（</m:t>
              </m:r>
              <m:r>
                <m:rPr>
                  <m:sty m:val="p"/>
                </m:rPr>
                <w:rPr>
                  <w:rFonts w:hint="default"/>
                  <w:lang w:val="en-US" w:eastAsia="zh-CN"/>
                </w:rPr>
                <m:t>4−9</m:t>
              </m:r>
              <m:r>
                <m:rPr>
                  <m:sty m:val="p"/>
                </m:rPr>
                <w:rPr>
                  <w:rFonts w:hint="eastAsia"/>
                  <w:lang w:val="en-US" w:eastAsia="zh-CN"/>
                </w:rPr>
                <m:t>）</m:t>
              </m:r>
              <m:ctrlPr>
                <w:rPr>
                  <w:rFonts w:hint="eastAsia"/>
                  <w:i w:val="0"/>
                  <w:lang w:val="en-US" w:eastAsia="zh-CN"/>
                </w:rPr>
              </m:ctrlPr>
            </m:e>
          </m:eqArr>
        </m:oMath>
      </m:oMathPara>
    </w:p>
    <w:p w14:paraId="64871212">
      <w:pPr>
        <w:ind w:firstLine="0" w:firstLineChars="0"/>
      </w:pPr>
      <w:r>
        <w:rPr>
          <w:rFonts w:hint="eastAsia"/>
        </w:rPr>
        <w:t>其中参数</w:t>
      </w:r>
      <m:oMath>
        <m:r>
          <m:rPr>
            <m:sty m:val="p"/>
          </m:rPr>
          <w:rPr>
            <w:rFonts w:ascii="Cambria Math" w:hAnsi="Cambria Math"/>
          </w:rPr>
          <m:t>λ</m:t>
        </m:r>
      </m:oMath>
      <w:r>
        <w:rPr>
          <w:rFonts w:hint="eastAsia"/>
        </w:rPr>
        <w:t>用于抑制过度偏科解（本文</w:t>
      </w:r>
      <m:oMath>
        <m:r>
          <m:rPr>
            <m:sty m:val="p"/>
          </m:rPr>
          <w:rPr>
            <w:rFonts w:ascii="Cambria Math" w:hAnsi="Cambria Math"/>
          </w:rPr>
          <m:t>λ=0.5</m:t>
        </m:r>
      </m:oMath>
      <w:r>
        <w:rPr>
          <w:rFonts w:hint="eastAsia"/>
        </w:rPr>
        <w:t>）。</w:t>
      </w:r>
    </w:p>
    <w:p w14:paraId="2CCD377F">
      <w:pPr>
        <w:ind w:firstLine="480" w:firstLineChars="0"/>
      </w:pPr>
      <w:r>
        <w:rPr>
          <w:rFonts w:hint="eastAsia"/>
        </w:rPr>
        <w:t>最终每个语义中心均对应一篇对抗文档，即</w:t>
      </w:r>
    </w:p>
    <w:p w14:paraId="0A976758">
      <w:pPr>
        <w:ind w:firstLine="480" w:firstLineChars="0"/>
        <w:rPr>
          <w:rFonts w:hint="eastAsia" w:hAnsi="Cambria Math"/>
          <w:i w:val="0"/>
          <w:lang w:val="en-US" w:eastAsia="zh-CN"/>
        </w:rPr>
      </w:pPr>
      <m:oMathPara>
        <m:oMath>
          <m:eqArr>
            <m:eqArrPr>
              <m:maxDist m:val="1"/>
              <m:ctrlPr>
                <w:rPr>
                  <w:rFonts w:hint="eastAsia" w:hAnsi="Cambria Math"/>
                  <w:i w:val="0"/>
                  <w:lang w:val="en-US" w:eastAsia="zh-CN"/>
                </w:rPr>
              </m:ctrlPr>
            </m:eqArrPr>
            <m:e>
              <m:sSup>
                <m:sSupPr>
                  <m:ctrlPr>
                    <w:rPr>
                      <w:rFonts w:ascii="Cambria Math" w:hAnsi="Cambria Math"/>
                    </w:rPr>
                  </m:ctrlPr>
                </m:sSupPr>
                <m:e>
                  <m:r>
                    <m:rPr>
                      <m:scr m:val="script"/>
                    </m:rPr>
                    <w:rPr>
                      <w:rFonts w:ascii="Cambria Math" w:hAnsi="Cambria Math"/>
                    </w:rPr>
                    <m:t>D</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hint="default" w:ascii="Cambria Math" w:hAnsi="Cambria Math"/>
                  <w:lang w:val="en-US" w:eastAsia="zh-CN"/>
                </w:rPr>
                <m:t>#</m:t>
              </m:r>
              <m:r>
                <m:rPr>
                  <m:sty m:val="p"/>
                </m:rPr>
                <w:rPr>
                  <w:rFonts w:hint="eastAsia" w:ascii="Cambria Math" w:hAnsi="Cambria Math"/>
                  <w:lang w:val="en-US" w:eastAsia="zh-CN"/>
                </w:rPr>
                <m:t>（</m:t>
              </m:r>
              <m:r>
                <m:rPr>
                  <m:sty m:val="p"/>
                </m:rPr>
                <w:rPr>
                  <w:rFonts w:hint="default" w:ascii="Cambria Math" w:hAnsi="Cambria Math"/>
                  <w:lang w:val="en-US" w:eastAsia="zh-CN"/>
                </w:rPr>
                <m:t>4−10</m:t>
              </m:r>
              <m:r>
                <m:rPr>
                  <m:sty m:val="p"/>
                </m:rPr>
                <w:rPr>
                  <w:rFonts w:hint="eastAsia" w:ascii="Cambria Math" w:hAnsi="Cambria Math"/>
                  <w:lang w:val="en-US" w:eastAsia="zh-CN"/>
                </w:rPr>
                <m:t>）</m:t>
              </m:r>
              <m:ctrlPr>
                <w:rPr>
                  <w:rFonts w:hint="eastAsia" w:hAnsi="Cambria Math"/>
                  <w:i w:val="0"/>
                  <w:lang w:val="en-US" w:eastAsia="zh-CN"/>
                </w:rPr>
              </m:ctrlPr>
            </m:e>
          </m:eqArr>
        </m:oMath>
      </m:oMathPara>
    </w:p>
    <w:p w14:paraId="69528FB4">
      <w:pPr>
        <w:pStyle w:val="3"/>
        <w:spacing w:before="163" w:after="163"/>
      </w:pPr>
      <w:bookmarkStart w:id="99" w:name="_Toc5337"/>
      <w:r>
        <w:rPr>
          <w:rFonts w:hint="eastAsia"/>
        </w:rPr>
        <w:t>4</w:t>
      </w:r>
      <w:r>
        <w:t>.</w:t>
      </w:r>
      <w:r>
        <w:rPr>
          <w:rFonts w:hint="eastAsia"/>
        </w:rPr>
        <w:t>3</w:t>
      </w:r>
      <w:r>
        <w:t xml:space="preserve">  </w:t>
      </w:r>
      <w:r>
        <w:rPr>
          <w:rFonts w:hint="eastAsia"/>
        </w:rPr>
        <w:t>实验与结果分析</w:t>
      </w:r>
      <w:bookmarkEnd w:id="99"/>
    </w:p>
    <w:p w14:paraId="1F5FED1F">
      <w:pPr>
        <w:pStyle w:val="4"/>
      </w:pPr>
      <w:bookmarkStart w:id="100" w:name="_Toc28332"/>
      <w:r>
        <w:rPr>
          <w:rFonts w:hint="eastAsia"/>
        </w:rPr>
        <w:t>4.3.1</w:t>
      </w:r>
      <w:r>
        <w:rPr>
          <w:rFonts w:hint="eastAsia"/>
          <w:lang w:val="en-US" w:eastAsia="zh-CN"/>
        </w:rPr>
        <w:t xml:space="preserve">  </w:t>
      </w:r>
      <w:r>
        <w:rPr>
          <w:rFonts w:hint="eastAsia"/>
        </w:rPr>
        <w:t>实验数据集</w:t>
      </w:r>
      <w:bookmarkEnd w:id="100"/>
    </w:p>
    <w:p w14:paraId="3E1873FC">
      <w:pPr>
        <w:ind w:firstLine="480"/>
      </w:pPr>
      <w:r>
        <w:rPr>
          <w:rFonts w:hint="eastAsia"/>
        </w:rPr>
        <w:t>本章研究的实验主要使用到Natural Questions（NQ）数据集[</w:t>
      </w:r>
      <w:r>
        <w:rPr>
          <w:rFonts w:hint="eastAsia"/>
          <w:lang w:val="en-US" w:eastAsia="zh-CN"/>
        </w:rPr>
        <w:t>52</w:t>
      </w:r>
      <w:r>
        <w:rPr>
          <w:rFonts w:hint="eastAsia"/>
        </w:rPr>
        <w:t>]、MS-MARCO数据集[</w:t>
      </w:r>
      <w:r>
        <w:rPr>
          <w:rFonts w:hint="eastAsia"/>
          <w:lang w:val="en-US" w:eastAsia="zh-CN"/>
        </w:rPr>
        <w:t>53</w:t>
      </w:r>
      <w:r>
        <w:rPr>
          <w:rFonts w:hint="eastAsia"/>
        </w:rPr>
        <w:t>]以及PAtent-based iNdustrial Dataset for Answers and eXplanations （PANDAX）数据集[</w:t>
      </w:r>
      <w:r>
        <w:rPr>
          <w:rFonts w:hint="eastAsia"/>
          <w:lang w:val="en-US" w:eastAsia="zh-CN"/>
        </w:rPr>
        <w:t>54</w:t>
      </w:r>
      <w:r>
        <w:rPr>
          <w:rFonts w:hint="eastAsia"/>
        </w:rPr>
        <w:t>]。</w:t>
      </w:r>
    </w:p>
    <w:p w14:paraId="4B266D74">
      <w:pPr>
        <w:ind w:firstLine="480"/>
      </w:pPr>
      <w:r>
        <w:rPr>
          <w:rFonts w:hint="eastAsia"/>
        </w:rPr>
        <w:t>NQ是Google Research发布的</w:t>
      </w:r>
      <w:r>
        <w:t>面向开放域问答的基准数据集</w:t>
      </w:r>
      <w:r>
        <w:rPr>
          <w:rFonts w:hint="eastAsia"/>
        </w:rPr>
        <w:t>，问题来源于真实用户的搜索查询，具有较强的自然性与信息需求多样性。该数据集包含约30.7万个真实用户搜索查询，并</w:t>
      </w:r>
      <w:r>
        <w:t>以Wikipedia</w:t>
      </w:r>
      <w:r>
        <w:rPr>
          <w:rFonts w:hint="eastAsia"/>
        </w:rPr>
        <w:t>文章</w:t>
      </w:r>
      <w:r>
        <w:t>为</w:t>
      </w:r>
      <w:r>
        <w:rPr>
          <w:rFonts w:hint="eastAsia"/>
        </w:rPr>
        <w:t>支撑语料</w:t>
      </w:r>
      <w:r>
        <w:t>载体</w:t>
      </w:r>
      <w:r>
        <w:rPr>
          <w:rFonts w:hint="eastAsia"/>
        </w:rPr>
        <w:t>。该数据集能够用于检验系统在“真实问题分布”下的检索与回答能力。</w:t>
      </w:r>
    </w:p>
    <w:p w14:paraId="1C41CBFE">
      <w:pPr>
        <w:ind w:firstLine="480"/>
      </w:pPr>
      <w:r>
        <w:rPr>
          <w:rFonts w:hint="eastAsia"/>
        </w:rPr>
        <w:t>MS MARCO是面向搜索与机器阅读理解的大规模数据集，其问题来自 Bing 搜索日志，具有典型的检索式问答特征；同时提供大规模网页文章作为候选支撑证据，并据此衍生出回答生成与</w:t>
      </w:r>
      <w:r>
        <w:rPr>
          <w:rFonts w:hint="eastAsia"/>
          <w:lang w:val="en-US" w:eastAsia="zh-CN"/>
        </w:rPr>
        <w:t>篇章排序</w:t>
      </w:r>
      <w:r>
        <w:rPr>
          <w:rFonts w:hint="eastAsia"/>
        </w:rPr>
        <w:t>等任务设置。MS MARCO问答数据包含1,010,916条问题，支撑语料规模达8,841,823段，可用于在大规模语料条件下系统性评估检索模块的排序质量以及端到端问答性能。</w:t>
      </w:r>
    </w:p>
    <w:p w14:paraId="233B8260">
      <w:pPr>
        <w:ind w:firstLine="480"/>
      </w:pPr>
      <w:r>
        <w:rPr>
          <w:rFonts w:hint="eastAsia"/>
        </w:rPr>
        <w:t>PANDAX是面向工业系统的开源问答-解释数据集，数据来源于工业系统相关专利的PDF文档，覆盖冷却系统与绿色技术等工业领域（如可再生能源、碳捕集与封存等）。该数据集共包含1,860组“问题-答案-解释”三元组，问题内容主要围绕系统部件层级、系统功能以及系统参数这三类信息展开，从而可用于工业场景下评估检索定位能力与答案生成的正确性及可解释性。</w:t>
      </w:r>
    </w:p>
    <w:p w14:paraId="3D057212">
      <w:pPr>
        <w:pStyle w:val="4"/>
      </w:pPr>
      <w:bookmarkStart w:id="101" w:name="_Toc25696"/>
      <w:r>
        <w:rPr>
          <w:rFonts w:hint="eastAsia"/>
        </w:rPr>
        <w:t>4.3.2</w:t>
      </w:r>
      <w:r>
        <w:rPr>
          <w:rFonts w:hint="eastAsia"/>
          <w:lang w:val="en-US" w:eastAsia="zh-CN"/>
        </w:rPr>
        <w:t xml:space="preserve">  </w:t>
      </w:r>
      <w:r>
        <w:rPr>
          <w:rFonts w:hint="eastAsia"/>
        </w:rPr>
        <w:t>基线方法</w:t>
      </w:r>
      <w:bookmarkEnd w:id="101"/>
    </w:p>
    <w:p w14:paraId="14F5E42C">
      <w:pPr>
        <w:ind w:firstLine="480"/>
      </w:pPr>
      <w:r>
        <w:rPr>
          <w:rFonts w:hint="eastAsia"/>
        </w:rPr>
        <w:t>为全面评估本文提出的RAG 知识库投毒攻击方法在不同威胁假设下的有效性与适用边界，本章将本文方法与五种具有代表性的RAG投毒攻击方法进行对比。所选基线覆盖了定向知识腐化（假设预先知道用户具体查询）与非定向语料投毒（假设预先不知道用户具体查询）两类攻击目标；且白盒后门攻击、白盒梯度优化、黑盒攻击三类攻击方法兼具。通过对比这些方法，不仅能够从攻击成功率等角度验证本文方法在黑盒场景下的有效性，还可以进一步分析不同攻击范式在“可检索性—可控生成—隐蔽性”三者之间的权衡关系，从而为后续防御策略设计与讨论提供依据。具体而言，包括如下基线方法：</w:t>
      </w:r>
    </w:p>
    <w:p w14:paraId="383F3856">
      <w:pPr>
        <w:ind w:firstLine="480"/>
      </w:pPr>
      <w:r>
        <w:rPr>
          <w:rFonts w:hint="eastAsia"/>
        </w:rPr>
        <w:t>Phantom[]：该方法面向 RAG 提出一种更强调隐蔽性的触发式后门投毒，攻击者仅需向知识库中注入单个恶意文档，当用户查询中出现某个自然出现的触发词序列时，系统输出就会发生完整性破坏。该方案采用两阶段优化框架，第一阶段在向量空间中优化投毒文档，使其仅在触发出现时更易被检索到；第二阶段再通过优化附加对抗字符串来驱动生成端达成多种对抗目标，并尝试绕过生成模型的安全对齐。</w:t>
      </w:r>
    </w:p>
    <w:p w14:paraId="6C61189A">
      <w:pPr>
        <w:ind w:firstLine="480"/>
      </w:pPr>
      <w:r>
        <w:rPr>
          <w:rFonts w:hint="eastAsia"/>
        </w:rPr>
        <w:t xml:space="preserve">PoisonedRAG </w:t>
      </w:r>
      <w:r>
        <w:rPr>
          <w:rFonts w:hint="eastAsia"/>
          <w:vertAlign w:val="superscript"/>
        </w:rPr>
        <w:t>[</w:t>
      </w:r>
      <w:r>
        <w:rPr>
          <w:rFonts w:hint="eastAsia"/>
          <w:vertAlign w:val="superscript"/>
          <w:lang w:val="en-US" w:eastAsia="zh-CN"/>
        </w:rPr>
        <w:t>19</w:t>
      </w:r>
      <w:r>
        <w:rPr>
          <w:rFonts w:hint="eastAsia"/>
          <w:vertAlign w:val="superscript"/>
        </w:rPr>
        <w:t>]</w:t>
      </w:r>
      <w:r>
        <w:rPr>
          <w:rFonts w:hint="eastAsia"/>
        </w:rPr>
        <w:t>：该方法是一种定向知识库投毒攻击，攻击者先选定目标问题与目标答案，再向RAG知识库注入少量恶意文本使得系统生成攻击者指定答案。该方法将投毒文本生成形式化为优化问题，并提出分别优化检索条件与生成条件，从而实现“可检索且可控生成”的定向投毒。该方法作者同时提出了黑白盒两种方法，本研究两种情况均进行实验。</w:t>
      </w:r>
    </w:p>
    <w:p w14:paraId="63F9B238">
      <w:pPr>
        <w:ind w:firstLine="480"/>
      </w:pPr>
      <w:r>
        <w:rPr>
          <w:rFonts w:hint="eastAsia"/>
        </w:rPr>
        <w:t>CorpusPoisoning[]：该方法是白盒的、面向稠密检索器的非定向语料投毒攻击，攻击者向检索语料库中注入极少量对抗段落，使系统在广泛用户查询下将这些段落返回至 top-k，从而挤占原本最相关证据并削弱 RAG 的 grounding 能力。该方法改进前人HotFlip算法[]，采用梯度引导的离散搜索以在巨大的离散词元空间中高效逼近最优对抗段落，从而获得对未见查询的泛化攻击效果。</w:t>
      </w:r>
    </w:p>
    <w:p w14:paraId="7D370C4B">
      <w:pPr>
        <w:ind w:firstLine="480"/>
      </w:pPr>
      <w:r>
        <w:t>RAG Paradox</w:t>
      </w:r>
      <w:r>
        <w:rPr>
          <w:rFonts w:hint="eastAsia"/>
        </w:rPr>
        <w:t>[]：该方法提出一种更现实的黑盒攻击，通过观察系统暴露的检索结果与来源来反推检索偏好，并将投毒内容发布到这些可上传的外部平台，从而影响后续检索与回答。其方法核心对查询做语义成分分解，再分析高排名文档如何体现这些成分，从而归纳检索器隐含偏好，并据此生成既提升可检索性、又保持文本连贯自然的投毒文档。</w:t>
      </w:r>
    </w:p>
    <w:p w14:paraId="43DFA669">
      <w:pPr>
        <w:ind w:firstLine="480"/>
      </w:pPr>
      <w:r>
        <w:rPr>
          <w:rFonts w:hint="eastAsia"/>
        </w:rPr>
        <w:t>DIGA[]：该方法属于典型的非定向语料投毒，其目标不是针对某个固定问答对植入“指定答案”，而是构造能影响大量查询的对抗性段落，使其更容易被检索器选中，从而系统性干扰 RAG 的检索。该方法利用检索器对词序不敏感以及对少数“高影响词元”存在偏置的特性，以遗传算法为框架生成对抗段落。</w:t>
      </w:r>
    </w:p>
    <w:p w14:paraId="75FFEC13">
      <w:pPr>
        <w:pStyle w:val="4"/>
      </w:pPr>
      <w:bookmarkStart w:id="102" w:name="_Toc32751"/>
      <w:r>
        <w:rPr>
          <w:rFonts w:hint="eastAsia"/>
        </w:rPr>
        <w:t xml:space="preserve">4.3.3  </w:t>
      </w:r>
      <w:r>
        <w:t>目标RAG系统</w:t>
      </w:r>
      <w:bookmarkEnd w:id="102"/>
    </w:p>
    <w:p w14:paraId="76107E40">
      <w:pPr>
        <w:ind w:firstLine="480"/>
      </w:pPr>
      <w:r>
        <w:rPr>
          <w:rFonts w:hint="eastAsia"/>
        </w:rPr>
        <w:t>为保证基线对比的可控性与可复现性，本研究默认在Contriever检索器与GPT-4o搭建的RAG系统上完成主实验与消融实验，并在迁移实验中进一步更换检索器与生成模型以验证方法的可迁移性。其中检索模型从Contriever迁移至DPR-nq、ANCE；生成模型从GPT-4o进一步扩展为Llama-3-8B、Qwen2-7B-Instruct。</w:t>
      </w:r>
    </w:p>
    <w:p w14:paraId="71C84612">
      <w:pPr>
        <w:pStyle w:val="4"/>
      </w:pPr>
      <w:bookmarkStart w:id="103" w:name="_Toc18404"/>
      <w:r>
        <w:rPr>
          <w:rFonts w:hint="eastAsia"/>
        </w:rPr>
        <w:t>4.3.4  评价指标与实验设计</w:t>
      </w:r>
      <w:bookmarkEnd w:id="103"/>
    </w:p>
    <w:p w14:paraId="2B35253D">
      <w:pPr>
        <w:ind w:firstLine="480"/>
      </w:pPr>
      <w:r>
        <w:rPr>
          <w:rFonts w:hint="eastAsia"/>
        </w:rPr>
        <w:t>本研究实验采用两个评价指标。其一为攻击成功率（Attack Success Rate，ASR），即在所有测试查询中，大模型的回复在语义上蕴含目标错误答案的百分比，用于衡量当对抗文档注入知识库后，RAG系统在查询集上的失真程度。其二为对抗段落检索命中率（Retrieval Success Rate，RSR），即在所有测试查询中，至少一条对抗段落进入Top-k的查询比例。本文默认k=10。</w:t>
      </w:r>
    </w:p>
    <w:p w14:paraId="30E26303">
      <w:pPr>
        <w:ind w:firstLine="480"/>
      </w:pPr>
      <w:r>
        <w:rPr>
          <w:rFonts w:hint="eastAsia"/>
        </w:rPr>
        <w:t>本文共完成四组实验。首先在NQ、MS MARCO 与 PANDAX 三个数据集上进行跨数据集的攻击效果对比实验。对每个数据集，首先依据其配套支撑语料构建知识库并建立向量索引；随后在干净知识库上运行默认RAG系统得到基线输出，再由本文方法与各基线方法生成投毒文本并注入知识库形成污染版本，最终在同一测试查询集上计算 ASR 与RSR。</w:t>
      </w:r>
    </w:p>
    <w:p w14:paraId="77FD395C">
      <w:pPr>
        <w:ind w:firstLine="480"/>
      </w:pPr>
      <w:r>
        <w:rPr>
          <w:rFonts w:hint="eastAsia"/>
        </w:rPr>
        <w:t>其次进行消融实验，围绕所设计的BOGA-RAGP 算法的随机初始化种群与温度参数这两个关键机制进行逐项剥离，明确各步骤设计是否确实分别贡献于检索命中与端到端攻击。消融实验每次仅移除一个模块并保持其余设置不变，且仍采用与主实验一致的RAG系统配置与评价指标变化刻画各模块的必要性，以避免外部因素干扰。</w:t>
      </w:r>
    </w:p>
    <w:p w14:paraId="488E855E">
      <w:pPr>
        <w:ind w:firstLine="480"/>
      </w:pPr>
      <w:r>
        <w:rPr>
          <w:rFonts w:hint="eastAsia"/>
        </w:rPr>
        <w:t>为了验证所提算法在不同RAG系统上的泛化性，遵循4.3.3中所述，将实验迁移到四种不同检索器与生成模型组合进行测试。迁移实验过程中保持文本分块方式、知识库构建策略等其他因素不变，仅替换检索与生成模型，检验算法是否仍能稳定诱导对抗段落的检索与错误答案的生成。</w:t>
      </w:r>
    </w:p>
    <w:p w14:paraId="1E9F463C">
      <w:pPr>
        <w:ind w:firstLine="480"/>
      </w:pPr>
      <w:r>
        <w:rPr>
          <w:rFonts w:hint="eastAsia"/>
        </w:rPr>
        <w:t>最后进行鲁棒性实验，验证所提算法抵抗现有防御方法的能力。在不改变目标RAG系统的前提下，引入困惑度检测[,,]和文档改写[]两种防御方法。部署防御后，重新在PANDAX数据集上评估本文方法与基线方法的ASR与RSR，进一步分析攻击方法在现有防御基础上的威胁性。</w:t>
      </w:r>
    </w:p>
    <w:p w14:paraId="5F563287">
      <w:pPr>
        <w:pStyle w:val="4"/>
      </w:pPr>
      <w:bookmarkStart w:id="104" w:name="_Toc732"/>
      <w:r>
        <w:rPr>
          <w:rFonts w:hint="eastAsia"/>
        </w:rPr>
        <w:t>4.3.5  实验结果与分析</w:t>
      </w:r>
      <w:bookmarkEnd w:id="104"/>
    </w:p>
    <w:p w14:paraId="08DD50DE">
      <w:pPr>
        <w:ind w:firstLine="480"/>
      </w:pPr>
      <w:r>
        <w:rPr>
          <w:rFonts w:hint="eastAsia"/>
        </w:rPr>
        <w:t>依据4.3.4节的实验设置，ASR与RSR作为核心评价指标，本节对跨数据集对比、消融、迁移与防御下鲁棒性四组实验结果进行展示与分析。</w:t>
      </w:r>
    </w:p>
    <w:p w14:paraId="2D7416BD">
      <w:pPr>
        <w:ind w:firstLine="480"/>
      </w:pPr>
      <w:r>
        <w:rPr>
          <w:rFonts w:hint="eastAsia"/>
        </w:rPr>
        <w:t>对比实验结果如表4-</w:t>
      </w:r>
      <w:r>
        <w:rPr>
          <w:rFonts w:hint="eastAsia"/>
          <w:lang w:val="en-US" w:eastAsia="zh-CN"/>
        </w:rPr>
        <w:t>1</w:t>
      </w:r>
      <w:r>
        <w:rPr>
          <w:rFonts w:hint="eastAsia"/>
        </w:rPr>
        <w:t>所示。实验结果表明，本文提出的BOGA-RAGP在NQ、MS MARCO与PANDAX三个数据集上均表现出稳定且突出的攻击效果，在ASR与RSR两项指标上整体优于对比基线，尤其在PANDAX数据集上，本文方法在工业场景下的表现尤为突出，ASR达到94.2%，RSR达到96.2%，相比黑盒基线方法大幅提升，比白盒方法也略有提升。这得益于双目标优化框架在检索成功率与语义隐蔽性间的平衡，避免了基线方法如DIGA较低的ASR和RSR导致的泛化不足。</w:t>
      </w:r>
    </w:p>
    <w:p w14:paraId="59990C14">
      <w:pPr>
        <w:pStyle w:val="8"/>
        <w:keepNext/>
      </w:pPr>
      <w:r>
        <w:rPr>
          <w:rFonts w:hint="eastAsia"/>
        </w:rPr>
        <w:t>表</w:t>
      </w:r>
      <w:r>
        <w:rPr>
          <w:rFonts w:hint="eastAsia"/>
          <w:lang w:val="en-US" w:eastAsia="zh-CN"/>
        </w:rPr>
        <w:t>4</w:t>
      </w:r>
      <w:r>
        <w:noBreakHyphen/>
      </w:r>
      <w:r>
        <w:fldChar w:fldCharType="begin"/>
      </w:r>
      <w:r>
        <w:instrText xml:space="preserve"> </w:instrText>
      </w:r>
      <w:r>
        <w:rPr>
          <w:rFonts w:hint="eastAsia"/>
        </w:rPr>
        <w:instrText xml:space="preserve">SEQ 表格 \* ARABIC \s 1</w:instrText>
      </w:r>
      <w:r>
        <w:instrText xml:space="preserve"> </w:instrText>
      </w:r>
      <w:r>
        <w:fldChar w:fldCharType="separate"/>
      </w:r>
      <w:r>
        <w:t>1</w:t>
      </w:r>
      <w:r>
        <w:fldChar w:fldCharType="end"/>
      </w:r>
      <w:r>
        <w:rPr>
          <w:rFonts w:hint="eastAsia"/>
        </w:rPr>
        <w:t xml:space="preserve"> 攻击算法与基线方法的对比实验结果（单位：%）</w:t>
      </w:r>
    </w:p>
    <w:tbl>
      <w:tblPr>
        <w:tblStyle w:val="31"/>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6"/>
        <w:gridCol w:w="1130"/>
        <w:gridCol w:w="1121"/>
        <w:gridCol w:w="1131"/>
        <w:gridCol w:w="1121"/>
        <w:gridCol w:w="1131"/>
        <w:gridCol w:w="1121"/>
      </w:tblGrid>
      <w:tr w14:paraId="5C3031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5F7136AD">
            <w:pPr>
              <w:pStyle w:val="88"/>
              <w:bidi w:val="0"/>
              <w:jc w:val="center"/>
            </w:pPr>
            <w:r>
              <w:rPr>
                <w:rFonts w:hint="eastAsia"/>
              </w:rPr>
              <w:t>攻击方法</w:t>
            </w:r>
          </w:p>
        </w:tc>
        <w:tc>
          <w:tcPr>
            <w:tcW w:w="2268" w:type="dxa"/>
            <w:gridSpan w:val="2"/>
            <w:tcBorders>
              <w:top w:val="single" w:color="auto" w:sz="12" w:space="0"/>
              <w:bottom w:val="single" w:color="auto" w:sz="8" w:space="0"/>
            </w:tcBorders>
            <w:vAlign w:val="center"/>
          </w:tcPr>
          <w:p w14:paraId="154B7BC4">
            <w:pPr>
              <w:pStyle w:val="88"/>
              <w:bidi w:val="0"/>
              <w:jc w:val="center"/>
            </w:pPr>
            <w:r>
              <w:rPr>
                <w:rFonts w:hint="eastAsia"/>
              </w:rPr>
              <w:t>NQ</w:t>
            </w:r>
          </w:p>
        </w:tc>
        <w:tc>
          <w:tcPr>
            <w:tcW w:w="2268" w:type="dxa"/>
            <w:gridSpan w:val="2"/>
            <w:tcBorders>
              <w:top w:val="single" w:color="auto" w:sz="12" w:space="0"/>
              <w:bottom w:val="single" w:color="auto" w:sz="8" w:space="0"/>
            </w:tcBorders>
            <w:vAlign w:val="center"/>
          </w:tcPr>
          <w:p w14:paraId="0BD7DDC8">
            <w:pPr>
              <w:pStyle w:val="88"/>
              <w:bidi w:val="0"/>
              <w:jc w:val="center"/>
            </w:pPr>
            <w:r>
              <w:rPr>
                <w:rFonts w:hint="eastAsia"/>
              </w:rPr>
              <w:t>MS MARCO</w:t>
            </w:r>
          </w:p>
        </w:tc>
        <w:tc>
          <w:tcPr>
            <w:tcW w:w="2268" w:type="dxa"/>
            <w:gridSpan w:val="2"/>
            <w:tcBorders>
              <w:top w:val="single" w:color="auto" w:sz="12" w:space="0"/>
              <w:bottom w:val="single" w:color="auto" w:sz="8" w:space="0"/>
            </w:tcBorders>
            <w:vAlign w:val="center"/>
          </w:tcPr>
          <w:p w14:paraId="7363F162">
            <w:pPr>
              <w:pStyle w:val="88"/>
              <w:bidi w:val="0"/>
              <w:jc w:val="center"/>
            </w:pPr>
            <w:r>
              <w:rPr>
                <w:rFonts w:hint="eastAsia"/>
              </w:rPr>
              <w:t>PANDAX</w:t>
            </w:r>
          </w:p>
        </w:tc>
      </w:tr>
      <w:tr w14:paraId="528146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3FE77009">
            <w:pPr>
              <w:pStyle w:val="88"/>
              <w:bidi w:val="0"/>
              <w:jc w:val="center"/>
            </w:pPr>
          </w:p>
        </w:tc>
        <w:tc>
          <w:tcPr>
            <w:tcW w:w="1134" w:type="dxa"/>
            <w:tcBorders>
              <w:top w:val="single" w:color="auto" w:sz="8" w:space="0"/>
              <w:bottom w:val="single" w:color="auto" w:sz="8" w:space="0"/>
            </w:tcBorders>
          </w:tcPr>
          <w:p w14:paraId="2CC1EB21">
            <w:pPr>
              <w:pStyle w:val="88"/>
              <w:bidi w:val="0"/>
              <w:jc w:val="center"/>
            </w:pPr>
            <w:r>
              <w:rPr>
                <w:rFonts w:hint="eastAsia"/>
              </w:rPr>
              <w:t>ASR</w:t>
            </w:r>
          </w:p>
        </w:tc>
        <w:tc>
          <w:tcPr>
            <w:tcW w:w="1134" w:type="dxa"/>
            <w:tcBorders>
              <w:top w:val="single" w:color="auto" w:sz="8" w:space="0"/>
              <w:bottom w:val="single" w:color="auto" w:sz="8" w:space="0"/>
            </w:tcBorders>
          </w:tcPr>
          <w:p w14:paraId="26660D02">
            <w:pPr>
              <w:pStyle w:val="88"/>
              <w:bidi w:val="0"/>
              <w:jc w:val="center"/>
            </w:pPr>
            <w:r>
              <w:rPr>
                <w:rFonts w:hint="eastAsia"/>
              </w:rPr>
              <w:t>RSR</w:t>
            </w:r>
          </w:p>
        </w:tc>
        <w:tc>
          <w:tcPr>
            <w:tcW w:w="1134" w:type="dxa"/>
            <w:tcBorders>
              <w:top w:val="single" w:color="auto" w:sz="8" w:space="0"/>
              <w:bottom w:val="single" w:color="auto" w:sz="8" w:space="0"/>
            </w:tcBorders>
          </w:tcPr>
          <w:p w14:paraId="340DCC29">
            <w:pPr>
              <w:pStyle w:val="88"/>
              <w:bidi w:val="0"/>
              <w:jc w:val="center"/>
            </w:pPr>
            <w:r>
              <w:rPr>
                <w:rFonts w:hint="eastAsia"/>
              </w:rPr>
              <w:t>ASR</w:t>
            </w:r>
          </w:p>
        </w:tc>
        <w:tc>
          <w:tcPr>
            <w:tcW w:w="1134" w:type="dxa"/>
            <w:tcBorders>
              <w:top w:val="single" w:color="auto" w:sz="8" w:space="0"/>
              <w:bottom w:val="single" w:color="auto" w:sz="8" w:space="0"/>
            </w:tcBorders>
          </w:tcPr>
          <w:p w14:paraId="105E10D9">
            <w:pPr>
              <w:pStyle w:val="88"/>
              <w:bidi w:val="0"/>
              <w:jc w:val="center"/>
            </w:pPr>
            <w:r>
              <w:rPr>
                <w:rFonts w:hint="eastAsia"/>
              </w:rPr>
              <w:t>RSR</w:t>
            </w:r>
          </w:p>
        </w:tc>
        <w:tc>
          <w:tcPr>
            <w:tcW w:w="1134" w:type="dxa"/>
            <w:tcBorders>
              <w:top w:val="single" w:color="auto" w:sz="8" w:space="0"/>
              <w:bottom w:val="single" w:color="auto" w:sz="8" w:space="0"/>
            </w:tcBorders>
          </w:tcPr>
          <w:p w14:paraId="03B9010B">
            <w:pPr>
              <w:pStyle w:val="88"/>
              <w:bidi w:val="0"/>
              <w:jc w:val="center"/>
            </w:pPr>
            <w:r>
              <w:rPr>
                <w:rFonts w:hint="eastAsia"/>
              </w:rPr>
              <w:t>ASR</w:t>
            </w:r>
          </w:p>
        </w:tc>
        <w:tc>
          <w:tcPr>
            <w:tcW w:w="1134" w:type="dxa"/>
            <w:tcBorders>
              <w:top w:val="single" w:color="auto" w:sz="8" w:space="0"/>
              <w:bottom w:val="single" w:color="auto" w:sz="8" w:space="0"/>
            </w:tcBorders>
          </w:tcPr>
          <w:p w14:paraId="6B69BCEA">
            <w:pPr>
              <w:pStyle w:val="88"/>
              <w:bidi w:val="0"/>
              <w:jc w:val="center"/>
            </w:pPr>
            <w:r>
              <w:rPr>
                <w:rFonts w:hint="eastAsia"/>
              </w:rPr>
              <w:t>RSR</w:t>
            </w:r>
          </w:p>
        </w:tc>
      </w:tr>
      <w:tr w14:paraId="17506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447AB97A">
            <w:pPr>
              <w:pStyle w:val="88"/>
              <w:bidi w:val="0"/>
              <w:jc w:val="center"/>
            </w:pPr>
            <w:r>
              <w:rPr>
                <w:rFonts w:hint="eastAsia"/>
              </w:rPr>
              <w:t>Phantom</w:t>
            </w:r>
          </w:p>
        </w:tc>
        <w:tc>
          <w:tcPr>
            <w:tcW w:w="1134" w:type="dxa"/>
            <w:tcBorders>
              <w:top w:val="single" w:color="auto" w:sz="8" w:space="0"/>
            </w:tcBorders>
          </w:tcPr>
          <w:p w14:paraId="332A4567">
            <w:pPr>
              <w:pStyle w:val="88"/>
              <w:bidi w:val="0"/>
              <w:jc w:val="center"/>
            </w:pPr>
            <w:r>
              <w:rPr>
                <w:rFonts w:hint="eastAsia"/>
              </w:rPr>
              <w:t>88.7</w:t>
            </w:r>
          </w:p>
        </w:tc>
        <w:tc>
          <w:tcPr>
            <w:tcW w:w="1134" w:type="dxa"/>
            <w:tcBorders>
              <w:top w:val="single" w:color="auto" w:sz="8" w:space="0"/>
            </w:tcBorders>
          </w:tcPr>
          <w:p w14:paraId="77B55037">
            <w:pPr>
              <w:pStyle w:val="88"/>
              <w:bidi w:val="0"/>
              <w:jc w:val="center"/>
            </w:pPr>
            <w:r>
              <w:rPr>
                <w:rFonts w:hint="eastAsia"/>
              </w:rPr>
              <w:t>91.4</w:t>
            </w:r>
          </w:p>
        </w:tc>
        <w:tc>
          <w:tcPr>
            <w:tcW w:w="1134" w:type="dxa"/>
            <w:tcBorders>
              <w:top w:val="single" w:color="auto" w:sz="8" w:space="0"/>
            </w:tcBorders>
          </w:tcPr>
          <w:p w14:paraId="01D338FB">
            <w:pPr>
              <w:pStyle w:val="88"/>
              <w:bidi w:val="0"/>
              <w:jc w:val="center"/>
            </w:pPr>
            <w:r>
              <w:rPr>
                <w:rFonts w:hint="eastAsia"/>
              </w:rPr>
              <w:t>84.4</w:t>
            </w:r>
          </w:p>
        </w:tc>
        <w:tc>
          <w:tcPr>
            <w:tcW w:w="1134" w:type="dxa"/>
            <w:tcBorders>
              <w:top w:val="single" w:color="auto" w:sz="8" w:space="0"/>
            </w:tcBorders>
          </w:tcPr>
          <w:p w14:paraId="1F3DB759">
            <w:pPr>
              <w:pStyle w:val="88"/>
              <w:bidi w:val="0"/>
              <w:jc w:val="center"/>
            </w:pPr>
            <w:r>
              <w:rPr>
                <w:rFonts w:hint="eastAsia"/>
              </w:rPr>
              <w:t>87.1</w:t>
            </w:r>
          </w:p>
        </w:tc>
        <w:tc>
          <w:tcPr>
            <w:tcW w:w="1134" w:type="dxa"/>
            <w:tcBorders>
              <w:top w:val="single" w:color="auto" w:sz="8" w:space="0"/>
            </w:tcBorders>
          </w:tcPr>
          <w:p w14:paraId="1DAF93B9">
            <w:pPr>
              <w:pStyle w:val="88"/>
              <w:bidi w:val="0"/>
              <w:jc w:val="center"/>
            </w:pPr>
            <w:r>
              <w:rPr>
                <w:rFonts w:hint="eastAsia"/>
              </w:rPr>
              <w:t>85.5</w:t>
            </w:r>
          </w:p>
        </w:tc>
        <w:tc>
          <w:tcPr>
            <w:tcW w:w="1134" w:type="dxa"/>
            <w:tcBorders>
              <w:top w:val="single" w:color="auto" w:sz="8" w:space="0"/>
            </w:tcBorders>
          </w:tcPr>
          <w:p w14:paraId="73C2E823">
            <w:pPr>
              <w:pStyle w:val="88"/>
              <w:bidi w:val="0"/>
              <w:jc w:val="center"/>
            </w:pPr>
            <w:r>
              <w:rPr>
                <w:rFonts w:hint="eastAsia"/>
              </w:rPr>
              <w:t>88.6</w:t>
            </w:r>
          </w:p>
        </w:tc>
      </w:tr>
      <w:tr w14:paraId="43CD0B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03BCE082">
            <w:pPr>
              <w:pStyle w:val="88"/>
              <w:bidi w:val="0"/>
              <w:jc w:val="center"/>
            </w:pPr>
            <w:r>
              <w:rPr>
                <w:rFonts w:hint="eastAsia"/>
              </w:rPr>
              <w:t>PoisonedRAG(W/B)</w:t>
            </w:r>
          </w:p>
        </w:tc>
        <w:tc>
          <w:tcPr>
            <w:tcW w:w="1134" w:type="dxa"/>
          </w:tcPr>
          <w:p w14:paraId="7FFD7D3E">
            <w:pPr>
              <w:pStyle w:val="88"/>
              <w:bidi w:val="0"/>
              <w:jc w:val="center"/>
            </w:pPr>
            <w:r>
              <w:rPr>
                <w:rFonts w:hint="eastAsia"/>
              </w:rPr>
              <w:t>91.2/85.6</w:t>
            </w:r>
          </w:p>
        </w:tc>
        <w:tc>
          <w:tcPr>
            <w:tcW w:w="1134" w:type="dxa"/>
          </w:tcPr>
          <w:p w14:paraId="3ABA9F32">
            <w:pPr>
              <w:pStyle w:val="88"/>
              <w:bidi w:val="0"/>
              <w:jc w:val="center"/>
            </w:pPr>
            <w:r>
              <w:rPr>
                <w:rFonts w:hint="eastAsia"/>
              </w:rPr>
              <w:t>93.1</w:t>
            </w:r>
          </w:p>
        </w:tc>
        <w:tc>
          <w:tcPr>
            <w:tcW w:w="1134" w:type="dxa"/>
          </w:tcPr>
          <w:p w14:paraId="247A1BC1">
            <w:pPr>
              <w:pStyle w:val="88"/>
              <w:bidi w:val="0"/>
              <w:jc w:val="center"/>
            </w:pPr>
            <w:r>
              <w:rPr>
                <w:rFonts w:hint="eastAsia"/>
              </w:rPr>
              <w:t>85.8/83.1</w:t>
            </w:r>
          </w:p>
        </w:tc>
        <w:tc>
          <w:tcPr>
            <w:tcW w:w="1134" w:type="dxa"/>
          </w:tcPr>
          <w:p w14:paraId="7B8785BD">
            <w:pPr>
              <w:pStyle w:val="88"/>
              <w:bidi w:val="0"/>
              <w:jc w:val="center"/>
            </w:pPr>
            <w:r>
              <w:rPr>
                <w:rFonts w:hint="eastAsia"/>
              </w:rPr>
              <w:t>86.2</w:t>
            </w:r>
          </w:p>
        </w:tc>
        <w:tc>
          <w:tcPr>
            <w:tcW w:w="1134" w:type="dxa"/>
          </w:tcPr>
          <w:p w14:paraId="1922A091">
            <w:pPr>
              <w:pStyle w:val="88"/>
              <w:bidi w:val="0"/>
              <w:jc w:val="center"/>
            </w:pPr>
            <w:r>
              <w:rPr>
                <w:rFonts w:hint="eastAsia"/>
              </w:rPr>
              <w:t>88.7/82.4</w:t>
            </w:r>
          </w:p>
        </w:tc>
        <w:tc>
          <w:tcPr>
            <w:tcW w:w="1134" w:type="dxa"/>
          </w:tcPr>
          <w:p w14:paraId="6076ACB8">
            <w:pPr>
              <w:pStyle w:val="88"/>
              <w:bidi w:val="0"/>
              <w:jc w:val="center"/>
            </w:pPr>
            <w:r>
              <w:rPr>
                <w:rFonts w:hint="eastAsia"/>
              </w:rPr>
              <w:t>90.4</w:t>
            </w:r>
          </w:p>
        </w:tc>
      </w:tr>
      <w:tr w14:paraId="3AA3DE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2C2EB7E3">
            <w:pPr>
              <w:pStyle w:val="88"/>
              <w:bidi w:val="0"/>
              <w:jc w:val="center"/>
            </w:pPr>
            <w:r>
              <w:rPr>
                <w:rFonts w:hint="eastAsia"/>
              </w:rPr>
              <w:t>CorpusPoisoning</w:t>
            </w:r>
          </w:p>
        </w:tc>
        <w:tc>
          <w:tcPr>
            <w:tcW w:w="1134" w:type="dxa"/>
            <w:vAlign w:val="center"/>
          </w:tcPr>
          <w:p w14:paraId="17514D18">
            <w:pPr>
              <w:pStyle w:val="88"/>
              <w:bidi w:val="0"/>
              <w:jc w:val="center"/>
            </w:pPr>
            <w:r>
              <w:rPr>
                <w:rFonts w:hint="eastAsia"/>
              </w:rPr>
              <w:t>93.2</w:t>
            </w:r>
          </w:p>
        </w:tc>
        <w:tc>
          <w:tcPr>
            <w:tcW w:w="1134" w:type="dxa"/>
            <w:vAlign w:val="center"/>
          </w:tcPr>
          <w:p w14:paraId="25074C17">
            <w:pPr>
              <w:pStyle w:val="88"/>
              <w:bidi w:val="0"/>
              <w:jc w:val="center"/>
            </w:pPr>
            <w:r>
              <w:rPr>
                <w:rFonts w:hint="eastAsia"/>
              </w:rPr>
              <w:t>95.9</w:t>
            </w:r>
          </w:p>
        </w:tc>
        <w:tc>
          <w:tcPr>
            <w:tcW w:w="1134" w:type="dxa"/>
            <w:vAlign w:val="center"/>
          </w:tcPr>
          <w:p w14:paraId="23FED4F1">
            <w:pPr>
              <w:pStyle w:val="88"/>
              <w:bidi w:val="0"/>
              <w:jc w:val="center"/>
            </w:pPr>
            <w:r>
              <w:rPr>
                <w:rFonts w:hint="eastAsia"/>
              </w:rPr>
              <w:t>86.5</w:t>
            </w:r>
          </w:p>
        </w:tc>
        <w:tc>
          <w:tcPr>
            <w:tcW w:w="1134" w:type="dxa"/>
            <w:vAlign w:val="center"/>
          </w:tcPr>
          <w:p w14:paraId="023BD914">
            <w:pPr>
              <w:pStyle w:val="88"/>
              <w:bidi w:val="0"/>
              <w:jc w:val="center"/>
            </w:pPr>
            <w:r>
              <w:rPr>
                <w:rFonts w:hint="eastAsia"/>
              </w:rPr>
              <w:t>89.3</w:t>
            </w:r>
          </w:p>
        </w:tc>
        <w:tc>
          <w:tcPr>
            <w:tcW w:w="1134" w:type="dxa"/>
            <w:vAlign w:val="center"/>
          </w:tcPr>
          <w:p w14:paraId="4D03783B">
            <w:pPr>
              <w:pStyle w:val="88"/>
              <w:bidi w:val="0"/>
              <w:jc w:val="center"/>
            </w:pPr>
            <w:r>
              <w:rPr>
                <w:rFonts w:hint="eastAsia"/>
              </w:rPr>
              <w:t>88.4</w:t>
            </w:r>
          </w:p>
        </w:tc>
        <w:tc>
          <w:tcPr>
            <w:tcW w:w="1134" w:type="dxa"/>
            <w:vAlign w:val="center"/>
          </w:tcPr>
          <w:p w14:paraId="19285079">
            <w:pPr>
              <w:pStyle w:val="88"/>
              <w:bidi w:val="0"/>
              <w:jc w:val="center"/>
            </w:pPr>
            <w:r>
              <w:rPr>
                <w:rFonts w:hint="eastAsia"/>
              </w:rPr>
              <w:t>92.0</w:t>
            </w:r>
          </w:p>
        </w:tc>
      </w:tr>
      <w:tr w14:paraId="49E39C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3BA2F0A3">
            <w:pPr>
              <w:pStyle w:val="88"/>
              <w:bidi w:val="0"/>
              <w:jc w:val="center"/>
            </w:pPr>
            <w:r>
              <w:rPr>
                <w:rFonts w:hint="eastAsia"/>
              </w:rPr>
              <w:t>RAG Paradox</w:t>
            </w:r>
          </w:p>
        </w:tc>
        <w:tc>
          <w:tcPr>
            <w:tcW w:w="1134" w:type="dxa"/>
            <w:vAlign w:val="center"/>
          </w:tcPr>
          <w:p w14:paraId="74F669DD">
            <w:pPr>
              <w:pStyle w:val="88"/>
              <w:bidi w:val="0"/>
              <w:jc w:val="center"/>
            </w:pPr>
            <w:r>
              <w:rPr>
                <w:rFonts w:hint="eastAsia"/>
              </w:rPr>
              <w:t>85.6</w:t>
            </w:r>
          </w:p>
        </w:tc>
        <w:tc>
          <w:tcPr>
            <w:tcW w:w="1134" w:type="dxa"/>
          </w:tcPr>
          <w:p w14:paraId="2C483C85">
            <w:pPr>
              <w:pStyle w:val="88"/>
              <w:bidi w:val="0"/>
              <w:jc w:val="center"/>
            </w:pPr>
            <w:r>
              <w:rPr>
                <w:rFonts w:hint="eastAsia"/>
              </w:rPr>
              <w:t>88.2</w:t>
            </w:r>
          </w:p>
        </w:tc>
        <w:tc>
          <w:tcPr>
            <w:tcW w:w="1134" w:type="dxa"/>
            <w:vAlign w:val="center"/>
          </w:tcPr>
          <w:p w14:paraId="6A469042">
            <w:pPr>
              <w:pStyle w:val="88"/>
              <w:bidi w:val="0"/>
              <w:jc w:val="center"/>
            </w:pPr>
            <w:r>
              <w:rPr>
                <w:rFonts w:hint="eastAsia"/>
              </w:rPr>
              <w:t>76.6</w:t>
            </w:r>
          </w:p>
        </w:tc>
        <w:tc>
          <w:tcPr>
            <w:tcW w:w="1134" w:type="dxa"/>
            <w:vAlign w:val="center"/>
          </w:tcPr>
          <w:p w14:paraId="30191AEE">
            <w:pPr>
              <w:pStyle w:val="88"/>
              <w:bidi w:val="0"/>
              <w:jc w:val="center"/>
            </w:pPr>
            <w:r>
              <w:rPr>
                <w:rFonts w:hint="eastAsia"/>
              </w:rPr>
              <w:t>80.6</w:t>
            </w:r>
          </w:p>
        </w:tc>
        <w:tc>
          <w:tcPr>
            <w:tcW w:w="1134" w:type="dxa"/>
            <w:vAlign w:val="center"/>
          </w:tcPr>
          <w:p w14:paraId="4E2AE5F7">
            <w:pPr>
              <w:pStyle w:val="88"/>
              <w:bidi w:val="0"/>
              <w:jc w:val="center"/>
            </w:pPr>
            <w:r>
              <w:rPr>
                <w:rFonts w:hint="eastAsia"/>
              </w:rPr>
              <w:t>77.5</w:t>
            </w:r>
          </w:p>
        </w:tc>
        <w:tc>
          <w:tcPr>
            <w:tcW w:w="1134" w:type="dxa"/>
          </w:tcPr>
          <w:p w14:paraId="5EC515D6">
            <w:pPr>
              <w:pStyle w:val="88"/>
              <w:bidi w:val="0"/>
              <w:jc w:val="center"/>
            </w:pPr>
            <w:r>
              <w:rPr>
                <w:rFonts w:hint="eastAsia"/>
              </w:rPr>
              <w:t>82.5</w:t>
            </w:r>
          </w:p>
        </w:tc>
      </w:tr>
      <w:tr w14:paraId="1B0B9C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3BEAE6E7">
            <w:pPr>
              <w:pStyle w:val="88"/>
              <w:bidi w:val="0"/>
              <w:jc w:val="center"/>
            </w:pPr>
            <w:r>
              <w:rPr>
                <w:rFonts w:hint="eastAsia"/>
              </w:rPr>
              <w:t>DIGA</w:t>
            </w:r>
          </w:p>
        </w:tc>
        <w:tc>
          <w:tcPr>
            <w:tcW w:w="1134" w:type="dxa"/>
            <w:vAlign w:val="center"/>
          </w:tcPr>
          <w:p w14:paraId="3DA8F81F">
            <w:pPr>
              <w:pStyle w:val="88"/>
              <w:bidi w:val="0"/>
              <w:jc w:val="center"/>
            </w:pPr>
            <w:r>
              <w:rPr>
                <w:rFonts w:hint="eastAsia"/>
              </w:rPr>
              <w:t>87.1</w:t>
            </w:r>
          </w:p>
        </w:tc>
        <w:tc>
          <w:tcPr>
            <w:tcW w:w="1134" w:type="dxa"/>
          </w:tcPr>
          <w:p w14:paraId="16438CB0">
            <w:pPr>
              <w:pStyle w:val="88"/>
              <w:bidi w:val="0"/>
              <w:jc w:val="center"/>
            </w:pPr>
            <w:r>
              <w:rPr>
                <w:rFonts w:hint="eastAsia"/>
              </w:rPr>
              <w:t>90.3</w:t>
            </w:r>
          </w:p>
        </w:tc>
        <w:tc>
          <w:tcPr>
            <w:tcW w:w="1134" w:type="dxa"/>
            <w:vAlign w:val="center"/>
          </w:tcPr>
          <w:p w14:paraId="38790418">
            <w:pPr>
              <w:pStyle w:val="88"/>
              <w:bidi w:val="0"/>
              <w:jc w:val="center"/>
            </w:pPr>
            <w:r>
              <w:rPr>
                <w:rFonts w:hint="eastAsia"/>
              </w:rPr>
              <w:t>81.3</w:t>
            </w:r>
          </w:p>
        </w:tc>
        <w:tc>
          <w:tcPr>
            <w:tcW w:w="1134" w:type="dxa"/>
            <w:vAlign w:val="center"/>
          </w:tcPr>
          <w:p w14:paraId="159EE37D">
            <w:pPr>
              <w:pStyle w:val="88"/>
              <w:bidi w:val="0"/>
              <w:jc w:val="center"/>
            </w:pPr>
            <w:r>
              <w:rPr>
                <w:rFonts w:hint="eastAsia"/>
              </w:rPr>
              <w:t>84.1</w:t>
            </w:r>
          </w:p>
        </w:tc>
        <w:tc>
          <w:tcPr>
            <w:tcW w:w="1134" w:type="dxa"/>
            <w:vAlign w:val="center"/>
          </w:tcPr>
          <w:p w14:paraId="0B89F2ED">
            <w:pPr>
              <w:pStyle w:val="88"/>
              <w:bidi w:val="0"/>
              <w:jc w:val="center"/>
            </w:pPr>
            <w:r>
              <w:rPr>
                <w:rFonts w:hint="eastAsia"/>
              </w:rPr>
              <w:t>84.4</w:t>
            </w:r>
          </w:p>
        </w:tc>
        <w:tc>
          <w:tcPr>
            <w:tcW w:w="1134" w:type="dxa"/>
          </w:tcPr>
          <w:p w14:paraId="463930A2">
            <w:pPr>
              <w:pStyle w:val="88"/>
              <w:bidi w:val="0"/>
              <w:jc w:val="center"/>
            </w:pPr>
            <w:r>
              <w:rPr>
                <w:rFonts w:hint="eastAsia"/>
              </w:rPr>
              <w:t>86.8</w:t>
            </w:r>
          </w:p>
        </w:tc>
      </w:tr>
      <w:tr w14:paraId="66178D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276F9451">
            <w:pPr>
              <w:pStyle w:val="88"/>
              <w:bidi w:val="0"/>
              <w:jc w:val="center"/>
            </w:pPr>
            <w:r>
              <w:rPr>
                <w:rFonts w:hint="eastAsia"/>
              </w:rPr>
              <w:t>本文算法</w:t>
            </w:r>
          </w:p>
        </w:tc>
        <w:tc>
          <w:tcPr>
            <w:tcW w:w="1134" w:type="dxa"/>
            <w:vAlign w:val="center"/>
          </w:tcPr>
          <w:p w14:paraId="7E99B439">
            <w:pPr>
              <w:pStyle w:val="88"/>
              <w:bidi w:val="0"/>
              <w:jc w:val="center"/>
            </w:pPr>
            <w:r>
              <w:rPr>
                <w:rFonts w:hint="eastAsia"/>
              </w:rPr>
              <w:t>94.2</w:t>
            </w:r>
          </w:p>
        </w:tc>
        <w:tc>
          <w:tcPr>
            <w:tcW w:w="1134" w:type="dxa"/>
          </w:tcPr>
          <w:p w14:paraId="69A3F5E0">
            <w:pPr>
              <w:pStyle w:val="88"/>
              <w:bidi w:val="0"/>
              <w:jc w:val="center"/>
            </w:pPr>
            <w:r>
              <w:rPr>
                <w:rFonts w:hint="eastAsia"/>
              </w:rPr>
              <w:t>96.2</w:t>
            </w:r>
          </w:p>
        </w:tc>
        <w:tc>
          <w:tcPr>
            <w:tcW w:w="1134" w:type="dxa"/>
            <w:vAlign w:val="center"/>
          </w:tcPr>
          <w:p w14:paraId="521C864A">
            <w:pPr>
              <w:pStyle w:val="88"/>
              <w:bidi w:val="0"/>
              <w:jc w:val="center"/>
            </w:pPr>
            <w:r>
              <w:rPr>
                <w:rFonts w:hint="eastAsia"/>
              </w:rPr>
              <w:t>88.5</w:t>
            </w:r>
          </w:p>
        </w:tc>
        <w:tc>
          <w:tcPr>
            <w:tcW w:w="1134" w:type="dxa"/>
            <w:vAlign w:val="center"/>
          </w:tcPr>
          <w:p w14:paraId="2B589EA6">
            <w:pPr>
              <w:pStyle w:val="88"/>
              <w:bidi w:val="0"/>
              <w:jc w:val="center"/>
            </w:pPr>
            <w:r>
              <w:rPr>
                <w:rFonts w:hint="eastAsia"/>
              </w:rPr>
              <w:t>90.0</w:t>
            </w:r>
          </w:p>
        </w:tc>
        <w:tc>
          <w:tcPr>
            <w:tcW w:w="1134" w:type="dxa"/>
            <w:vAlign w:val="center"/>
          </w:tcPr>
          <w:p w14:paraId="01CB1103">
            <w:pPr>
              <w:pStyle w:val="88"/>
              <w:bidi w:val="0"/>
              <w:jc w:val="center"/>
            </w:pPr>
            <w:r>
              <w:rPr>
                <w:rFonts w:hint="eastAsia"/>
              </w:rPr>
              <w:t>91.1</w:t>
            </w:r>
          </w:p>
        </w:tc>
        <w:tc>
          <w:tcPr>
            <w:tcW w:w="1134" w:type="dxa"/>
          </w:tcPr>
          <w:p w14:paraId="6658573C">
            <w:pPr>
              <w:pStyle w:val="88"/>
              <w:bidi w:val="0"/>
              <w:jc w:val="center"/>
            </w:pPr>
            <w:r>
              <w:rPr>
                <w:rFonts w:hint="eastAsia"/>
              </w:rPr>
              <w:t>92.8</w:t>
            </w:r>
          </w:p>
        </w:tc>
      </w:tr>
    </w:tbl>
    <w:p w14:paraId="3089925E">
      <w:pPr>
        <w:ind w:firstLine="480"/>
      </w:pPr>
      <w:r>
        <w:rPr>
          <w:rFonts w:hint="eastAsia"/>
        </w:rPr>
        <w:t>消融实验结果如表4-2所示。可以看到，当仅替换“初始化种群策略”为完全随机初始化后，三数据集上的ASR与RSR均出现一定程度下降，这说明重要性引导的初始化能够为搜索提供更高质量的起点，使种群更早覆盖“高影响词元”，从而更快形成对检索器相似度更敏感的对抗表征。当进一步对“动态重要性引导变异”的温度策略进行消融时，整体性能同样下降，但下降幅度相对更温和：该现象表明温度调度在遗传搜索中承担了“前期促进探索、后期促进收敛”的作用；当温度固定后，搜索过程更容易出现“探索不足或收敛不足”的折中，从而在检索命中与端到端失真上同时受到影响。</w:t>
      </w:r>
    </w:p>
    <w:p w14:paraId="28C0F7AB">
      <w:pPr>
        <w:pStyle w:val="8"/>
        <w:keepNext/>
      </w:pPr>
      <w:r>
        <w:rPr>
          <w:rFonts w:hint="eastAsia"/>
        </w:rPr>
        <w:t>表</w:t>
      </w:r>
      <w:r>
        <w:rPr>
          <w:rFonts w:hint="eastAsia"/>
          <w:lang w:val="en-US" w:eastAsia="zh-CN"/>
        </w:rPr>
        <w:t>4</w:t>
      </w:r>
      <w:r>
        <w:noBreakHyphen/>
      </w:r>
      <w:r>
        <w:rPr>
          <w:rFonts w:hint="eastAsia"/>
          <w:lang w:val="en-US" w:eastAsia="zh-CN"/>
        </w:rPr>
        <w:t>2</w:t>
      </w:r>
      <w:r>
        <w:rPr>
          <w:rFonts w:hint="eastAsia"/>
        </w:rPr>
        <w:t xml:space="preserve"> 消融实验结果（单位：%）</w:t>
      </w:r>
    </w:p>
    <w:tbl>
      <w:tblPr>
        <w:tblStyle w:val="31"/>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7"/>
        <w:gridCol w:w="1134"/>
        <w:gridCol w:w="1134"/>
        <w:gridCol w:w="1134"/>
        <w:gridCol w:w="1134"/>
        <w:gridCol w:w="1134"/>
        <w:gridCol w:w="1134"/>
      </w:tblGrid>
      <w:tr w14:paraId="322D16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0DEA1498">
            <w:pPr>
              <w:pStyle w:val="88"/>
              <w:bidi w:val="0"/>
            </w:pPr>
            <w:r>
              <w:rPr>
                <w:rFonts w:hint="eastAsia"/>
              </w:rPr>
              <w:t>消融设置</w:t>
            </w:r>
          </w:p>
        </w:tc>
        <w:tc>
          <w:tcPr>
            <w:tcW w:w="2268" w:type="dxa"/>
            <w:gridSpan w:val="2"/>
            <w:tcBorders>
              <w:top w:val="single" w:color="auto" w:sz="12" w:space="0"/>
              <w:bottom w:val="single" w:color="auto" w:sz="8" w:space="0"/>
            </w:tcBorders>
            <w:vAlign w:val="center"/>
          </w:tcPr>
          <w:p w14:paraId="6824CAE8">
            <w:pPr>
              <w:pStyle w:val="88"/>
              <w:bidi w:val="0"/>
            </w:pPr>
            <w:r>
              <w:rPr>
                <w:rFonts w:hint="eastAsia"/>
              </w:rPr>
              <w:t>NQ</w:t>
            </w:r>
          </w:p>
        </w:tc>
        <w:tc>
          <w:tcPr>
            <w:tcW w:w="2268" w:type="dxa"/>
            <w:gridSpan w:val="2"/>
            <w:tcBorders>
              <w:top w:val="single" w:color="auto" w:sz="12" w:space="0"/>
              <w:bottom w:val="single" w:color="auto" w:sz="8" w:space="0"/>
            </w:tcBorders>
            <w:vAlign w:val="center"/>
          </w:tcPr>
          <w:p w14:paraId="66890F41">
            <w:pPr>
              <w:pStyle w:val="88"/>
              <w:bidi w:val="0"/>
            </w:pPr>
            <w:r>
              <w:rPr>
                <w:rFonts w:hint="eastAsia"/>
              </w:rPr>
              <w:t>MS MARCO</w:t>
            </w:r>
          </w:p>
        </w:tc>
        <w:tc>
          <w:tcPr>
            <w:tcW w:w="2268" w:type="dxa"/>
            <w:gridSpan w:val="2"/>
            <w:tcBorders>
              <w:top w:val="single" w:color="auto" w:sz="12" w:space="0"/>
              <w:bottom w:val="single" w:color="auto" w:sz="8" w:space="0"/>
            </w:tcBorders>
            <w:vAlign w:val="center"/>
          </w:tcPr>
          <w:p w14:paraId="331B1CD0">
            <w:pPr>
              <w:pStyle w:val="88"/>
              <w:bidi w:val="0"/>
            </w:pPr>
            <w:r>
              <w:rPr>
                <w:rFonts w:hint="eastAsia"/>
              </w:rPr>
              <w:t>PANDAX</w:t>
            </w:r>
          </w:p>
        </w:tc>
      </w:tr>
      <w:tr w14:paraId="232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06B6BD2B">
            <w:pPr>
              <w:pStyle w:val="88"/>
              <w:bidi w:val="0"/>
            </w:pPr>
          </w:p>
        </w:tc>
        <w:tc>
          <w:tcPr>
            <w:tcW w:w="1134" w:type="dxa"/>
            <w:tcBorders>
              <w:top w:val="single" w:color="auto" w:sz="8" w:space="0"/>
              <w:bottom w:val="single" w:color="auto" w:sz="8" w:space="0"/>
            </w:tcBorders>
          </w:tcPr>
          <w:p w14:paraId="2B83D18C">
            <w:pPr>
              <w:pStyle w:val="88"/>
              <w:bidi w:val="0"/>
            </w:pPr>
            <w:r>
              <w:rPr>
                <w:rFonts w:hint="eastAsia"/>
              </w:rPr>
              <w:t>ASR</w:t>
            </w:r>
          </w:p>
        </w:tc>
        <w:tc>
          <w:tcPr>
            <w:tcW w:w="1134" w:type="dxa"/>
            <w:tcBorders>
              <w:top w:val="single" w:color="auto" w:sz="8" w:space="0"/>
              <w:bottom w:val="single" w:color="auto" w:sz="8" w:space="0"/>
            </w:tcBorders>
          </w:tcPr>
          <w:p w14:paraId="7B0AA0CD">
            <w:pPr>
              <w:pStyle w:val="88"/>
              <w:bidi w:val="0"/>
            </w:pPr>
            <w:r>
              <w:rPr>
                <w:rFonts w:hint="eastAsia"/>
              </w:rPr>
              <w:t>RSR</w:t>
            </w:r>
          </w:p>
        </w:tc>
        <w:tc>
          <w:tcPr>
            <w:tcW w:w="1134" w:type="dxa"/>
            <w:tcBorders>
              <w:top w:val="single" w:color="auto" w:sz="8" w:space="0"/>
              <w:bottom w:val="single" w:color="auto" w:sz="8" w:space="0"/>
            </w:tcBorders>
          </w:tcPr>
          <w:p w14:paraId="61C7DA79">
            <w:pPr>
              <w:pStyle w:val="88"/>
              <w:bidi w:val="0"/>
            </w:pPr>
            <w:r>
              <w:rPr>
                <w:rFonts w:hint="eastAsia"/>
              </w:rPr>
              <w:t>ASR</w:t>
            </w:r>
          </w:p>
        </w:tc>
        <w:tc>
          <w:tcPr>
            <w:tcW w:w="1134" w:type="dxa"/>
            <w:tcBorders>
              <w:top w:val="single" w:color="auto" w:sz="8" w:space="0"/>
              <w:bottom w:val="single" w:color="auto" w:sz="8" w:space="0"/>
            </w:tcBorders>
          </w:tcPr>
          <w:p w14:paraId="4B15337E">
            <w:pPr>
              <w:pStyle w:val="88"/>
              <w:bidi w:val="0"/>
            </w:pPr>
            <w:r>
              <w:rPr>
                <w:rFonts w:hint="eastAsia"/>
              </w:rPr>
              <w:t>RSR</w:t>
            </w:r>
          </w:p>
        </w:tc>
        <w:tc>
          <w:tcPr>
            <w:tcW w:w="1134" w:type="dxa"/>
            <w:tcBorders>
              <w:top w:val="single" w:color="auto" w:sz="8" w:space="0"/>
              <w:bottom w:val="single" w:color="auto" w:sz="8" w:space="0"/>
            </w:tcBorders>
          </w:tcPr>
          <w:p w14:paraId="076532F5">
            <w:pPr>
              <w:pStyle w:val="88"/>
              <w:bidi w:val="0"/>
            </w:pPr>
            <w:r>
              <w:rPr>
                <w:rFonts w:hint="eastAsia"/>
              </w:rPr>
              <w:t>ASR</w:t>
            </w:r>
          </w:p>
        </w:tc>
        <w:tc>
          <w:tcPr>
            <w:tcW w:w="1134" w:type="dxa"/>
            <w:tcBorders>
              <w:top w:val="single" w:color="auto" w:sz="8" w:space="0"/>
              <w:bottom w:val="single" w:color="auto" w:sz="8" w:space="0"/>
            </w:tcBorders>
          </w:tcPr>
          <w:p w14:paraId="50608DBC">
            <w:pPr>
              <w:pStyle w:val="88"/>
              <w:bidi w:val="0"/>
            </w:pPr>
            <w:r>
              <w:rPr>
                <w:rFonts w:hint="eastAsia"/>
              </w:rPr>
              <w:t>RSR</w:t>
            </w:r>
          </w:p>
        </w:tc>
      </w:tr>
      <w:tr w14:paraId="4AB2F9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294BB64A">
            <w:pPr>
              <w:pStyle w:val="88"/>
              <w:bidi w:val="0"/>
            </w:pPr>
            <w:r>
              <w:rPr>
                <w:rFonts w:hint="eastAsia"/>
              </w:rPr>
              <w:t>完整算法</w:t>
            </w:r>
          </w:p>
        </w:tc>
        <w:tc>
          <w:tcPr>
            <w:tcW w:w="1134" w:type="dxa"/>
            <w:tcBorders>
              <w:top w:val="single" w:color="auto" w:sz="8" w:space="0"/>
            </w:tcBorders>
            <w:vAlign w:val="center"/>
          </w:tcPr>
          <w:p w14:paraId="589D07C1">
            <w:pPr>
              <w:pStyle w:val="88"/>
              <w:bidi w:val="0"/>
            </w:pPr>
            <w:r>
              <w:rPr>
                <w:rFonts w:hint="eastAsia"/>
              </w:rPr>
              <w:t>94.2</w:t>
            </w:r>
          </w:p>
        </w:tc>
        <w:tc>
          <w:tcPr>
            <w:tcW w:w="1134" w:type="dxa"/>
            <w:tcBorders>
              <w:top w:val="single" w:color="auto" w:sz="8" w:space="0"/>
            </w:tcBorders>
          </w:tcPr>
          <w:p w14:paraId="1B3F4CE9">
            <w:pPr>
              <w:pStyle w:val="88"/>
              <w:bidi w:val="0"/>
            </w:pPr>
            <w:r>
              <w:rPr>
                <w:rFonts w:hint="eastAsia"/>
              </w:rPr>
              <w:t>96.2</w:t>
            </w:r>
          </w:p>
        </w:tc>
        <w:tc>
          <w:tcPr>
            <w:tcW w:w="1134" w:type="dxa"/>
            <w:tcBorders>
              <w:top w:val="single" w:color="auto" w:sz="8" w:space="0"/>
            </w:tcBorders>
            <w:vAlign w:val="center"/>
          </w:tcPr>
          <w:p w14:paraId="6676394B">
            <w:pPr>
              <w:pStyle w:val="88"/>
              <w:bidi w:val="0"/>
            </w:pPr>
            <w:r>
              <w:rPr>
                <w:rFonts w:hint="eastAsia"/>
              </w:rPr>
              <w:t>88.5</w:t>
            </w:r>
          </w:p>
        </w:tc>
        <w:tc>
          <w:tcPr>
            <w:tcW w:w="1134" w:type="dxa"/>
            <w:tcBorders>
              <w:top w:val="single" w:color="auto" w:sz="8" w:space="0"/>
            </w:tcBorders>
            <w:vAlign w:val="center"/>
          </w:tcPr>
          <w:p w14:paraId="6080EA5B">
            <w:pPr>
              <w:pStyle w:val="88"/>
              <w:bidi w:val="0"/>
            </w:pPr>
            <w:r>
              <w:rPr>
                <w:rFonts w:hint="eastAsia"/>
              </w:rPr>
              <w:t>90.0</w:t>
            </w:r>
          </w:p>
        </w:tc>
        <w:tc>
          <w:tcPr>
            <w:tcW w:w="1134" w:type="dxa"/>
            <w:tcBorders>
              <w:top w:val="single" w:color="auto" w:sz="8" w:space="0"/>
            </w:tcBorders>
            <w:vAlign w:val="center"/>
          </w:tcPr>
          <w:p w14:paraId="4CAB856A">
            <w:pPr>
              <w:pStyle w:val="88"/>
              <w:bidi w:val="0"/>
            </w:pPr>
            <w:r>
              <w:rPr>
                <w:rFonts w:hint="eastAsia"/>
              </w:rPr>
              <w:t>91.1</w:t>
            </w:r>
          </w:p>
        </w:tc>
        <w:tc>
          <w:tcPr>
            <w:tcW w:w="1134" w:type="dxa"/>
            <w:tcBorders>
              <w:top w:val="single" w:color="auto" w:sz="8" w:space="0"/>
            </w:tcBorders>
          </w:tcPr>
          <w:p w14:paraId="6B2A23F9">
            <w:pPr>
              <w:pStyle w:val="88"/>
              <w:bidi w:val="0"/>
            </w:pPr>
            <w:r>
              <w:rPr>
                <w:rFonts w:hint="eastAsia"/>
              </w:rPr>
              <w:t>92.8</w:t>
            </w:r>
          </w:p>
        </w:tc>
      </w:tr>
      <w:tr w14:paraId="2D71E8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4F2BA7BB">
            <w:pPr>
              <w:pStyle w:val="88"/>
              <w:bidi w:val="0"/>
            </w:pPr>
            <w:r>
              <w:rPr>
                <w:rFonts w:hint="eastAsia"/>
              </w:rPr>
              <w:t>随机初始化种群</w:t>
            </w:r>
          </w:p>
        </w:tc>
        <w:tc>
          <w:tcPr>
            <w:tcW w:w="1134" w:type="dxa"/>
          </w:tcPr>
          <w:p w14:paraId="58CEA393">
            <w:pPr>
              <w:pStyle w:val="88"/>
              <w:bidi w:val="0"/>
            </w:pPr>
            <w:r>
              <w:rPr>
                <w:rFonts w:hint="eastAsia"/>
              </w:rPr>
              <w:t>81.2</w:t>
            </w:r>
          </w:p>
        </w:tc>
        <w:tc>
          <w:tcPr>
            <w:tcW w:w="1134" w:type="dxa"/>
          </w:tcPr>
          <w:p w14:paraId="0A6614CC">
            <w:pPr>
              <w:pStyle w:val="88"/>
              <w:bidi w:val="0"/>
            </w:pPr>
            <w:r>
              <w:rPr>
                <w:rFonts w:hint="eastAsia"/>
              </w:rPr>
              <w:t>84.0</w:t>
            </w:r>
          </w:p>
        </w:tc>
        <w:tc>
          <w:tcPr>
            <w:tcW w:w="1134" w:type="dxa"/>
          </w:tcPr>
          <w:p w14:paraId="09389A26">
            <w:pPr>
              <w:pStyle w:val="88"/>
              <w:bidi w:val="0"/>
            </w:pPr>
            <w:r>
              <w:rPr>
                <w:rFonts w:hint="eastAsia"/>
              </w:rPr>
              <w:t>75.7</w:t>
            </w:r>
          </w:p>
        </w:tc>
        <w:tc>
          <w:tcPr>
            <w:tcW w:w="1134" w:type="dxa"/>
          </w:tcPr>
          <w:p w14:paraId="5B7E5495">
            <w:pPr>
              <w:pStyle w:val="88"/>
              <w:bidi w:val="0"/>
            </w:pPr>
            <w:r>
              <w:rPr>
                <w:rFonts w:hint="eastAsia"/>
              </w:rPr>
              <w:t>78.1</w:t>
            </w:r>
          </w:p>
        </w:tc>
        <w:tc>
          <w:tcPr>
            <w:tcW w:w="1134" w:type="dxa"/>
          </w:tcPr>
          <w:p w14:paraId="187FBB7D">
            <w:pPr>
              <w:pStyle w:val="88"/>
              <w:bidi w:val="0"/>
            </w:pPr>
            <w:r>
              <w:rPr>
                <w:rFonts w:hint="eastAsia"/>
              </w:rPr>
              <w:t>77.3</w:t>
            </w:r>
          </w:p>
        </w:tc>
        <w:tc>
          <w:tcPr>
            <w:tcW w:w="1134" w:type="dxa"/>
          </w:tcPr>
          <w:p w14:paraId="77485857">
            <w:pPr>
              <w:pStyle w:val="88"/>
              <w:bidi w:val="0"/>
            </w:pPr>
            <w:r>
              <w:rPr>
                <w:rFonts w:hint="eastAsia"/>
              </w:rPr>
              <w:t>80.6</w:t>
            </w:r>
          </w:p>
        </w:tc>
      </w:tr>
      <w:tr w14:paraId="72F143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05F93F33">
            <w:pPr>
              <w:pStyle w:val="88"/>
              <w:bidi w:val="0"/>
            </w:pPr>
            <m:oMath>
              <m:r>
                <m:rPr>
                  <m:sty m:val="p"/>
                </m:rPr>
                <w:rPr>
                  <w:rFonts w:ascii="Times New Roman" w:hAnsi="Times New Roman"/>
                </w:rPr>
                <m:t>τ</m:t>
              </m:r>
            </m:oMath>
            <w:r>
              <w:rPr>
                <w:rFonts w:hint="eastAsia"/>
              </w:rPr>
              <w:t>固定</w:t>
            </w:r>
          </w:p>
        </w:tc>
        <w:tc>
          <w:tcPr>
            <w:tcW w:w="1134" w:type="dxa"/>
            <w:vAlign w:val="center"/>
          </w:tcPr>
          <w:p w14:paraId="45FA3A07">
            <w:pPr>
              <w:pStyle w:val="88"/>
              <w:bidi w:val="0"/>
            </w:pPr>
            <w:r>
              <w:rPr>
                <w:rFonts w:hint="eastAsia"/>
              </w:rPr>
              <w:t>83.2</w:t>
            </w:r>
          </w:p>
        </w:tc>
        <w:tc>
          <w:tcPr>
            <w:tcW w:w="1134" w:type="dxa"/>
            <w:vAlign w:val="center"/>
          </w:tcPr>
          <w:p w14:paraId="2B9108B8">
            <w:pPr>
              <w:pStyle w:val="88"/>
              <w:bidi w:val="0"/>
            </w:pPr>
            <w:r>
              <w:rPr>
                <w:rFonts w:hint="eastAsia"/>
              </w:rPr>
              <w:t>85.9</w:t>
            </w:r>
          </w:p>
        </w:tc>
        <w:tc>
          <w:tcPr>
            <w:tcW w:w="1134" w:type="dxa"/>
            <w:vAlign w:val="center"/>
          </w:tcPr>
          <w:p w14:paraId="76083D14">
            <w:pPr>
              <w:pStyle w:val="88"/>
              <w:bidi w:val="0"/>
            </w:pPr>
            <w:r>
              <w:rPr>
                <w:rFonts w:hint="eastAsia"/>
              </w:rPr>
              <w:t>78.5</w:t>
            </w:r>
          </w:p>
        </w:tc>
        <w:tc>
          <w:tcPr>
            <w:tcW w:w="1134" w:type="dxa"/>
            <w:vAlign w:val="center"/>
          </w:tcPr>
          <w:p w14:paraId="351C17FC">
            <w:pPr>
              <w:pStyle w:val="88"/>
              <w:bidi w:val="0"/>
            </w:pPr>
            <w:r>
              <w:rPr>
                <w:rFonts w:hint="eastAsia"/>
              </w:rPr>
              <w:t>81.3</w:t>
            </w:r>
          </w:p>
        </w:tc>
        <w:tc>
          <w:tcPr>
            <w:tcW w:w="1134" w:type="dxa"/>
            <w:vAlign w:val="center"/>
          </w:tcPr>
          <w:p w14:paraId="11D0F1CC">
            <w:pPr>
              <w:pStyle w:val="88"/>
              <w:bidi w:val="0"/>
            </w:pPr>
            <w:r>
              <w:rPr>
                <w:rFonts w:hint="eastAsia"/>
              </w:rPr>
              <w:t>82.4</w:t>
            </w:r>
          </w:p>
        </w:tc>
        <w:tc>
          <w:tcPr>
            <w:tcW w:w="1134" w:type="dxa"/>
            <w:vAlign w:val="center"/>
          </w:tcPr>
          <w:p w14:paraId="17D8CB05">
            <w:pPr>
              <w:pStyle w:val="88"/>
              <w:bidi w:val="0"/>
            </w:pPr>
            <w:r>
              <w:rPr>
                <w:rFonts w:hint="eastAsia"/>
              </w:rPr>
              <w:t>82.7</w:t>
            </w:r>
          </w:p>
        </w:tc>
      </w:tr>
    </w:tbl>
    <w:p w14:paraId="7E74E40C">
      <w:pPr>
        <w:ind w:firstLine="480"/>
      </w:pPr>
      <w:r>
        <w:rPr>
          <w:rFonts w:hint="eastAsia"/>
        </w:rPr>
        <w:t>迁移实验结果如图4-</w:t>
      </w:r>
      <w:r>
        <w:rPr>
          <w:rFonts w:hint="eastAsia"/>
          <w:lang w:val="en-US" w:eastAsia="zh-CN"/>
        </w:rPr>
        <w:t>3</w:t>
      </w:r>
      <w:r>
        <w:rPr>
          <w:rFonts w:hint="eastAsia"/>
        </w:rPr>
        <w:t>、4</w:t>
      </w:r>
      <w:r>
        <w:rPr>
          <w:rFonts w:hint="eastAsia"/>
          <w:lang w:val="en-US" w:eastAsia="zh-CN"/>
        </w:rPr>
        <w:t>-4</w:t>
      </w:r>
      <w:r>
        <w:rPr>
          <w:rFonts w:hint="eastAsia"/>
        </w:rPr>
        <w:t>、4-</w:t>
      </w:r>
      <w:r>
        <w:rPr>
          <w:rFonts w:hint="eastAsia"/>
          <w:lang w:val="en-US" w:eastAsia="zh-CN"/>
        </w:rPr>
        <w:t>5</w:t>
      </w:r>
      <w:r>
        <w:rPr>
          <w:rFonts w:hint="eastAsia"/>
        </w:rPr>
        <w:t>所示。从图中可见，BOGA-RAGP在不同检索器与生成模型上的泛化性能良好。即使在其他数据集上测试由NQ数据集训练的DPR-nq，效果也仅仅是小幅下降这些结果表明，本文方法不依赖特定组件，对检索器和生成模型具有鲁棒性。</w:t>
      </w:r>
    </w:p>
    <w:p w14:paraId="1102AB38">
      <w:pPr>
        <w:spacing w:line="240" w:lineRule="auto"/>
        <w:ind w:firstLine="0" w:firstLineChars="0"/>
        <w:rPr>
          <w:rFonts w:hint="eastAsia"/>
        </w:rPr>
      </w:pPr>
      <w:r>
        <w:rPr>
          <w:rFonts w:hint="eastAsia"/>
        </w:rPr>
        <w:drawing>
          <wp:inline distT="0" distB="0" distL="114300" distR="114300">
            <wp:extent cx="5236845" cy="2618740"/>
            <wp:effectExtent l="0" t="0" r="5715" b="2540"/>
            <wp:docPr id="21" name="图片 2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_1"/>
                    <pic:cNvPicPr>
                      <a:picLocks noChangeAspect="1"/>
                    </pic:cNvPicPr>
                  </pic:nvPicPr>
                  <pic:blipFill>
                    <a:blip r:embed="rId60"/>
                    <a:stretch>
                      <a:fillRect/>
                    </a:stretch>
                  </pic:blipFill>
                  <pic:spPr>
                    <a:xfrm>
                      <a:off x="0" y="0"/>
                      <a:ext cx="5236845" cy="2618740"/>
                    </a:xfrm>
                    <a:prstGeom prst="rect">
                      <a:avLst/>
                    </a:prstGeom>
                  </pic:spPr>
                </pic:pic>
              </a:graphicData>
            </a:graphic>
          </wp:inline>
        </w:drawing>
      </w:r>
    </w:p>
    <w:p w14:paraId="1634A9E9">
      <w:pPr>
        <w:pStyle w:val="92"/>
        <w:rPr>
          <w:rFonts w:hint="eastAsia"/>
        </w:rPr>
      </w:pPr>
      <w:r>
        <w:rPr>
          <w:rFonts w:hint="eastAsia"/>
        </w:rPr>
        <w:t>图</w:t>
      </w:r>
      <w:r>
        <w:rPr>
          <w:rFonts w:hint="eastAsia"/>
          <w:lang w:val="en-US" w:eastAsia="zh-CN"/>
        </w:rPr>
        <w:t>4</w:t>
      </w:r>
      <w:r>
        <w:rPr>
          <w:rFonts w:hint="eastAsia"/>
        </w:rPr>
        <w:t>-</w:t>
      </w:r>
      <w:r>
        <w:rPr>
          <w:rFonts w:hint="eastAsia"/>
          <w:lang w:val="en-US" w:eastAsia="zh-CN"/>
        </w:rPr>
        <w:t>3</w:t>
      </w:r>
      <w:r>
        <w:rPr>
          <w:rFonts w:hint="eastAsia"/>
        </w:rPr>
        <w:t xml:space="preserve"> </w:t>
      </w:r>
      <w:r>
        <w:rPr>
          <w:rFonts w:hint="eastAsia"/>
          <w:lang w:val="en-US" w:eastAsia="zh-CN"/>
        </w:rPr>
        <w:t>NQ数据集上迁移实验结果</w:t>
      </w:r>
    </w:p>
    <w:p w14:paraId="2245E0E8">
      <w:pPr>
        <w:spacing w:line="240" w:lineRule="auto"/>
        <w:ind w:firstLine="0" w:firstLineChars="0"/>
        <w:rPr>
          <w:rFonts w:hint="eastAsia"/>
        </w:rPr>
      </w:pPr>
      <w:r>
        <w:rPr>
          <w:rFonts w:hint="eastAsia"/>
        </w:rPr>
        <w:drawing>
          <wp:inline distT="0" distB="0" distL="114300" distR="114300">
            <wp:extent cx="5217160" cy="2608580"/>
            <wp:effectExtent l="0" t="0" r="10160" b="12700"/>
            <wp:docPr id="22" name="图片 2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ure_2"/>
                    <pic:cNvPicPr>
                      <a:picLocks noChangeAspect="1"/>
                    </pic:cNvPicPr>
                  </pic:nvPicPr>
                  <pic:blipFill>
                    <a:blip r:embed="rId61"/>
                    <a:stretch>
                      <a:fillRect/>
                    </a:stretch>
                  </pic:blipFill>
                  <pic:spPr>
                    <a:xfrm>
                      <a:off x="0" y="0"/>
                      <a:ext cx="5217160" cy="2608580"/>
                    </a:xfrm>
                    <a:prstGeom prst="rect">
                      <a:avLst/>
                    </a:prstGeom>
                  </pic:spPr>
                </pic:pic>
              </a:graphicData>
            </a:graphic>
          </wp:inline>
        </w:drawing>
      </w:r>
    </w:p>
    <w:p w14:paraId="04F4F85E">
      <w:pPr>
        <w:pStyle w:val="92"/>
        <w:rPr>
          <w:rFonts w:hint="eastAsia"/>
        </w:rPr>
      </w:pPr>
      <w:r>
        <w:rPr>
          <w:rFonts w:hint="eastAsia"/>
        </w:rPr>
        <w:t>图</w:t>
      </w:r>
      <w:r>
        <w:rPr>
          <w:rFonts w:hint="eastAsia"/>
          <w:lang w:val="en-US" w:eastAsia="zh-CN"/>
        </w:rPr>
        <w:t>4</w:t>
      </w:r>
      <w:r>
        <w:rPr>
          <w:rFonts w:hint="eastAsia"/>
        </w:rPr>
        <w:t>-</w:t>
      </w:r>
      <w:r>
        <w:rPr>
          <w:rFonts w:hint="eastAsia"/>
          <w:lang w:val="en-US" w:eastAsia="zh-CN"/>
        </w:rPr>
        <w:t>4</w:t>
      </w:r>
      <w:r>
        <w:rPr>
          <w:rFonts w:hint="eastAsia"/>
        </w:rPr>
        <w:t xml:space="preserve"> </w:t>
      </w:r>
      <w:r>
        <w:rPr>
          <w:rFonts w:hint="eastAsia"/>
          <w:lang w:val="en-US" w:eastAsia="zh-CN"/>
        </w:rPr>
        <w:t>MS MARCO数据集上迁移实验结果</w:t>
      </w:r>
    </w:p>
    <w:p w14:paraId="655D9CE3">
      <w:pPr>
        <w:spacing w:line="240" w:lineRule="auto"/>
        <w:ind w:firstLine="0" w:firstLineChars="0"/>
        <w:rPr>
          <w:rFonts w:hint="eastAsia"/>
        </w:rPr>
      </w:pPr>
      <w:r>
        <w:rPr>
          <w:rFonts w:hint="eastAsia"/>
        </w:rPr>
        <w:drawing>
          <wp:inline distT="0" distB="0" distL="114300" distR="114300">
            <wp:extent cx="5140960" cy="2570480"/>
            <wp:effectExtent l="0" t="0" r="10160" b="5080"/>
            <wp:docPr id="23" name="图片 23"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ure_3"/>
                    <pic:cNvPicPr>
                      <a:picLocks noChangeAspect="1"/>
                    </pic:cNvPicPr>
                  </pic:nvPicPr>
                  <pic:blipFill>
                    <a:blip r:embed="rId62"/>
                    <a:stretch>
                      <a:fillRect/>
                    </a:stretch>
                  </pic:blipFill>
                  <pic:spPr>
                    <a:xfrm>
                      <a:off x="0" y="0"/>
                      <a:ext cx="5140960" cy="2570480"/>
                    </a:xfrm>
                    <a:prstGeom prst="rect">
                      <a:avLst/>
                    </a:prstGeom>
                  </pic:spPr>
                </pic:pic>
              </a:graphicData>
            </a:graphic>
          </wp:inline>
        </w:drawing>
      </w:r>
    </w:p>
    <w:p w14:paraId="5358AC78">
      <w:pPr>
        <w:pStyle w:val="92"/>
      </w:pPr>
      <w:r>
        <w:rPr>
          <w:rFonts w:hint="eastAsia"/>
        </w:rPr>
        <w:t>图</w:t>
      </w:r>
      <w:r>
        <w:rPr>
          <w:rFonts w:hint="eastAsia"/>
          <w:lang w:val="en-US" w:eastAsia="zh-CN"/>
        </w:rPr>
        <w:t>4</w:t>
      </w:r>
      <w:r>
        <w:rPr>
          <w:rFonts w:hint="eastAsia"/>
        </w:rPr>
        <w:t>-</w:t>
      </w:r>
      <w:r>
        <w:rPr>
          <w:rFonts w:hint="eastAsia"/>
          <w:lang w:val="en-US" w:eastAsia="zh-CN"/>
        </w:rPr>
        <w:t>5</w:t>
      </w:r>
      <w:r>
        <w:rPr>
          <w:rFonts w:hint="eastAsia"/>
        </w:rPr>
        <w:t xml:space="preserve"> </w:t>
      </w:r>
      <w:r>
        <w:rPr>
          <w:rFonts w:hint="eastAsia"/>
          <w:lang w:val="en-US" w:eastAsia="zh-CN"/>
        </w:rPr>
        <w:t>PANDAX数据集上迁移实验结果</w:t>
      </w:r>
    </w:p>
    <w:p w14:paraId="0BDD690A">
      <w:pPr>
        <w:ind w:firstLine="480"/>
      </w:pPr>
      <w:r>
        <w:t>鲁棒性实验结果如表4-3所示。在引入困惑度检测防御后，本文方法的ASR在PANDAX上下降到</w:t>
      </w:r>
      <w:r>
        <w:rPr>
          <w:rFonts w:hint="eastAsia"/>
        </w:rPr>
        <w:t>78</w:t>
      </w:r>
      <w:r>
        <w:t>.6%，RSR下降到</w:t>
      </w:r>
      <w:r>
        <w:rPr>
          <w:rFonts w:hint="eastAsia"/>
        </w:rPr>
        <w:t>81.0</w:t>
      </w:r>
      <w:r>
        <w:t>%，但仍高于</w:t>
      </w:r>
      <w:r>
        <w:rPr>
          <w:rFonts w:hint="eastAsia"/>
        </w:rPr>
        <w:t>黑白盒最优基线</w:t>
      </w:r>
      <w:r>
        <w:t>，表明BOGA-RAGP通过语义隐蔽优化能部分绕过PPL阈值过滤；文档改写防御下，ASR下降到</w:t>
      </w:r>
      <w:r>
        <w:rPr>
          <w:rFonts w:hint="eastAsia"/>
        </w:rPr>
        <w:t>86.1</w:t>
      </w:r>
      <w:r>
        <w:t>%，RSR下降到89.</w:t>
      </w:r>
      <w:r>
        <w:rPr>
          <w:rFonts w:hint="eastAsia"/>
        </w:rPr>
        <w:t>8</w:t>
      </w:r>
      <w:r>
        <w:t>%，</w:t>
      </w:r>
      <w:r>
        <w:rPr>
          <w:rFonts w:hint="eastAsia"/>
        </w:rPr>
        <w:t>同样优于各基线方法，这充分</w:t>
      </w:r>
      <w:r>
        <w:t>说明双目标框架在保持自然性的同时提升了抵抗改写的稳定性。</w:t>
      </w:r>
    </w:p>
    <w:p w14:paraId="48135842">
      <w:pPr>
        <w:pStyle w:val="8"/>
        <w:keepNext/>
      </w:pPr>
      <w:r>
        <w:rPr>
          <w:rFonts w:hint="eastAsia"/>
        </w:rPr>
        <w:t>表</w:t>
      </w:r>
      <w:r>
        <w:rPr>
          <w:rFonts w:hint="eastAsia"/>
          <w:lang w:val="en-US" w:eastAsia="zh-CN"/>
        </w:rPr>
        <w:t>4</w:t>
      </w:r>
      <w:r>
        <w:noBreakHyphen/>
      </w:r>
      <w:r>
        <w:rPr>
          <w:rFonts w:hint="eastAsia"/>
          <w:lang w:val="en-US" w:eastAsia="zh-CN"/>
        </w:rPr>
        <w:t>3</w:t>
      </w:r>
      <w:r>
        <w:rPr>
          <w:rFonts w:hint="eastAsia"/>
        </w:rPr>
        <w:t xml:space="preserve"> 鲁棒性实验结果（单位：%）</w:t>
      </w:r>
    </w:p>
    <w:tbl>
      <w:tblPr>
        <w:tblStyle w:val="31"/>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6"/>
        <w:gridCol w:w="1130"/>
        <w:gridCol w:w="1121"/>
        <w:gridCol w:w="1131"/>
        <w:gridCol w:w="1121"/>
        <w:gridCol w:w="1131"/>
        <w:gridCol w:w="1121"/>
      </w:tblGrid>
      <w:tr w14:paraId="5BCD9C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292DBB96">
            <w:pPr>
              <w:pStyle w:val="88"/>
              <w:bidi w:val="0"/>
            </w:pPr>
            <w:r>
              <w:rPr>
                <w:rFonts w:hint="eastAsia"/>
              </w:rPr>
              <w:t>攻击方法</w:t>
            </w:r>
          </w:p>
        </w:tc>
        <w:tc>
          <w:tcPr>
            <w:tcW w:w="2268" w:type="dxa"/>
            <w:gridSpan w:val="2"/>
            <w:tcBorders>
              <w:top w:val="single" w:color="auto" w:sz="12" w:space="0"/>
              <w:bottom w:val="single" w:color="auto" w:sz="8" w:space="0"/>
            </w:tcBorders>
            <w:vAlign w:val="center"/>
          </w:tcPr>
          <w:p w14:paraId="5A823AA3">
            <w:pPr>
              <w:pStyle w:val="88"/>
              <w:bidi w:val="0"/>
            </w:pPr>
            <w:r>
              <w:rPr>
                <w:rFonts w:hint="eastAsia"/>
              </w:rPr>
              <w:t>无防御</w:t>
            </w:r>
          </w:p>
        </w:tc>
        <w:tc>
          <w:tcPr>
            <w:tcW w:w="2268" w:type="dxa"/>
            <w:gridSpan w:val="2"/>
            <w:tcBorders>
              <w:top w:val="single" w:color="auto" w:sz="12" w:space="0"/>
              <w:bottom w:val="single" w:color="auto" w:sz="8" w:space="0"/>
            </w:tcBorders>
            <w:vAlign w:val="center"/>
          </w:tcPr>
          <w:p w14:paraId="5110748D">
            <w:pPr>
              <w:pStyle w:val="88"/>
              <w:bidi w:val="0"/>
            </w:pPr>
            <w:r>
              <w:rPr>
                <w:rFonts w:hint="eastAsia"/>
              </w:rPr>
              <w:t>困惑度检测</w:t>
            </w:r>
          </w:p>
        </w:tc>
        <w:tc>
          <w:tcPr>
            <w:tcW w:w="2268" w:type="dxa"/>
            <w:gridSpan w:val="2"/>
            <w:tcBorders>
              <w:top w:val="single" w:color="auto" w:sz="12" w:space="0"/>
              <w:bottom w:val="single" w:color="auto" w:sz="8" w:space="0"/>
            </w:tcBorders>
            <w:vAlign w:val="center"/>
          </w:tcPr>
          <w:p w14:paraId="7F54304B">
            <w:pPr>
              <w:pStyle w:val="88"/>
              <w:bidi w:val="0"/>
            </w:pPr>
            <w:r>
              <w:rPr>
                <w:rFonts w:hint="eastAsia"/>
              </w:rPr>
              <w:t>文档改写</w:t>
            </w:r>
          </w:p>
        </w:tc>
      </w:tr>
      <w:tr w14:paraId="46993A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7A02E349">
            <w:pPr>
              <w:pStyle w:val="88"/>
              <w:bidi w:val="0"/>
            </w:pPr>
          </w:p>
        </w:tc>
        <w:tc>
          <w:tcPr>
            <w:tcW w:w="1134" w:type="dxa"/>
            <w:tcBorders>
              <w:top w:val="single" w:color="auto" w:sz="8" w:space="0"/>
              <w:bottom w:val="single" w:color="auto" w:sz="8" w:space="0"/>
            </w:tcBorders>
          </w:tcPr>
          <w:p w14:paraId="5BD6658C">
            <w:pPr>
              <w:pStyle w:val="88"/>
              <w:bidi w:val="0"/>
            </w:pPr>
            <w:r>
              <w:rPr>
                <w:rFonts w:hint="eastAsia"/>
              </w:rPr>
              <w:t>ASR</w:t>
            </w:r>
          </w:p>
        </w:tc>
        <w:tc>
          <w:tcPr>
            <w:tcW w:w="1134" w:type="dxa"/>
            <w:tcBorders>
              <w:top w:val="single" w:color="auto" w:sz="8" w:space="0"/>
              <w:bottom w:val="single" w:color="auto" w:sz="8" w:space="0"/>
            </w:tcBorders>
          </w:tcPr>
          <w:p w14:paraId="4B0299C7">
            <w:pPr>
              <w:pStyle w:val="88"/>
              <w:bidi w:val="0"/>
            </w:pPr>
            <w:r>
              <w:rPr>
                <w:rFonts w:hint="eastAsia"/>
              </w:rPr>
              <w:t>RSR</w:t>
            </w:r>
          </w:p>
        </w:tc>
        <w:tc>
          <w:tcPr>
            <w:tcW w:w="1134" w:type="dxa"/>
            <w:tcBorders>
              <w:top w:val="single" w:color="auto" w:sz="8" w:space="0"/>
              <w:bottom w:val="single" w:color="auto" w:sz="8" w:space="0"/>
            </w:tcBorders>
          </w:tcPr>
          <w:p w14:paraId="3DD2530A">
            <w:pPr>
              <w:pStyle w:val="88"/>
              <w:bidi w:val="0"/>
            </w:pPr>
            <w:r>
              <w:rPr>
                <w:rFonts w:hint="eastAsia"/>
              </w:rPr>
              <w:t>ASR</w:t>
            </w:r>
          </w:p>
        </w:tc>
        <w:tc>
          <w:tcPr>
            <w:tcW w:w="1134" w:type="dxa"/>
            <w:tcBorders>
              <w:top w:val="single" w:color="auto" w:sz="8" w:space="0"/>
              <w:bottom w:val="single" w:color="auto" w:sz="8" w:space="0"/>
            </w:tcBorders>
          </w:tcPr>
          <w:p w14:paraId="48C8881D">
            <w:pPr>
              <w:pStyle w:val="88"/>
              <w:bidi w:val="0"/>
            </w:pPr>
            <w:r>
              <w:rPr>
                <w:rFonts w:hint="eastAsia"/>
              </w:rPr>
              <w:t>RSR</w:t>
            </w:r>
          </w:p>
        </w:tc>
        <w:tc>
          <w:tcPr>
            <w:tcW w:w="1134" w:type="dxa"/>
            <w:tcBorders>
              <w:top w:val="single" w:color="auto" w:sz="8" w:space="0"/>
              <w:bottom w:val="single" w:color="auto" w:sz="8" w:space="0"/>
            </w:tcBorders>
          </w:tcPr>
          <w:p w14:paraId="501AA670">
            <w:pPr>
              <w:pStyle w:val="88"/>
              <w:bidi w:val="0"/>
            </w:pPr>
            <w:r>
              <w:rPr>
                <w:rFonts w:hint="eastAsia"/>
              </w:rPr>
              <w:t>ASR</w:t>
            </w:r>
          </w:p>
        </w:tc>
        <w:tc>
          <w:tcPr>
            <w:tcW w:w="1134" w:type="dxa"/>
            <w:tcBorders>
              <w:top w:val="single" w:color="auto" w:sz="8" w:space="0"/>
              <w:bottom w:val="single" w:color="auto" w:sz="8" w:space="0"/>
            </w:tcBorders>
          </w:tcPr>
          <w:p w14:paraId="296FF1BA">
            <w:pPr>
              <w:pStyle w:val="88"/>
              <w:bidi w:val="0"/>
            </w:pPr>
            <w:r>
              <w:rPr>
                <w:rFonts w:hint="eastAsia"/>
              </w:rPr>
              <w:t>RSR</w:t>
            </w:r>
          </w:p>
        </w:tc>
      </w:tr>
      <w:tr w14:paraId="6860B6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7F6BB01E">
            <w:pPr>
              <w:pStyle w:val="88"/>
              <w:bidi w:val="0"/>
            </w:pPr>
            <w:r>
              <w:rPr>
                <w:rFonts w:hint="eastAsia"/>
              </w:rPr>
              <w:t>Phantom</w:t>
            </w:r>
          </w:p>
        </w:tc>
        <w:tc>
          <w:tcPr>
            <w:tcW w:w="1134" w:type="dxa"/>
            <w:tcBorders>
              <w:top w:val="single" w:color="auto" w:sz="8" w:space="0"/>
            </w:tcBorders>
          </w:tcPr>
          <w:p w14:paraId="6150697B">
            <w:pPr>
              <w:pStyle w:val="88"/>
              <w:bidi w:val="0"/>
            </w:pPr>
            <w:r>
              <w:rPr>
                <w:rFonts w:hint="eastAsia"/>
              </w:rPr>
              <w:t>85.5</w:t>
            </w:r>
          </w:p>
        </w:tc>
        <w:tc>
          <w:tcPr>
            <w:tcW w:w="1134" w:type="dxa"/>
            <w:tcBorders>
              <w:top w:val="single" w:color="auto" w:sz="8" w:space="0"/>
            </w:tcBorders>
          </w:tcPr>
          <w:p w14:paraId="64EB73D1">
            <w:pPr>
              <w:pStyle w:val="88"/>
              <w:bidi w:val="0"/>
            </w:pPr>
            <w:r>
              <w:rPr>
                <w:rFonts w:hint="eastAsia"/>
              </w:rPr>
              <w:t>88.6</w:t>
            </w:r>
          </w:p>
        </w:tc>
        <w:tc>
          <w:tcPr>
            <w:tcW w:w="1134" w:type="dxa"/>
            <w:tcBorders>
              <w:top w:val="single" w:color="auto" w:sz="8" w:space="0"/>
            </w:tcBorders>
          </w:tcPr>
          <w:p w14:paraId="37C6F47D">
            <w:pPr>
              <w:pStyle w:val="88"/>
              <w:bidi w:val="0"/>
            </w:pPr>
            <w:r>
              <w:rPr>
                <w:rFonts w:hint="eastAsia"/>
              </w:rPr>
              <w:t>64.4</w:t>
            </w:r>
          </w:p>
        </w:tc>
        <w:tc>
          <w:tcPr>
            <w:tcW w:w="1134" w:type="dxa"/>
            <w:tcBorders>
              <w:top w:val="single" w:color="auto" w:sz="8" w:space="0"/>
            </w:tcBorders>
          </w:tcPr>
          <w:p w14:paraId="669E37E6">
            <w:pPr>
              <w:pStyle w:val="88"/>
              <w:bidi w:val="0"/>
            </w:pPr>
            <w:r>
              <w:rPr>
                <w:rFonts w:hint="eastAsia"/>
              </w:rPr>
              <w:t>67.1</w:t>
            </w:r>
          </w:p>
        </w:tc>
        <w:tc>
          <w:tcPr>
            <w:tcW w:w="1134" w:type="dxa"/>
            <w:tcBorders>
              <w:top w:val="single" w:color="auto" w:sz="8" w:space="0"/>
            </w:tcBorders>
          </w:tcPr>
          <w:p w14:paraId="5ED36040">
            <w:pPr>
              <w:pStyle w:val="88"/>
              <w:bidi w:val="0"/>
            </w:pPr>
            <w:r>
              <w:rPr>
                <w:rFonts w:hint="eastAsia"/>
              </w:rPr>
              <w:t>65.5</w:t>
            </w:r>
          </w:p>
        </w:tc>
        <w:tc>
          <w:tcPr>
            <w:tcW w:w="1134" w:type="dxa"/>
            <w:tcBorders>
              <w:top w:val="single" w:color="auto" w:sz="8" w:space="0"/>
            </w:tcBorders>
          </w:tcPr>
          <w:p w14:paraId="6E204E17">
            <w:pPr>
              <w:pStyle w:val="88"/>
              <w:bidi w:val="0"/>
            </w:pPr>
            <w:r>
              <w:rPr>
                <w:rFonts w:hint="eastAsia"/>
              </w:rPr>
              <w:t>68.6</w:t>
            </w:r>
          </w:p>
        </w:tc>
      </w:tr>
      <w:tr w14:paraId="0C15BB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613AA774">
            <w:pPr>
              <w:pStyle w:val="88"/>
              <w:bidi w:val="0"/>
            </w:pPr>
            <w:r>
              <w:rPr>
                <w:rFonts w:hint="eastAsia"/>
              </w:rPr>
              <w:t>PoisonedRAG(W/B)</w:t>
            </w:r>
          </w:p>
        </w:tc>
        <w:tc>
          <w:tcPr>
            <w:tcW w:w="1134" w:type="dxa"/>
          </w:tcPr>
          <w:p w14:paraId="223700AF">
            <w:pPr>
              <w:pStyle w:val="88"/>
              <w:bidi w:val="0"/>
            </w:pPr>
            <w:r>
              <w:rPr>
                <w:rFonts w:hint="eastAsia"/>
              </w:rPr>
              <w:t>88.7/82.4</w:t>
            </w:r>
          </w:p>
        </w:tc>
        <w:tc>
          <w:tcPr>
            <w:tcW w:w="1134" w:type="dxa"/>
          </w:tcPr>
          <w:p w14:paraId="3321F07F">
            <w:pPr>
              <w:pStyle w:val="88"/>
              <w:bidi w:val="0"/>
            </w:pPr>
            <w:r>
              <w:rPr>
                <w:rFonts w:hint="eastAsia"/>
              </w:rPr>
              <w:t>90.4</w:t>
            </w:r>
          </w:p>
        </w:tc>
        <w:tc>
          <w:tcPr>
            <w:tcW w:w="1134" w:type="dxa"/>
          </w:tcPr>
          <w:p w14:paraId="38141772">
            <w:pPr>
              <w:pStyle w:val="88"/>
              <w:bidi w:val="0"/>
            </w:pPr>
            <w:r>
              <w:rPr>
                <w:rFonts w:hint="eastAsia"/>
              </w:rPr>
              <w:t>69.7/62.4</w:t>
            </w:r>
          </w:p>
        </w:tc>
        <w:tc>
          <w:tcPr>
            <w:tcW w:w="1134" w:type="dxa"/>
          </w:tcPr>
          <w:p w14:paraId="75D44C0C">
            <w:pPr>
              <w:pStyle w:val="88"/>
              <w:bidi w:val="0"/>
            </w:pPr>
            <w:r>
              <w:rPr>
                <w:rFonts w:hint="eastAsia"/>
              </w:rPr>
              <w:t>70.2</w:t>
            </w:r>
          </w:p>
        </w:tc>
        <w:tc>
          <w:tcPr>
            <w:tcW w:w="1134" w:type="dxa"/>
          </w:tcPr>
          <w:p w14:paraId="6C766E2E">
            <w:pPr>
              <w:pStyle w:val="88"/>
              <w:bidi w:val="0"/>
            </w:pPr>
            <w:r>
              <w:rPr>
                <w:rFonts w:hint="eastAsia"/>
              </w:rPr>
              <w:t>62.4/53.5</w:t>
            </w:r>
          </w:p>
        </w:tc>
        <w:tc>
          <w:tcPr>
            <w:tcW w:w="1134" w:type="dxa"/>
          </w:tcPr>
          <w:p w14:paraId="166DC470">
            <w:pPr>
              <w:pStyle w:val="88"/>
              <w:bidi w:val="0"/>
            </w:pPr>
            <w:r>
              <w:rPr>
                <w:rFonts w:hint="eastAsia"/>
              </w:rPr>
              <w:t>65.4</w:t>
            </w:r>
          </w:p>
        </w:tc>
      </w:tr>
      <w:tr w14:paraId="20147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38C8F946">
            <w:pPr>
              <w:pStyle w:val="88"/>
              <w:bidi w:val="0"/>
            </w:pPr>
            <w:r>
              <w:rPr>
                <w:rFonts w:hint="eastAsia"/>
              </w:rPr>
              <w:t>CorpusPoisoning</w:t>
            </w:r>
          </w:p>
        </w:tc>
        <w:tc>
          <w:tcPr>
            <w:tcW w:w="1134" w:type="dxa"/>
            <w:vAlign w:val="center"/>
          </w:tcPr>
          <w:p w14:paraId="110FBF3C">
            <w:pPr>
              <w:pStyle w:val="88"/>
              <w:bidi w:val="0"/>
            </w:pPr>
            <w:r>
              <w:rPr>
                <w:rFonts w:hint="eastAsia"/>
              </w:rPr>
              <w:t>88.4</w:t>
            </w:r>
          </w:p>
        </w:tc>
        <w:tc>
          <w:tcPr>
            <w:tcW w:w="1134" w:type="dxa"/>
            <w:vAlign w:val="center"/>
          </w:tcPr>
          <w:p w14:paraId="24281B3E">
            <w:pPr>
              <w:pStyle w:val="88"/>
              <w:bidi w:val="0"/>
            </w:pPr>
            <w:r>
              <w:rPr>
                <w:rFonts w:hint="eastAsia"/>
              </w:rPr>
              <w:t>92.0</w:t>
            </w:r>
          </w:p>
        </w:tc>
        <w:tc>
          <w:tcPr>
            <w:tcW w:w="1134" w:type="dxa"/>
            <w:vAlign w:val="center"/>
          </w:tcPr>
          <w:p w14:paraId="31A9E713">
            <w:pPr>
              <w:pStyle w:val="88"/>
              <w:bidi w:val="0"/>
            </w:pPr>
            <w:r>
              <w:rPr>
                <w:rFonts w:hint="eastAsia"/>
              </w:rPr>
              <w:t>76.5</w:t>
            </w:r>
          </w:p>
        </w:tc>
        <w:tc>
          <w:tcPr>
            <w:tcW w:w="1134" w:type="dxa"/>
            <w:vAlign w:val="center"/>
          </w:tcPr>
          <w:p w14:paraId="5E129DAA">
            <w:pPr>
              <w:pStyle w:val="88"/>
              <w:bidi w:val="0"/>
            </w:pPr>
            <w:r>
              <w:rPr>
                <w:rFonts w:hint="eastAsia"/>
              </w:rPr>
              <w:t>78.3</w:t>
            </w:r>
          </w:p>
        </w:tc>
        <w:tc>
          <w:tcPr>
            <w:tcW w:w="1134" w:type="dxa"/>
            <w:vAlign w:val="center"/>
          </w:tcPr>
          <w:p w14:paraId="0B3773D4">
            <w:pPr>
              <w:pStyle w:val="88"/>
              <w:bidi w:val="0"/>
            </w:pPr>
            <w:r>
              <w:rPr>
                <w:rFonts w:hint="eastAsia"/>
              </w:rPr>
              <w:t>78.4</w:t>
            </w:r>
          </w:p>
        </w:tc>
        <w:tc>
          <w:tcPr>
            <w:tcW w:w="1134" w:type="dxa"/>
            <w:vAlign w:val="center"/>
          </w:tcPr>
          <w:p w14:paraId="69634329">
            <w:pPr>
              <w:pStyle w:val="88"/>
              <w:bidi w:val="0"/>
            </w:pPr>
            <w:r>
              <w:rPr>
                <w:rFonts w:hint="eastAsia"/>
              </w:rPr>
              <w:t>82.0</w:t>
            </w:r>
          </w:p>
        </w:tc>
      </w:tr>
      <w:tr w14:paraId="554348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4B1DB172">
            <w:pPr>
              <w:pStyle w:val="88"/>
              <w:bidi w:val="0"/>
            </w:pPr>
            <w:r>
              <w:rPr>
                <w:rFonts w:hint="eastAsia"/>
              </w:rPr>
              <w:t>RAG Paradox</w:t>
            </w:r>
          </w:p>
        </w:tc>
        <w:tc>
          <w:tcPr>
            <w:tcW w:w="1134" w:type="dxa"/>
            <w:vAlign w:val="center"/>
          </w:tcPr>
          <w:p w14:paraId="4D2D42FF">
            <w:pPr>
              <w:pStyle w:val="88"/>
              <w:bidi w:val="0"/>
            </w:pPr>
            <w:r>
              <w:rPr>
                <w:rFonts w:hint="eastAsia"/>
              </w:rPr>
              <w:t>77.5</w:t>
            </w:r>
          </w:p>
        </w:tc>
        <w:tc>
          <w:tcPr>
            <w:tcW w:w="1134" w:type="dxa"/>
          </w:tcPr>
          <w:p w14:paraId="5C700FA5">
            <w:pPr>
              <w:pStyle w:val="88"/>
              <w:bidi w:val="0"/>
            </w:pPr>
            <w:r>
              <w:rPr>
                <w:rFonts w:hint="eastAsia"/>
              </w:rPr>
              <w:t>82.5</w:t>
            </w:r>
          </w:p>
        </w:tc>
        <w:tc>
          <w:tcPr>
            <w:tcW w:w="1134" w:type="dxa"/>
            <w:vAlign w:val="center"/>
          </w:tcPr>
          <w:p w14:paraId="52151311">
            <w:pPr>
              <w:pStyle w:val="88"/>
              <w:bidi w:val="0"/>
            </w:pPr>
            <w:r>
              <w:rPr>
                <w:rFonts w:hint="eastAsia"/>
              </w:rPr>
              <w:t>56.6</w:t>
            </w:r>
          </w:p>
        </w:tc>
        <w:tc>
          <w:tcPr>
            <w:tcW w:w="1134" w:type="dxa"/>
            <w:vAlign w:val="center"/>
          </w:tcPr>
          <w:p w14:paraId="0D89631F">
            <w:pPr>
              <w:pStyle w:val="88"/>
              <w:bidi w:val="0"/>
            </w:pPr>
            <w:r>
              <w:rPr>
                <w:rFonts w:hint="eastAsia"/>
              </w:rPr>
              <w:t>58.4</w:t>
            </w:r>
          </w:p>
        </w:tc>
        <w:tc>
          <w:tcPr>
            <w:tcW w:w="1134" w:type="dxa"/>
            <w:vAlign w:val="center"/>
          </w:tcPr>
          <w:p w14:paraId="6AAC5DF9">
            <w:pPr>
              <w:pStyle w:val="88"/>
              <w:bidi w:val="0"/>
            </w:pPr>
            <w:r>
              <w:rPr>
                <w:rFonts w:hint="eastAsia"/>
              </w:rPr>
              <w:t>60.5</w:t>
            </w:r>
          </w:p>
        </w:tc>
        <w:tc>
          <w:tcPr>
            <w:tcW w:w="1134" w:type="dxa"/>
          </w:tcPr>
          <w:p w14:paraId="719DFEC2">
            <w:pPr>
              <w:pStyle w:val="88"/>
              <w:bidi w:val="0"/>
            </w:pPr>
            <w:r>
              <w:rPr>
                <w:rFonts w:hint="eastAsia"/>
              </w:rPr>
              <w:t>61.5</w:t>
            </w:r>
          </w:p>
        </w:tc>
      </w:tr>
      <w:tr w14:paraId="41D51E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1140F8E5">
            <w:pPr>
              <w:pStyle w:val="88"/>
              <w:bidi w:val="0"/>
            </w:pPr>
            <w:r>
              <w:rPr>
                <w:rFonts w:hint="eastAsia"/>
              </w:rPr>
              <w:t>DIGA</w:t>
            </w:r>
          </w:p>
        </w:tc>
        <w:tc>
          <w:tcPr>
            <w:tcW w:w="1134" w:type="dxa"/>
            <w:vAlign w:val="center"/>
          </w:tcPr>
          <w:p w14:paraId="04992AFB">
            <w:pPr>
              <w:pStyle w:val="88"/>
              <w:bidi w:val="0"/>
            </w:pPr>
            <w:r>
              <w:rPr>
                <w:rFonts w:hint="eastAsia"/>
              </w:rPr>
              <w:t>84.4</w:t>
            </w:r>
          </w:p>
        </w:tc>
        <w:tc>
          <w:tcPr>
            <w:tcW w:w="1134" w:type="dxa"/>
          </w:tcPr>
          <w:p w14:paraId="0312A519">
            <w:pPr>
              <w:pStyle w:val="88"/>
              <w:bidi w:val="0"/>
            </w:pPr>
            <w:r>
              <w:rPr>
                <w:rFonts w:hint="eastAsia"/>
              </w:rPr>
              <w:t>86.8</w:t>
            </w:r>
          </w:p>
        </w:tc>
        <w:tc>
          <w:tcPr>
            <w:tcW w:w="1134" w:type="dxa"/>
            <w:vAlign w:val="center"/>
          </w:tcPr>
          <w:p w14:paraId="7D544F40">
            <w:pPr>
              <w:pStyle w:val="88"/>
              <w:bidi w:val="0"/>
            </w:pPr>
            <w:r>
              <w:rPr>
                <w:rFonts w:hint="eastAsia"/>
              </w:rPr>
              <w:t>76.3</w:t>
            </w:r>
          </w:p>
        </w:tc>
        <w:tc>
          <w:tcPr>
            <w:tcW w:w="1134" w:type="dxa"/>
            <w:vAlign w:val="center"/>
          </w:tcPr>
          <w:p w14:paraId="267139AC">
            <w:pPr>
              <w:pStyle w:val="88"/>
              <w:bidi w:val="0"/>
            </w:pPr>
            <w:r>
              <w:rPr>
                <w:rFonts w:hint="eastAsia"/>
              </w:rPr>
              <w:t>79.1</w:t>
            </w:r>
          </w:p>
        </w:tc>
        <w:tc>
          <w:tcPr>
            <w:tcW w:w="1134" w:type="dxa"/>
            <w:vAlign w:val="center"/>
          </w:tcPr>
          <w:p w14:paraId="60BE49C8">
            <w:pPr>
              <w:pStyle w:val="88"/>
              <w:bidi w:val="0"/>
            </w:pPr>
            <w:r>
              <w:rPr>
                <w:rFonts w:hint="eastAsia"/>
              </w:rPr>
              <w:t>74.4</w:t>
            </w:r>
          </w:p>
        </w:tc>
        <w:tc>
          <w:tcPr>
            <w:tcW w:w="1134" w:type="dxa"/>
          </w:tcPr>
          <w:p w14:paraId="7F2176BD">
            <w:pPr>
              <w:pStyle w:val="88"/>
              <w:bidi w:val="0"/>
            </w:pPr>
            <w:r>
              <w:rPr>
                <w:rFonts w:hint="eastAsia"/>
              </w:rPr>
              <w:t>76.8</w:t>
            </w:r>
          </w:p>
        </w:tc>
      </w:tr>
      <w:tr w14:paraId="6A2634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280E7F12">
            <w:pPr>
              <w:pStyle w:val="88"/>
              <w:bidi w:val="0"/>
            </w:pPr>
            <w:r>
              <w:rPr>
                <w:rFonts w:hint="eastAsia"/>
              </w:rPr>
              <w:t>本文算法</w:t>
            </w:r>
          </w:p>
        </w:tc>
        <w:tc>
          <w:tcPr>
            <w:tcW w:w="1134" w:type="dxa"/>
            <w:vAlign w:val="center"/>
          </w:tcPr>
          <w:p w14:paraId="4F2DAD81">
            <w:pPr>
              <w:pStyle w:val="88"/>
              <w:bidi w:val="0"/>
            </w:pPr>
            <w:r>
              <w:rPr>
                <w:rFonts w:hint="eastAsia"/>
              </w:rPr>
              <w:t>91.1</w:t>
            </w:r>
          </w:p>
        </w:tc>
        <w:tc>
          <w:tcPr>
            <w:tcW w:w="1134" w:type="dxa"/>
          </w:tcPr>
          <w:p w14:paraId="26661125">
            <w:pPr>
              <w:pStyle w:val="88"/>
              <w:bidi w:val="0"/>
            </w:pPr>
            <w:r>
              <w:rPr>
                <w:rFonts w:hint="eastAsia"/>
              </w:rPr>
              <w:t>92.8</w:t>
            </w:r>
          </w:p>
        </w:tc>
        <w:tc>
          <w:tcPr>
            <w:tcW w:w="1134" w:type="dxa"/>
            <w:vAlign w:val="center"/>
          </w:tcPr>
          <w:p w14:paraId="34AC85C5">
            <w:pPr>
              <w:pStyle w:val="88"/>
              <w:bidi w:val="0"/>
            </w:pPr>
            <w:r>
              <w:rPr>
                <w:rFonts w:hint="eastAsia"/>
              </w:rPr>
              <w:t>78.6</w:t>
            </w:r>
          </w:p>
        </w:tc>
        <w:tc>
          <w:tcPr>
            <w:tcW w:w="1134" w:type="dxa"/>
            <w:vAlign w:val="center"/>
          </w:tcPr>
          <w:p w14:paraId="59949B6D">
            <w:pPr>
              <w:pStyle w:val="88"/>
              <w:bidi w:val="0"/>
            </w:pPr>
            <w:r>
              <w:rPr>
                <w:rFonts w:hint="eastAsia"/>
              </w:rPr>
              <w:t>81.0</w:t>
            </w:r>
          </w:p>
        </w:tc>
        <w:tc>
          <w:tcPr>
            <w:tcW w:w="1134" w:type="dxa"/>
            <w:vAlign w:val="center"/>
          </w:tcPr>
          <w:p w14:paraId="351B7BAA">
            <w:pPr>
              <w:pStyle w:val="88"/>
              <w:bidi w:val="0"/>
            </w:pPr>
            <w:r>
              <w:rPr>
                <w:rFonts w:hint="eastAsia"/>
              </w:rPr>
              <w:t>86.1</w:t>
            </w:r>
          </w:p>
        </w:tc>
        <w:tc>
          <w:tcPr>
            <w:tcW w:w="1134" w:type="dxa"/>
          </w:tcPr>
          <w:p w14:paraId="7A640524">
            <w:pPr>
              <w:pStyle w:val="88"/>
              <w:bidi w:val="0"/>
            </w:pPr>
            <w:r>
              <w:rPr>
                <w:rFonts w:hint="eastAsia"/>
              </w:rPr>
              <w:t>89.8</w:t>
            </w:r>
          </w:p>
        </w:tc>
      </w:tr>
    </w:tbl>
    <w:p w14:paraId="1C66777C">
      <w:pPr>
        <w:pStyle w:val="3"/>
        <w:spacing w:before="163" w:after="163"/>
      </w:pPr>
      <w:bookmarkStart w:id="105" w:name="_Toc6481"/>
      <w:r>
        <w:rPr>
          <w:rFonts w:hint="eastAsia"/>
        </w:rPr>
        <w:t>4</w:t>
      </w:r>
      <w:r>
        <w:t>.</w:t>
      </w:r>
      <w:r>
        <w:rPr>
          <w:rFonts w:hint="eastAsia"/>
        </w:rPr>
        <w:t>4</w:t>
      </w:r>
      <w:r>
        <w:t xml:space="preserve">  本章小结</w:t>
      </w:r>
      <w:bookmarkEnd w:id="105"/>
    </w:p>
    <w:p w14:paraId="2202972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基于RAG系统知识库语料的“可信”漏洞，对攻击方法进行了创新探索与实验分析，取得了显著成果。首先提出基于双目标遗传算法的BOGA-RAGP方法，通过问题建模和算法设计，实现了检索成功率与语义隐蔽性的Pareto优化，生成自然且有效的对抗文档。然后设计了四项实验依次验证了攻击有效性、模块必要性迁移能力以及抵抗防御的水平。</w:t>
      </w:r>
    </w:p>
    <w:p w14:paraId="1887EB54">
      <w:pPr>
        <w:ind w:firstLine="480"/>
      </w:pPr>
    </w:p>
    <w:bookmarkEnd w:id="13"/>
    <w:bookmarkEnd w:id="14"/>
    <w:bookmarkEnd w:id="15"/>
    <w:bookmarkEnd w:id="16"/>
    <w:bookmarkEnd w:id="17"/>
    <w:bookmarkEnd w:id="18"/>
    <w:bookmarkEnd w:id="28"/>
    <w:p w14:paraId="16E06023">
      <w:pPr>
        <w:pStyle w:val="2"/>
        <w:spacing w:after="652"/>
        <w:rPr>
          <w:rFonts w:hint="eastAsia"/>
        </w:rPr>
        <w:sectPr>
          <w:headerReference r:id="rId27" w:type="default"/>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bookmarkStart w:id="106" w:name="_Toc32507"/>
      <w:bookmarkStart w:id="107" w:name="_Toc16081"/>
    </w:p>
    <w:p w14:paraId="29A68551">
      <w:pPr>
        <w:pStyle w:val="2"/>
        <w:spacing w:after="652"/>
        <w:rPr>
          <w:rFonts w:hint="eastAsia" w:eastAsia="黑体"/>
          <w:lang w:val="en-US" w:eastAsia="zh-CN"/>
        </w:rPr>
      </w:pPr>
      <w:bookmarkStart w:id="108" w:name="_Toc24650"/>
      <w:r>
        <w:rPr>
          <w:rFonts w:hint="eastAsia"/>
        </w:rPr>
        <w:t>第五章  面向电力场景RAG系统知识库毒化防御</w:t>
      </w:r>
      <w:r>
        <w:rPr>
          <w:rFonts w:hint="eastAsia"/>
          <w:lang w:val="en-US" w:eastAsia="zh-CN"/>
        </w:rPr>
        <w:t>研究</w:t>
      </w:r>
      <w:bookmarkEnd w:id="108"/>
    </w:p>
    <w:p w14:paraId="3608594A">
      <w:pPr>
        <w:ind w:firstLine="480"/>
      </w:pPr>
      <w:r>
        <w:rPr>
          <w:rFonts w:hint="eastAsia"/>
        </w:rPr>
        <w:t>本文第四章围绕电力调度场景下的RAG链路，揭示了大模型可能在“看似有据可依”的证据包装下输出错误调度决策的关键风险，而在复杂电网环境中，这类异常决策具备连锁放大效应，可能进一步传导为运行不稳定甚至事故隐患。更重要的是，第四章的鲁棒性实验表明：在不改变目标RAG主流程的前提下，仅引入困惑度检测与文档改写等“简单防御”仍不足以消解该类攻击带来的威胁性，亟需一套可在线部署、可闭环验证的工程化防御措施。</w:t>
      </w:r>
    </w:p>
    <w:p w14:paraId="79563CBA">
      <w:pPr>
        <w:ind w:firstLine="480"/>
      </w:pPr>
      <w:r>
        <w:t>现有</w:t>
      </w:r>
      <w:r>
        <w:rPr>
          <w:rFonts w:hint="eastAsia"/>
        </w:rPr>
        <w:t>RAG投毒防御相关</w:t>
      </w:r>
      <w:r>
        <w:t>研究大体可归纳为“事前检测”与“事后缓解”两类路径</w:t>
      </w:r>
      <w:r>
        <w:rPr>
          <w:rFonts w:hint="eastAsia"/>
        </w:rPr>
        <w:t>：前者强调在不显著改变RAG主流程的前提下识别投毒行为或污染证据，后者侧重在生成前后阻断污染信息影响并提升系统鲁棒性。本章聚焦“事前检测”，将防护能力前移至检索侧，在扩展检索以稀释投毒命中比例基础上，通过嵌入空间异常检测捕捉异常聚集模式以及多粒度困惑度检测识别局部语言异常，从而在进入生成模型前过滤可疑证据。</w:t>
      </w:r>
    </w:p>
    <w:p w14:paraId="7C64AB65">
      <w:pPr>
        <w:ind w:firstLine="480"/>
      </w:pPr>
      <w:r>
        <w:rPr>
          <w:rFonts w:hint="eastAsia"/>
        </w:rPr>
        <w:t>此外，本章将所提算法定位为“检索护栏”，并与现有开源输入、输出护栏联动形成面向RAG全链路的组合式防御框架。本章检索护栏直接作用于“支撑语料传递给大模型”前，而经典的输入、输出护栏则对查询提示词或生成结果做一前一后的内容合规检测，形成全面的、多元的防护方案。最后通过多项实验证明该防御框架在功能与性能需求上的有效性与工程可用性。</w:t>
      </w:r>
    </w:p>
    <w:p w14:paraId="3D103D66">
      <w:pPr>
        <w:pStyle w:val="3"/>
        <w:spacing w:before="163" w:after="163"/>
      </w:pPr>
      <w:bookmarkStart w:id="109" w:name="_Toc2823"/>
      <w:r>
        <w:rPr>
          <w:rFonts w:hint="eastAsia"/>
        </w:rPr>
        <w:t>5</w:t>
      </w:r>
      <w:r>
        <w:t>.1</w:t>
      </w:r>
      <w:r>
        <w:rPr>
          <w:rFonts w:hint="eastAsia"/>
        </w:rPr>
        <w:t xml:space="preserve">  问题描述</w:t>
      </w:r>
      <w:bookmarkEnd w:id="109"/>
    </w:p>
    <w:p w14:paraId="331047B3">
      <w:pPr>
        <w:pStyle w:val="4"/>
      </w:pPr>
      <w:bookmarkStart w:id="110" w:name="_Toc28614"/>
      <w:r>
        <w:rPr>
          <w:rFonts w:hint="eastAsia"/>
        </w:rPr>
        <w:t>5.1.1</w:t>
      </w:r>
      <w:r>
        <w:rPr>
          <w:rFonts w:hint="eastAsia"/>
          <w:lang w:val="en-US" w:eastAsia="zh-CN"/>
        </w:rPr>
        <w:t xml:space="preserve">  </w:t>
      </w:r>
      <w:r>
        <w:rPr>
          <w:rFonts w:hint="eastAsia"/>
        </w:rPr>
        <w:t>问题分析</w:t>
      </w:r>
      <w:bookmarkEnd w:id="110"/>
    </w:p>
    <w:p w14:paraId="129B691C">
      <w:pPr>
        <w:ind w:firstLine="480"/>
      </w:pPr>
      <w:r>
        <w:rPr>
          <w:rFonts w:hint="eastAsia"/>
        </w:rPr>
        <w:t>第四章的研究揭示了当然RAG知识库毒化攻击具有较强威胁性，而传统的仅依赖困惑度阈值的过滤容易被低困惑度优化绕过、仅依赖相似度或规则匹配又难以区分“语义相关但事实错误”的证据片段，最终导致“漏检”与“误杀”并存，难以满足电力调度场景对高可靠、低时延的工程要求。</w:t>
      </w:r>
    </w:p>
    <w:p w14:paraId="6F1C0ACC">
      <w:pPr>
        <w:ind w:firstLine="480"/>
      </w:pPr>
      <w:r>
        <w:rPr>
          <w:rFonts w:hint="eastAsia"/>
        </w:rPr>
        <w:t>进一步分析此类攻击可以发现，攻击者不论采取何等攻击手段，其核心思路始终立足于在有限篇幅内尽可能逼近用户查询以提升可检索性，同时强化对抗段落语句通顺性、表达连贯性。而这样的做法往往会使得投毒文档形成的候选段落之间相似度过高，且忽略内容在领域知识、业务逻辑上的正确性，进而表现出局部语言风格不一致的现象。</w:t>
      </w:r>
      <w:r>
        <w:rPr>
          <w:rFonts w:hint="eastAsia"/>
          <w:lang w:val="en-US" w:eastAsia="zh-CN"/>
        </w:rPr>
        <w:t>此外</w:t>
      </w:r>
      <w:r>
        <w:rPr>
          <w:rFonts w:hint="eastAsia"/>
        </w:rPr>
        <w:t>，同样拥有“主动防御”理念且已经较为成熟的网络防火墙核心思想是实时检测和动态防御，即通过预定义模式对网络流量进行访问控制，进而隔离和监控外部攻击与异常活动。受此启发，本章类比将检索阶段视为需要重点把关的“证据入口”，通过学习良性文档嵌入空间及困惑度的统计模式与特征，对进入上下文的检索片段进行动态判别与拦截。针对检索相似度优化，采取检索扩展首先稀释投毒命中比例；针对语义中心聚集现象，引入嵌入空间异常检测识别异常聚集模式；针对低困惑度隐蔽性优化，引入滑动窗口对句子级困惑度进行检测以捕捉局部波动与风格断裂。最终于检索端提前阻断异常证据进入生成上下文，从而为后续构建面向电力调度的全链路护栏体系奠定基础。</w:t>
      </w:r>
    </w:p>
    <w:p w14:paraId="21D713B8">
      <w:pPr>
        <w:pStyle w:val="4"/>
      </w:pPr>
      <w:bookmarkStart w:id="111" w:name="_Toc9939"/>
      <w:r>
        <w:rPr>
          <w:rFonts w:hint="eastAsia"/>
        </w:rPr>
        <w:t>5.1.2</w:t>
      </w:r>
      <w:r>
        <w:rPr>
          <w:rFonts w:hint="eastAsia"/>
          <w:lang w:val="en-US" w:eastAsia="zh-CN"/>
        </w:rPr>
        <w:t xml:space="preserve">  </w:t>
      </w:r>
      <w:r>
        <w:rPr>
          <w:rFonts w:hint="eastAsia"/>
        </w:rPr>
        <w:t>问题建模</w:t>
      </w:r>
      <w:bookmarkEnd w:id="111"/>
    </w:p>
    <w:p w14:paraId="531C4AFE">
      <w:pPr>
        <w:ind w:firstLine="480"/>
      </w:pPr>
      <w:r>
        <w:t>为系统性刻画电力调度场景下RAG知识库投毒风险与防御边界，本文沿用与先前研究一致的</w:t>
      </w:r>
      <w:r>
        <w:rPr>
          <w:rFonts w:hint="eastAsia"/>
        </w:rPr>
        <w:t>、第四章所述</w:t>
      </w:r>
      <w:r>
        <w:t>威胁模型</w:t>
      </w:r>
      <w:r>
        <w:rPr>
          <w:rFonts w:hint="eastAsia"/>
        </w:rPr>
        <w:t>。攻击者通过向知识数据库持续注入一篇或多篇恶意文本，使其在检索阶段进入Top-k支撑证据，从而在生成阶段诱导模型输出错误调度建议。电力调度RAG系统采用端到端管道式架构，主要由知识数据库、检索模块与大语言模型三类核心组件构成。</w:t>
      </w:r>
    </w:p>
    <w:p w14:paraId="5CBE9037">
      <w:pPr>
        <w:ind w:firstLine="480"/>
      </w:pPr>
      <w:r>
        <w:rPr>
          <w:rFonts w:hint="eastAsia"/>
        </w:rPr>
        <w:t>对防御方而言，考虑到收集海量数据时难以进行“可信”层面的细粒度检查，因而问题的关键在于如何在不显著破坏正常检索与问答能力的前提下，在线识别并阻断异常证据进入生成上下文。形式化地，设原始知识库为</w:t>
      </w:r>
      <m:oMath>
        <m:r>
          <m:rPr/>
          <w:rPr>
            <w:rFonts w:hint="eastAsia" w:ascii="Cambria Math" w:hAnsi="Cambria Math"/>
          </w:rPr>
          <m:t>D</m:t>
        </m:r>
      </m:oMath>
      <w:r>
        <w:rPr>
          <w:rFonts w:hint="eastAsia"/>
        </w:rPr>
        <w:t>，用户查询为</w:t>
      </w:r>
      <m:oMath>
        <m:r>
          <m:rPr/>
          <w:rPr>
            <w:rFonts w:ascii="Cambria Math" w:hAnsi="Cambria Math"/>
          </w:rPr>
          <m:t>q</m:t>
        </m:r>
      </m:oMath>
      <w:r>
        <w:rPr>
          <w:rFonts w:hint="eastAsia"/>
        </w:rPr>
        <w:t>，使用检索器</w:t>
      </w:r>
      <w:r>
        <w:t>E ̂</w:t>
      </w:r>
      <w:r>
        <w:rPr>
          <w:rFonts w:hint="eastAsia"/>
        </w:rPr>
        <w:t>、大语言模型</w:t>
      </w:r>
      <w:r>
        <w:t>M</w:t>
      </w:r>
      <w:r>
        <w:rPr>
          <w:rFonts w:hint="eastAsia"/>
        </w:rPr>
        <w:t>。攻击者注入对抗文档d*后产生一个被污染的语料库</w:t>
      </w:r>
      <m:oMath>
        <m:sSup>
          <m:sSupPr>
            <m:ctrlPr>
              <w:rPr>
                <w:rFonts w:ascii="Cambria Math" w:hAnsi="Cambria Math"/>
              </w:rPr>
            </m:ctrlPr>
          </m:sSupPr>
          <m:e>
            <m:r>
              <m:rPr/>
              <w:rPr>
                <w:rFonts w:hint="eastAsia" w:ascii="Cambria Math" w:hAnsi="Cambria Math"/>
              </w:rPr>
              <m:t>D</m:t>
            </m:r>
            <m:ctrlPr>
              <w:rPr>
                <w:rFonts w:hint="eastAsia" w:ascii="Cambria Math" w:hAnsi="Cambria Math"/>
                <w:i/>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hint="eastAsia" w:ascii="Cambria Math" w:hAnsi="Cambria Math"/>
          </w:rPr>
          <m:t>D</m:t>
        </m:r>
      </m:oMath>
      <w:r>
        <w:rPr>
          <w:rFonts w:hint="eastAsia"/>
        </w:rPr>
        <w:t>∪d*。此时防御问题可进一步转化为：针对污染知识库</w:t>
      </w:r>
      <m:oMath>
        <m:sSup>
          <m:sSupPr>
            <m:ctrlPr>
              <w:rPr>
                <w:rFonts w:ascii="Cambria Math" w:hAnsi="Cambria Math"/>
              </w:rPr>
            </m:ctrlPr>
          </m:sSupPr>
          <m:e>
            <m:r>
              <m:rPr/>
              <w:rPr>
                <w:rFonts w:hint="eastAsia" w:ascii="Cambria Math" w:hAnsi="Cambria Math"/>
              </w:rPr>
              <m:t>D</m:t>
            </m:r>
            <m:ctrlPr>
              <w:rPr>
                <w:rFonts w:hint="eastAsia" w:ascii="Cambria Math" w:hAnsi="Cambria Math"/>
                <w:i/>
              </w:rPr>
            </m:ctrlPr>
          </m:e>
          <m:sup>
            <m:r>
              <m:rPr>
                <m:sty m:val="p"/>
              </m:rPr>
              <w:rPr>
                <w:rFonts w:ascii="Cambria Math" w:hAnsi="Cambria Math"/>
              </w:rPr>
              <m:t>'</m:t>
            </m:r>
            <m:ctrlPr>
              <w:rPr>
                <w:rFonts w:ascii="Cambria Math" w:hAnsi="Cambria Math"/>
              </w:rPr>
            </m:ctrlPr>
          </m:sup>
        </m:sSup>
      </m:oMath>
      <w:r>
        <w:rPr>
          <w:rFonts w:hint="eastAsia"/>
        </w:rPr>
        <w:t>上候选检索集合，对候选证据逐一进行判别、过滤与重排，得到过滤后的证据集合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参与最终答案生成。</w:t>
      </w:r>
    </w:p>
    <w:p w14:paraId="7F75C13F">
      <w:pPr>
        <w:ind w:firstLine="480"/>
      </w:pPr>
      <w:r>
        <w:rPr>
          <w:rFonts w:hint="eastAsia"/>
        </w:rPr>
        <w:t>基于上述建模，本文防御目标可概括为以下三个方面。第一，检测准确性目标：在可能存在污染的情况下尽可能准确地区分良性证据与毒化证据，使异常文本在进入生成模型前被前置识别和过滤，从而提升检索侧的整体判别准确性。第二，系统可用性目标：防御机制不应以大幅牺牲正常问答能力为代价，即在干净场景或轻度污染场景下，仍应尽可能保留与查询真正相关的高质量支撑证据，避免由于误杀正常文本而导致回答质量下降。第三，高质量部署目标：考虑到电力调度业务对响应时延、系统稳定性与接口兼容性的要求，所提防御框架应尽可能轻量化、易集成。</w:t>
      </w:r>
    </w:p>
    <w:p w14:paraId="638378F5">
      <w:pPr>
        <w:pStyle w:val="3"/>
        <w:spacing w:before="163" w:after="163"/>
      </w:pPr>
      <w:bookmarkStart w:id="112" w:name="_Toc21823"/>
      <w:r>
        <w:rPr>
          <w:rFonts w:hint="eastAsia"/>
        </w:rPr>
        <w:t>5</w:t>
      </w:r>
      <w:r>
        <w:t>.</w:t>
      </w:r>
      <w:r>
        <w:rPr>
          <w:rFonts w:hint="eastAsia"/>
        </w:rPr>
        <w:t>2  算法设计</w:t>
      </w:r>
      <w:bookmarkEnd w:id="112"/>
    </w:p>
    <w:p w14:paraId="45C43E92">
      <w:pPr>
        <w:ind w:firstLine="480"/>
      </w:pPr>
      <w:r>
        <w:rPr>
          <w:rFonts w:hint="eastAsia"/>
        </w:rPr>
        <w:t>本节对所提防御算法进行系统性描述。首先介绍该算法总体方案，然后依次对每一步骤以及相应策略详细介绍。</w:t>
      </w:r>
    </w:p>
    <w:p w14:paraId="14A152A4">
      <w:pPr>
        <w:pStyle w:val="4"/>
      </w:pPr>
      <w:bookmarkStart w:id="113" w:name="_Toc1269"/>
      <w:r>
        <w:rPr>
          <w:rFonts w:hint="eastAsia"/>
        </w:rPr>
        <w:t>5.2.1</w:t>
      </w:r>
      <w:r>
        <w:rPr>
          <w:rFonts w:hint="eastAsia"/>
          <w:lang w:val="en-US" w:eastAsia="zh-CN"/>
        </w:rPr>
        <w:t xml:space="preserve">  </w:t>
      </w:r>
      <w:r>
        <w:rPr>
          <w:rFonts w:hint="eastAsia"/>
        </w:rPr>
        <w:t>算法总览</w:t>
      </w:r>
      <w:bookmarkEnd w:id="113"/>
    </w:p>
    <w:p w14:paraId="0BEC0AC3">
      <w:pPr>
        <w:bidi w:val="0"/>
      </w:pPr>
      <w:r>
        <w:rPr>
          <w:rFonts w:hint="eastAsia"/>
        </w:rPr>
        <w:t>针对现有防御方法/框架检测维度单一、检测粒度粗糙以及部分方案计算开销过大等问题，</w:t>
      </w:r>
      <w:r>
        <w:t>本章提出一种面向检索阶段的三阶段投毒检测与过滤算法，并将其作为电力调度RAG链路中的“检索护栏”。算法总体遵循“检测→过滤→重排”的处理链条：首先在不改变RAG主流程的前提下进行检索扩展，将Top-</w:t>
      </w:r>
      <w:r>
        <w:rPr>
          <w:rFonts w:hint="eastAsia"/>
        </w:rPr>
        <w:t>K扩展为Top-</w:t>
      </w:r>
      <w:r>
        <w:t>αK</w:t>
      </w:r>
      <w:r>
        <w:rPr>
          <w:rFonts w:hint="eastAsia"/>
        </w:rPr>
        <w:t>（默认</w:t>
      </w:r>
      <w:r>
        <w:t>α=</w:t>
      </w:r>
      <w:r>
        <w:rPr>
          <w:rFonts w:hint="eastAsia"/>
        </w:rPr>
        <w:t>2，K=10</w:t>
      </w:r>
      <w:r>
        <w:t>），以增加干净证据占比、稀释投毒命中；其次在嵌入空间中对候选证据进行异常模式检测，通过文档间相似度分布与查询-文档相似度分布联合判别异常聚集簇并过滤；最后针对检索</w:t>
      </w:r>
      <w:r>
        <w:rPr>
          <w:rFonts w:hint="eastAsia"/>
        </w:rPr>
        <w:t>到语段</w:t>
      </w:r>
      <w:r>
        <w:t>短文本特性，引入句子级困惑度异常检测，通过句子困惑度方差、极值句子Z-score与相邻句子困惑度跳变等多指标捕捉局部风格断裂与异常波动，进一步剔除可疑</w:t>
      </w:r>
      <w:r>
        <w:rPr>
          <w:rFonts w:hint="eastAsia"/>
        </w:rPr>
        <w:t>检索段</w:t>
      </w:r>
      <w:r>
        <w:t>，并对剩余证据按查询相似度重排选取Top-</w:t>
      </w:r>
      <w:r>
        <w:rPr>
          <w:rFonts w:hint="eastAsia"/>
        </w:rPr>
        <w:t>K</w:t>
      </w:r>
      <w:r>
        <w:t>输入生成模型，从而在进入LLM上下文前实现对投毒证据的前置阻断与鲁棒筛查。</w:t>
      </w:r>
      <w:r>
        <w:rPr>
          <w:rFonts w:hint="eastAsia"/>
        </w:rPr>
        <w:t>整体流程可通过如下算法进行表示：</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698"/>
        <w:gridCol w:w="374"/>
      </w:tblGrid>
      <w:tr w14:paraId="4B1C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Borders>
              <w:bottom w:val="single" w:color="auto" w:sz="4" w:space="0"/>
            </w:tcBorders>
          </w:tcPr>
          <w:p w14:paraId="7965A29E">
            <w:pPr>
              <w:ind w:firstLine="0" w:firstLineChars="0"/>
              <w:jc w:val="left"/>
            </w:pPr>
            <w:r>
              <w:rPr>
                <w:rFonts w:hint="eastAsia"/>
              </w:rPr>
              <w:t>算法5-1 基于双目标遗传算法的RAG知识库毒化攻击方法</w:t>
            </w:r>
          </w:p>
        </w:tc>
      </w:tr>
      <w:tr w14:paraId="487F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single" w:color="auto" w:sz="4" w:space="0"/>
              <w:left w:val="single" w:color="auto" w:sz="4" w:space="0"/>
              <w:bottom w:val="nil"/>
              <w:right w:val="nil"/>
            </w:tcBorders>
          </w:tcPr>
          <w:p w14:paraId="209C2FEB">
            <w:pPr>
              <w:ind w:firstLine="0" w:firstLineChars="0"/>
              <w:jc w:val="center"/>
            </w:pPr>
          </w:p>
        </w:tc>
        <w:tc>
          <w:tcPr>
            <w:tcW w:w="8018" w:type="dxa"/>
            <w:tcBorders>
              <w:top w:val="single" w:color="auto" w:sz="4" w:space="0"/>
              <w:left w:val="nil"/>
              <w:bottom w:val="nil"/>
              <w:right w:val="nil"/>
            </w:tcBorders>
          </w:tcPr>
          <w:p w14:paraId="22E71201">
            <w:pPr>
              <w:ind w:firstLine="0" w:firstLineChars="0"/>
            </w:pPr>
            <w:r>
              <w:rPr>
                <w:rFonts w:hint="eastAsia"/>
              </w:rPr>
              <w:t>输入：用户查询</w:t>
            </w:r>
            <m:oMath>
              <m:r>
                <m:rPr/>
                <w:rPr>
                  <w:rFonts w:ascii="Cambria Math" w:hAnsi="Cambria Math"/>
                </w:rPr>
                <m:t>q</m:t>
              </m:r>
            </m:oMath>
            <w:r>
              <w:rPr>
                <w:rFonts w:hint="eastAsia"/>
              </w:rPr>
              <w:t>，知识库</w:t>
            </w:r>
            <m:oMath>
              <m:r>
                <m:rPr/>
                <w:rPr>
                  <w:rFonts w:hint="eastAsia" w:ascii="Cambria Math" w:hAnsi="Cambria Math"/>
                </w:rPr>
                <m:t>D</m:t>
              </m:r>
            </m:oMath>
            <w:r>
              <w:rPr>
                <w:rFonts w:hint="eastAsia"/>
              </w:rPr>
              <w:t>，代理检索器</w:t>
            </w:r>
            <m:oMath>
              <m:acc>
                <m:accPr>
                  <m:ctrlPr>
                    <w:rPr>
                      <w:rFonts w:ascii="Cambria Math" w:hAnsi="Cambria Math"/>
                    </w:rPr>
                  </m:ctrlPr>
                </m:accPr>
                <m:e>
                  <m:r>
                    <m:rPr>
                      <m:sty m:val="p"/>
                    </m:rPr>
                    <w:rPr>
                      <w:rFonts w:ascii="Cambria Math" w:hAnsi="Cambria Math"/>
                    </w:rPr>
                    <m:t>E</m:t>
                  </m:r>
                  <m:ctrlPr>
                    <w:rPr>
                      <w:rFonts w:ascii="Cambria Math" w:hAnsi="Cambria Math"/>
                    </w:rPr>
                  </m:ctrlPr>
                </m:e>
              </m:acc>
            </m:oMath>
            <w:r>
              <w:rPr>
                <w:rFonts w:hint="eastAsia"/>
              </w:rPr>
              <w:t>，代理大语言模型</w:t>
            </w:r>
            <m:oMath>
              <m:r>
                <m:rPr/>
                <w:rPr>
                  <w:rFonts w:hint="eastAsia" w:ascii="Cambria Math" w:hAnsi="Cambria Math"/>
                </w:rPr>
                <m:t>M</m:t>
              </m:r>
            </m:oMath>
          </w:p>
        </w:tc>
        <w:tc>
          <w:tcPr>
            <w:tcW w:w="382" w:type="dxa"/>
            <w:tcBorders>
              <w:top w:val="single" w:color="auto" w:sz="4" w:space="0"/>
              <w:left w:val="nil"/>
              <w:bottom w:val="nil"/>
              <w:right w:val="single" w:color="auto" w:sz="4" w:space="0"/>
            </w:tcBorders>
          </w:tcPr>
          <w:p w14:paraId="15AA7CB8">
            <w:pPr>
              <w:ind w:firstLine="480"/>
            </w:pPr>
          </w:p>
        </w:tc>
      </w:tr>
      <w:tr w14:paraId="652D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80CFF62">
            <w:pPr>
              <w:ind w:firstLine="0" w:firstLineChars="0"/>
              <w:jc w:val="center"/>
            </w:pPr>
          </w:p>
        </w:tc>
        <w:tc>
          <w:tcPr>
            <w:tcW w:w="8018" w:type="dxa"/>
            <w:tcBorders>
              <w:top w:val="nil"/>
              <w:left w:val="nil"/>
              <w:bottom w:val="nil"/>
              <w:right w:val="nil"/>
            </w:tcBorders>
          </w:tcPr>
          <w:p w14:paraId="05AE2A1F">
            <w:pPr>
              <w:ind w:firstLine="0" w:firstLineChars="0"/>
            </w:pPr>
            <w:r>
              <w:rPr>
                <w:rFonts w:hint="eastAsia"/>
              </w:rPr>
              <w:t>输出：过滤后的Top-K支撑证据集合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nil"/>
              <w:right w:val="single" w:color="auto" w:sz="4" w:space="0"/>
            </w:tcBorders>
          </w:tcPr>
          <w:p w14:paraId="0592A0BC">
            <w:pPr>
              <w:ind w:firstLine="480"/>
            </w:pPr>
          </w:p>
        </w:tc>
      </w:tr>
      <w:tr w14:paraId="7922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C31AB86">
            <w:pPr>
              <w:ind w:firstLine="0" w:firstLineChars="0"/>
              <w:jc w:val="center"/>
            </w:pPr>
            <w:r>
              <w:rPr>
                <w:rFonts w:hint="eastAsia"/>
              </w:rPr>
              <w:t>1</w:t>
            </w:r>
          </w:p>
        </w:tc>
        <w:tc>
          <w:tcPr>
            <w:tcW w:w="8018" w:type="dxa"/>
            <w:tcBorders>
              <w:top w:val="nil"/>
              <w:left w:val="nil"/>
              <w:bottom w:val="nil"/>
              <w:right w:val="nil"/>
            </w:tcBorders>
          </w:tcPr>
          <w:p w14:paraId="688DF983">
            <w:pPr>
              <w:pStyle w:val="85"/>
            </w:pPr>
            <w:r>
              <w:rPr>
                <w:rFonts w:hint="eastAsia"/>
                <w:b/>
                <w:bCs/>
              </w:rPr>
              <w:t>阶段1：检索扩展</w:t>
            </w:r>
          </w:p>
        </w:tc>
        <w:tc>
          <w:tcPr>
            <w:tcW w:w="382" w:type="dxa"/>
            <w:tcBorders>
              <w:top w:val="nil"/>
              <w:left w:val="nil"/>
              <w:bottom w:val="nil"/>
              <w:right w:val="single" w:color="auto" w:sz="4" w:space="0"/>
            </w:tcBorders>
          </w:tcPr>
          <w:p w14:paraId="29A9FB85">
            <w:pPr>
              <w:ind w:firstLine="480"/>
            </w:pPr>
          </w:p>
        </w:tc>
      </w:tr>
      <w:tr w14:paraId="5E69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B8AC10F">
            <w:pPr>
              <w:ind w:firstLine="0" w:firstLineChars="0"/>
              <w:jc w:val="center"/>
            </w:pPr>
            <w:r>
              <w:rPr>
                <w:rFonts w:hint="eastAsia"/>
              </w:rPr>
              <w:t>2</w:t>
            </w:r>
          </w:p>
        </w:tc>
        <w:tc>
          <w:tcPr>
            <w:tcW w:w="8018" w:type="dxa"/>
            <w:tcBorders>
              <w:top w:val="nil"/>
              <w:left w:val="nil"/>
              <w:bottom w:val="nil"/>
              <w:right w:val="nil"/>
            </w:tcBorders>
          </w:tcPr>
          <w:p w14:paraId="251D3BD6">
            <w:pPr>
              <w:pStyle w:val="85"/>
            </w:pPr>
            <w:r>
              <w:rPr>
                <w:rFonts w:hint="eastAsia"/>
              </w:rPr>
              <w:t>计算查询嵌入</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m:t>
                      </m:r>
                      <m:ctrlPr>
                        <w:rPr>
                          <w:rFonts w:ascii="Cambria Math" w:hAnsi="Cambria Math"/>
                        </w:rPr>
                      </m:ctrlPr>
                    </m:e>
                  </m:acc>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(q)</m:t>
              </m:r>
            </m:oMath>
          </w:p>
        </w:tc>
        <w:tc>
          <w:tcPr>
            <w:tcW w:w="382" w:type="dxa"/>
            <w:tcBorders>
              <w:top w:val="nil"/>
              <w:left w:val="nil"/>
              <w:bottom w:val="nil"/>
              <w:right w:val="single" w:color="auto" w:sz="4" w:space="0"/>
            </w:tcBorders>
          </w:tcPr>
          <w:p w14:paraId="6D8D3CFB">
            <w:pPr>
              <w:ind w:firstLine="480"/>
            </w:pPr>
          </w:p>
        </w:tc>
      </w:tr>
      <w:tr w14:paraId="4B87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D364A21">
            <w:pPr>
              <w:ind w:firstLine="0" w:firstLineChars="0"/>
              <w:jc w:val="center"/>
            </w:pPr>
            <w:r>
              <w:rPr>
                <w:rFonts w:hint="eastAsia"/>
              </w:rPr>
              <w:t>3</w:t>
            </w:r>
          </w:p>
        </w:tc>
        <w:tc>
          <w:tcPr>
            <w:tcW w:w="8018" w:type="dxa"/>
            <w:tcBorders>
              <w:top w:val="nil"/>
              <w:left w:val="nil"/>
              <w:bottom w:val="nil"/>
              <w:right w:val="nil"/>
            </w:tcBorders>
          </w:tcPr>
          <w:p w14:paraId="76C68849">
            <w:pPr>
              <w:pStyle w:val="85"/>
            </w:pPr>
            <w:r>
              <w:rPr>
                <w:rFonts w:hint="eastAsia"/>
              </w:rPr>
              <w:t>在</w:t>
            </w:r>
            <m:oMath>
              <m:r>
                <m:rPr/>
                <w:rPr>
                  <w:rFonts w:hint="eastAsia" w:ascii="Cambria Math" w:hAnsi="Cambria Math"/>
                </w:rPr>
                <m:t>D</m:t>
              </m:r>
            </m:oMath>
            <w:r>
              <w:rPr>
                <w:rFonts w:hint="eastAsia"/>
              </w:rPr>
              <w:t>中检索Top-</w:t>
            </w:r>
            <w:r>
              <w:rPr>
                <w:rFonts w:ascii="Arial" w:hAnsi="Arial" w:cs="Arial"/>
              </w:rPr>
              <w:t>α</w:t>
            </w:r>
            <w:r>
              <w:rPr>
                <w:rFonts w:hint="eastAsia"/>
              </w:rPr>
              <w:t>K个候选文档，</w:t>
            </w:r>
            <w:r>
              <w:t xml:space="preserve"> </w:t>
            </w:r>
            <w:r>
              <w:rPr>
                <w:rFonts w:hint="eastAsia"/>
              </w:rPr>
              <w:t>得到</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ret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αK</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3967507B">
            <w:pPr>
              <w:ind w:firstLine="480"/>
            </w:pPr>
          </w:p>
        </w:tc>
      </w:tr>
      <w:tr w14:paraId="189F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1422B07">
            <w:pPr>
              <w:ind w:firstLine="0" w:firstLineChars="0"/>
              <w:jc w:val="center"/>
            </w:pPr>
            <w:r>
              <w:rPr>
                <w:rFonts w:hint="eastAsia"/>
              </w:rPr>
              <w:t>4</w:t>
            </w:r>
          </w:p>
        </w:tc>
        <w:tc>
          <w:tcPr>
            <w:tcW w:w="8018" w:type="dxa"/>
            <w:tcBorders>
              <w:top w:val="nil"/>
              <w:left w:val="nil"/>
              <w:bottom w:val="nil"/>
              <w:right w:val="nil"/>
            </w:tcBorders>
          </w:tcPr>
          <w:p w14:paraId="027972CE">
            <w:pPr>
              <w:pStyle w:val="85"/>
              <w:rPr>
                <w:b/>
                <w:bCs/>
              </w:rPr>
            </w:pPr>
            <w:r>
              <w:rPr>
                <w:rFonts w:hint="eastAsia"/>
                <w:b/>
                <w:bCs/>
              </w:rPr>
              <w:t>阶段2：嵌入空间异常检测</w:t>
            </w:r>
          </w:p>
        </w:tc>
        <w:tc>
          <w:tcPr>
            <w:tcW w:w="382" w:type="dxa"/>
            <w:tcBorders>
              <w:top w:val="nil"/>
              <w:left w:val="nil"/>
              <w:bottom w:val="nil"/>
              <w:right w:val="single" w:color="auto" w:sz="4" w:space="0"/>
            </w:tcBorders>
          </w:tcPr>
          <w:p w14:paraId="0835F25A">
            <w:pPr>
              <w:ind w:firstLine="480"/>
            </w:pPr>
          </w:p>
        </w:tc>
      </w:tr>
      <w:tr w14:paraId="7FC3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899CB39">
            <w:pPr>
              <w:ind w:firstLine="0" w:firstLineChars="0"/>
              <w:jc w:val="center"/>
            </w:pPr>
            <w:r>
              <w:rPr>
                <w:rFonts w:hint="eastAsia"/>
              </w:rPr>
              <w:t>5</w:t>
            </w:r>
          </w:p>
        </w:tc>
        <w:tc>
          <w:tcPr>
            <w:tcW w:w="8018" w:type="dxa"/>
            <w:tcBorders>
              <w:top w:val="nil"/>
              <w:left w:val="nil"/>
              <w:bottom w:val="nil"/>
              <w:right w:val="nil"/>
            </w:tcBorders>
          </w:tcPr>
          <w:p w14:paraId="2F161A85">
            <w:pPr>
              <w:pStyle w:val="85"/>
            </w:pPr>
            <w:r>
              <w:rPr>
                <w:rFonts w:hint="eastAsia"/>
              </w:rPr>
              <w:t>对每个</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ret</m:t>
                  </m:r>
                  <m:ctrlPr>
                    <w:rPr>
                      <w:rFonts w:ascii="Cambria Math" w:hAnsi="Cambria Math"/>
                    </w:rPr>
                  </m:ctrlPr>
                </m:sub>
              </m:sSub>
            </m:oMath>
            <w:r>
              <w:rPr>
                <w:rFonts w:hint="eastAsia"/>
              </w:rPr>
              <w:t>，计算文档嵌入</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7E04231D">
            <w:pPr>
              <w:ind w:firstLine="480"/>
            </w:pPr>
          </w:p>
        </w:tc>
      </w:tr>
      <w:tr w14:paraId="0D8E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1C598D04">
            <w:pPr>
              <w:ind w:firstLine="0" w:firstLineChars="0"/>
              <w:jc w:val="center"/>
            </w:pPr>
            <w:r>
              <w:rPr>
                <w:rFonts w:hint="eastAsia"/>
              </w:rPr>
              <w:t>6</w:t>
            </w:r>
          </w:p>
        </w:tc>
        <w:tc>
          <w:tcPr>
            <w:tcW w:w="8018" w:type="dxa"/>
            <w:tcBorders>
              <w:top w:val="nil"/>
              <w:left w:val="nil"/>
              <w:bottom w:val="nil"/>
              <w:right w:val="nil"/>
            </w:tcBorders>
          </w:tcPr>
          <w:p w14:paraId="328397EA">
            <w:pPr>
              <w:pStyle w:val="85"/>
            </w:pPr>
            <w:r>
              <w:rPr>
                <w:rFonts w:hint="eastAsia"/>
              </w:rPr>
              <w:t>构造相似度矩阵</w:t>
            </w:r>
            <m:oMath>
              <m:r>
                <m:rPr/>
                <w:rPr>
                  <w:rFonts w:ascii="Cambria Math" w:hAnsi="Cambria Math"/>
                </w:rPr>
                <m:t>S∈</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αK×αK</m:t>
                  </m:r>
                  <m:ctrlPr>
                    <w:rPr>
                      <w:rFonts w:ascii="Cambria Math" w:hAnsi="Cambria Math"/>
                    </w:rPr>
                  </m:ctrlPr>
                </m:sup>
              </m:sSup>
            </m:oMath>
            <w:r>
              <w:rPr>
                <w:rFonts w:hint="eastAsia"/>
              </w:rPr>
              <w:t>，其中</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7D67AE17">
            <w:pPr>
              <w:ind w:firstLine="480"/>
            </w:pPr>
          </w:p>
        </w:tc>
      </w:tr>
      <w:tr w14:paraId="1AE2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615F9FD">
            <w:pPr>
              <w:ind w:firstLine="0" w:firstLineChars="0"/>
              <w:jc w:val="center"/>
            </w:pPr>
            <w:r>
              <w:rPr>
                <w:rFonts w:hint="eastAsia"/>
              </w:rPr>
              <w:t>7</w:t>
            </w:r>
          </w:p>
        </w:tc>
        <w:tc>
          <w:tcPr>
            <w:tcW w:w="8018" w:type="dxa"/>
            <w:tcBorders>
              <w:top w:val="nil"/>
              <w:left w:val="nil"/>
              <w:bottom w:val="nil"/>
              <w:right w:val="nil"/>
            </w:tcBorders>
          </w:tcPr>
          <w:p w14:paraId="04243070">
            <w:pPr>
              <w:pStyle w:val="85"/>
            </w:pPr>
            <w:r>
              <w:rPr>
                <w:rFonts w:hint="eastAsia"/>
                <w:b/>
                <w:bCs/>
              </w:rPr>
              <w:t>for</w:t>
            </w:r>
            <w:r>
              <w:rPr>
                <w:rFonts w:hint="eastAsia"/>
              </w:rPr>
              <w:t xml:space="preserve"> 每个候选文档</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7B62DDC6">
            <w:pPr>
              <w:ind w:firstLine="480"/>
            </w:pPr>
          </w:p>
        </w:tc>
      </w:tr>
      <w:tr w14:paraId="25D1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F6190FF">
            <w:pPr>
              <w:ind w:firstLine="0" w:firstLineChars="0"/>
              <w:jc w:val="center"/>
            </w:pPr>
            <w:r>
              <w:rPr>
                <w:rFonts w:hint="eastAsia"/>
              </w:rPr>
              <w:t>8</w:t>
            </w:r>
          </w:p>
        </w:tc>
        <w:tc>
          <w:tcPr>
            <w:tcW w:w="8018" w:type="dxa"/>
            <w:tcBorders>
              <w:top w:val="nil"/>
              <w:left w:val="nil"/>
              <w:bottom w:val="nil"/>
              <w:right w:val="nil"/>
            </w:tcBorders>
          </w:tcPr>
          <w:p w14:paraId="2D04413B">
            <w:pPr>
              <w:pStyle w:val="86"/>
              <w:ind w:firstLine="240" w:firstLineChars="100"/>
              <w:rPr>
                <w:i/>
              </w:rPr>
            </w:pPr>
            <w:r>
              <w:rPr>
                <w:rFonts w:hint="eastAsia"/>
              </w:rPr>
              <w:t>计算文档间平均相似度</w:t>
            </w:r>
            <m:oMath>
              <m:sSub>
                <m:sSubPr>
                  <m:ctrlPr>
                    <w:rPr>
                      <w:rStyle w:val="87"/>
                    </w:rPr>
                  </m:ctrlPr>
                </m:sSubPr>
                <m:e>
                  <m:acc>
                    <m:accPr>
                      <m:chr m:val="̅"/>
                      <m:ctrlPr>
                        <w:rPr>
                          <w:rStyle w:val="87"/>
                        </w:rPr>
                      </m:ctrlPr>
                    </m:accPr>
                    <m:e>
                      <m:r>
                        <m:rPr/>
                        <w:rPr>
                          <w:rStyle w:val="87"/>
                        </w:rPr>
                        <m:t>s</m:t>
                      </m:r>
                      <m:ctrlPr>
                        <w:rPr>
                          <w:rStyle w:val="87"/>
                        </w:rPr>
                      </m:ctrlPr>
                    </m:e>
                  </m:acc>
                  <m:ctrlPr>
                    <w:rPr>
                      <w:rStyle w:val="87"/>
                    </w:rPr>
                  </m:ctrlPr>
                </m:e>
                <m:sub>
                  <m:r>
                    <m:rPr/>
                    <w:rPr>
                      <w:rStyle w:val="87"/>
                    </w:rPr>
                    <m:t>i</m:t>
                  </m:r>
                  <m:ctrlPr>
                    <w:rPr>
                      <w:rStyle w:val="87"/>
                    </w:rPr>
                  </m:ctrlPr>
                </m:sub>
              </m:sSub>
              <m:r>
                <m:rPr/>
                <m:t>←</m:t>
              </m:r>
              <m:f>
                <m:fPr>
                  <m:ctrlPr>
                    <w:rPr>
                      <w:rStyle w:val="87"/>
                    </w:rPr>
                  </m:ctrlPr>
                </m:fPr>
                <m:num>
                  <m:r>
                    <m:rPr/>
                    <w:rPr>
                      <w:rStyle w:val="87"/>
                    </w:rPr>
                    <m:t>1</m:t>
                  </m:r>
                  <m:ctrlPr>
                    <w:rPr>
                      <w:rStyle w:val="87"/>
                    </w:rPr>
                  </m:ctrlPr>
                </m:num>
                <m:den>
                  <m:r>
                    <m:rPr/>
                    <w:rPr>
                      <w:rStyle w:val="87"/>
                    </w:rPr>
                    <m:t>αK−1</m:t>
                  </m:r>
                  <m:ctrlPr>
                    <w:rPr>
                      <w:rStyle w:val="87"/>
                    </w:rPr>
                  </m:ctrlPr>
                </m:den>
              </m:f>
              <m:nary>
                <m:naryPr>
                  <m:chr m:val="∑"/>
                  <m:grow m:val="1"/>
                  <m:limLoc m:val="undOvr"/>
                  <m:supHide m:val="1"/>
                  <m:ctrlPr>
                    <w:rPr>
                      <w:rStyle w:val="87"/>
                    </w:rPr>
                  </m:ctrlPr>
                </m:naryPr>
                <m:sub>
                  <m:r>
                    <m:rPr/>
                    <w:rPr>
                      <w:rStyle w:val="87"/>
                    </w:rPr>
                    <m:t>j≠i</m:t>
                  </m:r>
                  <m:ctrlPr>
                    <w:rPr>
                      <w:rStyle w:val="87"/>
                    </w:rPr>
                  </m:ctrlPr>
                </m:sub>
                <m:sup>
                  <m:ctrlPr>
                    <w:rPr>
                      <w:rStyle w:val="87"/>
                    </w:rPr>
                  </m:ctrlPr>
                </m:sup>
                <m:e>
                  <m:r>
                    <m:rPr/>
                    <w:rPr>
                      <w:rStyle w:val="87"/>
                    </w:rPr>
                    <m:t> </m:t>
                  </m:r>
                  <m:ctrlPr>
                    <w:rPr>
                      <w:rStyle w:val="87"/>
                    </w:rPr>
                  </m:ctrlPr>
                </m:e>
              </m:nary>
              <m:sSub>
                <m:sSubPr>
                  <m:ctrlPr>
                    <w:rPr>
                      <w:rStyle w:val="87"/>
                    </w:rPr>
                  </m:ctrlPr>
                </m:sSubPr>
                <m:e>
                  <m:r>
                    <m:rPr/>
                    <w:rPr>
                      <w:rStyle w:val="87"/>
                    </w:rPr>
                    <m:t>S</m:t>
                  </m:r>
                  <m:ctrlPr>
                    <w:rPr>
                      <w:rStyle w:val="87"/>
                    </w:rPr>
                  </m:ctrlPr>
                </m:e>
                <m:sub>
                  <m:r>
                    <m:rPr/>
                    <w:rPr>
                      <w:rStyle w:val="87"/>
                    </w:rPr>
                    <m:t>ij</m:t>
                  </m:r>
                  <m:ctrlPr>
                    <w:rPr>
                      <w:rStyle w:val="87"/>
                    </w:rPr>
                  </m:ctrlPr>
                </m:sub>
              </m:sSub>
            </m:oMath>
            <w:r>
              <w:rPr>
                <w:rStyle w:val="87"/>
                <w:rFonts w:hint="eastAsia"/>
              </w:rPr>
              <w:t>和</w:t>
            </w:r>
            <w:r>
              <w:rPr>
                <w:rFonts w:hint="eastAsia"/>
              </w:rPr>
              <w:t>计算最大相似度</w:t>
            </w:r>
            <m:oMath>
              <m:sSubSup>
                <m:sSubSupPr/>
                <m:e>
                  <m:r>
                    <m:rPr/>
                    <m:t>s</m:t>
                  </m:r>
                </m:e>
                <m:sub>
                  <m:r>
                    <m:rPr/>
                    <m:t>i</m:t>
                  </m:r>
                </m:sub>
                <m:sup>
                  <m:r>
                    <m:rPr/>
                    <m:t>max</m:t>
                  </m:r>
                </m:sup>
              </m:sSubSup>
              <m:r>
                <m:rPr>
                  <m:sty m:val="p"/>
                </m:rPr>
                <m:t>←</m:t>
              </m:r>
              <m:limLow>
                <m:limLowPr/>
                <m:e>
                  <m:r>
                    <m:rPr/>
                    <m:t>max</m:t>
                  </m:r>
                </m:e>
                <m:lim>
                  <m:r>
                    <m:rPr/>
                    <m:t>j</m:t>
                  </m:r>
                  <m:r>
                    <m:rPr>
                      <m:sty m:val="p"/>
                    </m:rPr>
                    <m:t>≠</m:t>
                  </m:r>
                  <m:r>
                    <m:rPr/>
                    <m:t>i</m:t>
                  </m:r>
                </m:lim>
              </m:limLow>
              <m:r>
                <m:rPr>
                  <m:sty m:val="p"/>
                </m:rPr>
                <m:t> </m:t>
              </m:r>
              <m:sSub>
                <m:sSubPr/>
                <m:e>
                  <m:r>
                    <m:rPr/>
                    <m:t>S</m:t>
                  </m:r>
                </m:e>
                <m:sub>
                  <m:r>
                    <m:rPr/>
                    <m:t>ij</m:t>
                  </m:r>
                </m:sub>
              </m:sSub>
            </m:oMath>
          </w:p>
        </w:tc>
        <w:tc>
          <w:tcPr>
            <w:tcW w:w="382" w:type="dxa"/>
            <w:tcBorders>
              <w:top w:val="nil"/>
              <w:left w:val="nil"/>
              <w:bottom w:val="nil"/>
              <w:right w:val="single" w:color="auto" w:sz="4" w:space="0"/>
            </w:tcBorders>
          </w:tcPr>
          <w:p w14:paraId="17474FED">
            <w:pPr>
              <w:ind w:firstLine="480"/>
            </w:pPr>
          </w:p>
        </w:tc>
      </w:tr>
      <w:tr w14:paraId="7A3E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FE1C96D">
            <w:pPr>
              <w:ind w:firstLine="0" w:firstLineChars="0"/>
              <w:jc w:val="center"/>
            </w:pPr>
            <w:r>
              <w:rPr>
                <w:rFonts w:hint="eastAsia"/>
              </w:rPr>
              <w:t>9</w:t>
            </w:r>
          </w:p>
        </w:tc>
        <w:tc>
          <w:tcPr>
            <w:tcW w:w="8018" w:type="dxa"/>
            <w:tcBorders>
              <w:top w:val="nil"/>
              <w:left w:val="nil"/>
              <w:bottom w:val="nil"/>
              <w:right w:val="nil"/>
            </w:tcBorders>
          </w:tcPr>
          <w:p w14:paraId="13F9576E">
            <w:pPr>
              <w:pStyle w:val="86"/>
              <w:ind w:firstLine="240" w:firstLineChars="100"/>
              <w:rPr>
                <w:i/>
              </w:rPr>
            </w:pPr>
            <w:r>
              <w:rPr>
                <w:rFonts w:hint="eastAsia"/>
              </w:rPr>
              <w:t>计算与查询的相似度</w:t>
            </w:r>
            <m:oMath>
              <m:sSub>
                <m:sSubPr/>
                <m:e>
                  <m:r>
                    <m:rPr/>
                    <m:t>s</m:t>
                  </m:r>
                </m:e>
                <m:sub>
                  <m:r>
                    <m:rPr/>
                    <m:t>i</m:t>
                  </m:r>
                </m:sub>
              </m:sSub>
              <m:r>
                <m:rPr/>
                <m:t>=</m:t>
              </m:r>
              <m:func>
                <m:funcPr>
                  <m:ctrlPr>
                    <w:rPr>
                      <w:i/>
                    </w:rPr>
                  </m:ctrlPr>
                </m:funcPr>
                <m:fName>
                  <m:r>
                    <m:rPr>
                      <m:sty m:val="p"/>
                    </m:rPr>
                    <m:t>cos</m:t>
                  </m:r>
                  <m:ctrlPr>
                    <w:rPr>
                      <w:i/>
                    </w:rPr>
                  </m:ctrlPr>
                </m:fName>
                <m:e>
                  <m:d>
                    <m:dPr>
                      <m:ctrlPr>
                        <w:rPr>
                          <w:i/>
                        </w:rPr>
                      </m:ctrlPr>
                    </m:dPr>
                    <m:e>
                      <m:sSub>
                        <m:sSubPr/>
                        <m:e>
                          <m:r>
                            <m:rPr/>
                            <m:t>e</m:t>
                          </m:r>
                        </m:e>
                        <m:sub>
                          <m:r>
                            <m:rPr/>
                            <m:t>q</m:t>
                          </m:r>
                        </m:sub>
                      </m:sSub>
                      <m:r>
                        <m:rPr/>
                        <m:t>,</m:t>
                      </m:r>
                      <m:sSub>
                        <m:sSubPr/>
                        <m:e>
                          <m:r>
                            <m:rPr/>
                            <m:t>e</m:t>
                          </m:r>
                        </m:e>
                        <m:sub>
                          <m:r>
                            <m:rPr/>
                            <m:t>i</m:t>
                          </m:r>
                        </m:sub>
                      </m:sSub>
                      <m:ctrlPr>
                        <w:rPr>
                          <w:i/>
                        </w:rPr>
                      </m:ctrlPr>
                    </m:e>
                  </m:d>
                  <m:ctrlPr>
                    <w:rPr>
                      <w:i/>
                    </w:rPr>
                  </m:ctrlPr>
                </m:e>
              </m:func>
            </m:oMath>
            <w:r>
              <w:rPr>
                <w:rFonts w:hint="eastAsia"/>
              </w:rPr>
              <w:t>及其Z-score</w:t>
            </w:r>
            <m:oMath>
              <m:r>
                <m:rPr>
                  <m:sty m:val="p"/>
                </m:rPr>
                <m:t>←</m:t>
              </m:r>
              <m:f>
                <m:fPr/>
                <m:num>
                  <m:sSub>
                    <m:sSubPr/>
                    <m:e>
                      <m:r>
                        <m:rPr/>
                        <m:t>s</m:t>
                      </m:r>
                    </m:e>
                    <m:sub>
                      <m:r>
                        <m:rPr/>
                        <m:t>i</m:t>
                      </m:r>
                    </m:sub>
                  </m:sSub>
                  <m:r>
                    <m:rPr/>
                    <m:t>−</m:t>
                  </m:r>
                  <m:sSub>
                    <m:sSubPr/>
                    <m:e>
                      <m:r>
                        <m:rPr/>
                        <m:t>μ</m:t>
                      </m:r>
                    </m:e>
                    <m:sub>
                      <m:r>
                        <m:rPr/>
                        <m:t>s</m:t>
                      </m:r>
                    </m:sub>
                  </m:sSub>
                </m:num>
                <m:den>
                  <m:sSub>
                    <m:sSubPr/>
                    <m:e>
                      <m:r>
                        <m:rPr/>
                        <m:t>σ</m:t>
                      </m:r>
                    </m:e>
                    <m:sub>
                      <m:r>
                        <m:rPr/>
                        <m:t>s</m:t>
                      </m:r>
                    </m:sub>
                  </m:sSub>
                </m:den>
              </m:f>
            </m:oMath>
          </w:p>
        </w:tc>
        <w:tc>
          <w:tcPr>
            <w:tcW w:w="382" w:type="dxa"/>
            <w:tcBorders>
              <w:top w:val="nil"/>
              <w:left w:val="nil"/>
              <w:bottom w:val="nil"/>
              <w:right w:val="single" w:color="auto" w:sz="4" w:space="0"/>
            </w:tcBorders>
          </w:tcPr>
          <w:p w14:paraId="5F9BE21D">
            <w:pPr>
              <w:ind w:firstLine="480"/>
            </w:pPr>
          </w:p>
        </w:tc>
      </w:tr>
      <w:tr w14:paraId="1DE1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415E443">
            <w:pPr>
              <w:ind w:firstLine="0" w:firstLineChars="0"/>
              <w:jc w:val="center"/>
            </w:pPr>
            <w:r>
              <w:rPr>
                <w:rFonts w:hint="eastAsia"/>
              </w:rPr>
              <w:t>10</w:t>
            </w:r>
          </w:p>
        </w:tc>
        <w:tc>
          <w:tcPr>
            <w:tcW w:w="8018" w:type="dxa"/>
            <w:tcBorders>
              <w:top w:val="nil"/>
              <w:left w:val="nil"/>
              <w:bottom w:val="nil"/>
              <w:right w:val="nil"/>
            </w:tcBorders>
          </w:tcPr>
          <w:p w14:paraId="2E652B8F">
            <w:pPr>
              <w:pStyle w:val="85"/>
              <w:ind w:firstLine="241" w:firstLineChars="100"/>
              <w:rPr>
                <w:b/>
                <w:bCs/>
              </w:rPr>
            </w:pPr>
            <w:r>
              <w:rPr>
                <w:rFonts w:hint="eastAsia"/>
                <w:b/>
                <w:bCs/>
              </w:rPr>
              <w:t>if</w:t>
            </w:r>
            <w:r>
              <w:rPr>
                <w:rFonts w:hint="eastAsia"/>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avg</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sim</m:t>
                  </m:r>
                  <m:ctrlPr>
                    <w:rPr>
                      <w:rFonts w:ascii="Cambria Math" w:hAnsi="Cambria Math"/>
                    </w:rPr>
                  </m:ctrlPr>
                </m:sub>
              </m:sSub>
            </m:oMath>
            <w:r>
              <w:rPr>
                <w:rFonts w:hint="eastAsia"/>
              </w:rPr>
              <w:t xml:space="preserve"> </w:t>
            </w:r>
            <w:r>
              <w:rPr>
                <w:rFonts w:hint="eastAsia"/>
                <w:b/>
                <w:bCs/>
              </w:rPr>
              <w:t>then</w:t>
            </w:r>
          </w:p>
          <w:p w14:paraId="16E2AFF1">
            <w:pPr>
              <w:pStyle w:val="85"/>
              <w:ind w:firstLine="240" w:firstLineChars="100"/>
            </w:pPr>
            <w:r>
              <w:rPr>
                <w:rFonts w:hint="eastAsia"/>
              </w:rPr>
              <w:t xml:space="preserve">    过滤</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p>
        </w:tc>
        <w:tc>
          <w:tcPr>
            <w:tcW w:w="382" w:type="dxa"/>
            <w:tcBorders>
              <w:top w:val="nil"/>
              <w:left w:val="nil"/>
              <w:bottom w:val="nil"/>
              <w:right w:val="single" w:color="auto" w:sz="4" w:space="0"/>
            </w:tcBorders>
          </w:tcPr>
          <w:p w14:paraId="11845C9D">
            <w:pPr>
              <w:ind w:firstLine="480"/>
            </w:pPr>
          </w:p>
        </w:tc>
      </w:tr>
      <w:tr w14:paraId="129A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39E4E31">
            <w:pPr>
              <w:ind w:firstLine="0" w:firstLineChars="0"/>
              <w:jc w:val="center"/>
            </w:pPr>
            <w:r>
              <w:rPr>
                <w:rFonts w:hint="eastAsia"/>
              </w:rPr>
              <w:t>11</w:t>
            </w:r>
          </w:p>
        </w:tc>
        <w:tc>
          <w:tcPr>
            <w:tcW w:w="8018" w:type="dxa"/>
            <w:tcBorders>
              <w:top w:val="nil"/>
              <w:left w:val="nil"/>
              <w:bottom w:val="nil"/>
              <w:right w:val="nil"/>
            </w:tcBorders>
          </w:tcPr>
          <w:p w14:paraId="1B2AA3AA">
            <w:pPr>
              <w:pStyle w:val="85"/>
            </w:pPr>
            <w:r>
              <w:rPr>
                <w:rFonts w:hint="eastAsia"/>
              </w:rPr>
              <w:t xml:space="preserve">    </w:t>
            </w:r>
            <w:r>
              <w:rPr>
                <w:rFonts w:hint="eastAsia"/>
                <w:b/>
                <w:bCs/>
              </w:rPr>
              <w:t>else</w:t>
            </w:r>
            <w:r>
              <w:rPr>
                <w:rFonts w:hint="eastAsia"/>
              </w:rPr>
              <w:t xml:space="preserve"> 保留</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至</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tmp</m:t>
                  </m:r>
                  <m:ctrlPr>
                    <w:rPr>
                      <w:rFonts w:ascii="Cambria Math" w:hAnsi="Cambria Math"/>
                    </w:rPr>
                  </m:ctrlPr>
                </m:sub>
              </m:sSub>
            </m:oMath>
          </w:p>
        </w:tc>
        <w:tc>
          <w:tcPr>
            <w:tcW w:w="382" w:type="dxa"/>
            <w:tcBorders>
              <w:top w:val="nil"/>
              <w:left w:val="nil"/>
              <w:bottom w:val="nil"/>
              <w:right w:val="single" w:color="auto" w:sz="4" w:space="0"/>
            </w:tcBorders>
          </w:tcPr>
          <w:p w14:paraId="4DD57FF5">
            <w:pPr>
              <w:ind w:firstLine="480"/>
            </w:pPr>
          </w:p>
        </w:tc>
      </w:tr>
      <w:tr w14:paraId="221A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3E99787">
            <w:pPr>
              <w:ind w:firstLine="0" w:firstLineChars="0"/>
              <w:jc w:val="center"/>
            </w:pPr>
            <w:r>
              <w:rPr>
                <w:rFonts w:hint="eastAsia"/>
              </w:rPr>
              <w:t>12</w:t>
            </w:r>
          </w:p>
        </w:tc>
        <w:tc>
          <w:tcPr>
            <w:tcW w:w="8018" w:type="dxa"/>
            <w:tcBorders>
              <w:top w:val="nil"/>
              <w:left w:val="nil"/>
              <w:bottom w:val="nil"/>
              <w:right w:val="nil"/>
            </w:tcBorders>
          </w:tcPr>
          <w:p w14:paraId="4366FBCC">
            <w:pPr>
              <w:pStyle w:val="85"/>
              <w:rPr>
                <w:b/>
                <w:bCs/>
              </w:rPr>
            </w:pPr>
            <w:r>
              <w:rPr>
                <w:rFonts w:hint="eastAsia"/>
              </w:rPr>
              <w:t xml:space="preserve">    </w:t>
            </w:r>
            <w:r>
              <w:rPr>
                <w:rFonts w:hint="eastAsia"/>
                <w:b/>
                <w:bCs/>
              </w:rPr>
              <w:t>end if</w:t>
            </w:r>
          </w:p>
        </w:tc>
        <w:tc>
          <w:tcPr>
            <w:tcW w:w="382" w:type="dxa"/>
            <w:tcBorders>
              <w:top w:val="nil"/>
              <w:left w:val="nil"/>
              <w:bottom w:val="nil"/>
              <w:right w:val="single" w:color="auto" w:sz="4" w:space="0"/>
            </w:tcBorders>
          </w:tcPr>
          <w:p w14:paraId="60D68E35">
            <w:pPr>
              <w:ind w:firstLine="480"/>
            </w:pPr>
          </w:p>
        </w:tc>
      </w:tr>
      <w:tr w14:paraId="0E1B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E444B40">
            <w:pPr>
              <w:ind w:firstLine="0" w:firstLineChars="0"/>
              <w:jc w:val="center"/>
            </w:pPr>
            <w:r>
              <w:rPr>
                <w:rFonts w:hint="eastAsia"/>
              </w:rPr>
              <w:t>13</w:t>
            </w:r>
          </w:p>
        </w:tc>
        <w:tc>
          <w:tcPr>
            <w:tcW w:w="8018" w:type="dxa"/>
            <w:tcBorders>
              <w:top w:val="nil"/>
              <w:left w:val="nil"/>
              <w:bottom w:val="nil"/>
              <w:right w:val="nil"/>
            </w:tcBorders>
          </w:tcPr>
          <w:p w14:paraId="4D07D7E0">
            <w:pPr>
              <w:pStyle w:val="85"/>
              <w:rPr>
                <w:b/>
                <w:bCs/>
              </w:rPr>
            </w:pPr>
            <w:r>
              <w:rPr>
                <w:rFonts w:hint="eastAsia"/>
                <w:b/>
                <w:bCs/>
              </w:rPr>
              <w:t>end for</w:t>
            </w:r>
          </w:p>
        </w:tc>
        <w:tc>
          <w:tcPr>
            <w:tcW w:w="382" w:type="dxa"/>
            <w:tcBorders>
              <w:top w:val="nil"/>
              <w:left w:val="nil"/>
              <w:bottom w:val="nil"/>
              <w:right w:val="single" w:color="auto" w:sz="4" w:space="0"/>
            </w:tcBorders>
          </w:tcPr>
          <w:p w14:paraId="40F18F81">
            <w:pPr>
              <w:ind w:firstLine="480"/>
            </w:pPr>
          </w:p>
        </w:tc>
      </w:tr>
      <w:tr w14:paraId="1D70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3B1D380">
            <w:pPr>
              <w:ind w:firstLine="0" w:firstLineChars="0"/>
              <w:jc w:val="center"/>
            </w:pPr>
            <w:r>
              <w:rPr>
                <w:rFonts w:hint="eastAsia"/>
              </w:rPr>
              <w:t>14</w:t>
            </w:r>
          </w:p>
        </w:tc>
        <w:tc>
          <w:tcPr>
            <w:tcW w:w="8018" w:type="dxa"/>
            <w:tcBorders>
              <w:top w:val="nil"/>
              <w:left w:val="nil"/>
              <w:bottom w:val="nil"/>
              <w:right w:val="nil"/>
            </w:tcBorders>
          </w:tcPr>
          <w:p w14:paraId="180BABD2">
            <w:pPr>
              <w:pStyle w:val="85"/>
              <w:rPr>
                <w:b/>
                <w:bCs/>
              </w:rPr>
            </w:pPr>
            <w:r>
              <w:rPr>
                <w:rFonts w:hint="eastAsia"/>
                <w:b/>
                <w:bCs/>
              </w:rPr>
              <w:t>阶段3：句子级困惑度异常检测与输出</w:t>
            </w:r>
          </w:p>
        </w:tc>
        <w:tc>
          <w:tcPr>
            <w:tcW w:w="382" w:type="dxa"/>
            <w:tcBorders>
              <w:top w:val="nil"/>
              <w:left w:val="nil"/>
              <w:bottom w:val="nil"/>
              <w:right w:val="single" w:color="auto" w:sz="4" w:space="0"/>
            </w:tcBorders>
          </w:tcPr>
          <w:p w14:paraId="12CB545C">
            <w:pPr>
              <w:ind w:firstLine="480"/>
            </w:pPr>
          </w:p>
        </w:tc>
      </w:tr>
      <w:tr w14:paraId="56D1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D15E6C4">
            <w:pPr>
              <w:ind w:firstLine="0" w:firstLineChars="0"/>
              <w:jc w:val="center"/>
            </w:pPr>
            <w:r>
              <w:rPr>
                <w:rFonts w:hint="eastAsia"/>
              </w:rPr>
              <w:t>15</w:t>
            </w:r>
          </w:p>
        </w:tc>
        <w:tc>
          <w:tcPr>
            <w:tcW w:w="8018" w:type="dxa"/>
            <w:tcBorders>
              <w:top w:val="nil"/>
              <w:left w:val="nil"/>
              <w:bottom w:val="nil"/>
              <w:right w:val="nil"/>
            </w:tcBorders>
          </w:tcPr>
          <w:p w14:paraId="7C42EB61">
            <w:pPr>
              <w:pStyle w:val="85"/>
            </w:pPr>
            <w:r>
              <w:rPr>
                <w:rFonts w:hint="eastAsia"/>
                <w:b/>
                <w:bCs/>
              </w:rPr>
              <w:t>for</w:t>
            </w:r>
            <w:r>
              <w:rPr>
                <w:rFonts w:hint="eastAsia"/>
              </w:rPr>
              <w:t xml:space="preserve"> 每个候选文档</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2E4CE3F2">
            <w:pPr>
              <w:ind w:firstLine="480"/>
            </w:pPr>
          </w:p>
        </w:tc>
      </w:tr>
      <w:tr w14:paraId="71B9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0A38907">
            <w:pPr>
              <w:ind w:firstLine="0" w:firstLineChars="0"/>
              <w:jc w:val="center"/>
            </w:pPr>
            <w:r>
              <w:rPr>
                <w:rFonts w:hint="eastAsia"/>
              </w:rPr>
              <w:t>16</w:t>
            </w:r>
          </w:p>
        </w:tc>
        <w:tc>
          <w:tcPr>
            <w:tcW w:w="8018" w:type="dxa"/>
            <w:tcBorders>
              <w:top w:val="nil"/>
              <w:left w:val="nil"/>
              <w:bottom w:val="nil"/>
              <w:right w:val="nil"/>
            </w:tcBorders>
          </w:tcPr>
          <w:p w14:paraId="5CCCAB88">
            <w:pPr>
              <w:pStyle w:val="85"/>
              <w:rPr>
                <w:i/>
              </w:rPr>
            </w:pPr>
            <w:r>
              <w:rPr>
                <w:rFonts w:hint="eastAsia"/>
              </w:rPr>
              <w:t xml:space="preserve">    将</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按标点划分为句子序列</w:t>
            </w:r>
            <m:oMath>
              <m:r>
                <m:rPr/>
                <w:rPr>
                  <w:rFonts w:ascii="Cambria Math" w:hAnsi="Cambria Math"/>
                </w:rPr>
                <m:t>S(</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32DD6004">
            <w:pPr>
              <w:ind w:firstLine="480"/>
            </w:pPr>
          </w:p>
        </w:tc>
      </w:tr>
      <w:tr w14:paraId="7BB2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C6FC4EB">
            <w:pPr>
              <w:ind w:firstLine="0" w:firstLineChars="0"/>
              <w:jc w:val="center"/>
            </w:pPr>
            <w:r>
              <w:rPr>
                <w:rFonts w:hint="eastAsia"/>
              </w:rPr>
              <w:t>17</w:t>
            </w:r>
          </w:p>
        </w:tc>
        <w:tc>
          <w:tcPr>
            <w:tcW w:w="8018" w:type="dxa"/>
            <w:tcBorders>
              <w:top w:val="nil"/>
              <w:left w:val="nil"/>
              <w:bottom w:val="nil"/>
              <w:right w:val="nil"/>
            </w:tcBorders>
          </w:tcPr>
          <w:p w14:paraId="16E25699">
            <w:pPr>
              <w:pStyle w:val="85"/>
            </w:pPr>
            <w:r>
              <w:rPr>
                <w:rFonts w:hint="eastAsia"/>
              </w:rPr>
              <w:t xml:space="preserve">    对每个句子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计算困惑度</w:t>
            </w:r>
            <m:oMath>
              <m:r>
                <m:rPr/>
                <w:rPr>
                  <w:rFonts w:ascii="Cambria Math" w:hAnsi="Cambria Math"/>
                </w:rPr>
                <m:t>PPL(</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0420DC5D">
            <w:pPr>
              <w:ind w:firstLine="480"/>
            </w:pPr>
          </w:p>
        </w:tc>
      </w:tr>
      <w:tr w14:paraId="7EB0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D9BDE97">
            <w:pPr>
              <w:ind w:firstLine="0" w:firstLineChars="0"/>
              <w:jc w:val="center"/>
            </w:pPr>
            <w:r>
              <w:rPr>
                <w:rFonts w:hint="eastAsia"/>
              </w:rPr>
              <w:t>18</w:t>
            </w:r>
          </w:p>
        </w:tc>
        <w:tc>
          <w:tcPr>
            <w:tcW w:w="8018" w:type="dxa"/>
            <w:tcBorders>
              <w:top w:val="nil"/>
              <w:left w:val="nil"/>
              <w:bottom w:val="nil"/>
              <w:right w:val="nil"/>
            </w:tcBorders>
          </w:tcPr>
          <w:p w14:paraId="2FB707AB">
            <w:pPr>
              <w:pStyle w:val="85"/>
            </w:pPr>
            <w:r>
              <w:rPr>
                <w:rFonts w:hint="eastAsia"/>
              </w:rPr>
              <w:t xml:space="preserve">    计算句子困惑度均值</w:t>
            </w:r>
            <m:oMath>
              <m:sSub>
                <m:sSubPr>
                  <m:ctrlPr>
                    <w:rPr>
                      <w:rStyle w:val="87"/>
                    </w:rPr>
                  </m:ctrlPr>
                </m:sSubPr>
                <m:e>
                  <m:r>
                    <m:rPr/>
                    <w:rPr>
                      <w:rStyle w:val="87"/>
                    </w:rPr>
                    <m:t>μ</m:t>
                  </m:r>
                  <m:ctrlPr>
                    <w:rPr>
                      <w:rStyle w:val="87"/>
                    </w:rPr>
                  </m:ctrlPr>
                </m:e>
                <m:sub>
                  <m:r>
                    <m:rPr/>
                    <w:rPr>
                      <w:rStyle w:val="87"/>
                    </w:rPr>
                    <m:t>i</m:t>
                  </m:r>
                  <m:ctrlPr>
                    <w:rPr>
                      <w:rStyle w:val="87"/>
                    </w:rPr>
                  </m:ctrlPr>
                </m:sub>
              </m:sSub>
            </m:oMath>
            <w:r>
              <w:rPr>
                <w:rFonts w:hint="eastAsia"/>
              </w:rPr>
              <w:t>和标准差</w:t>
            </w:r>
            <m:oMath>
              <m:sSub>
                <m:sSubPr>
                  <m:ctrlPr>
                    <w:rPr>
                      <w:rStyle w:val="87"/>
                    </w:rPr>
                  </m:ctrlPr>
                </m:sSubPr>
                <m:e>
                  <m:r>
                    <m:rPr/>
                    <w:rPr>
                      <w:rStyle w:val="87"/>
                    </w:rPr>
                    <m:t>σ</m:t>
                  </m:r>
                  <m:ctrlPr>
                    <w:rPr>
                      <w:rStyle w:val="87"/>
                    </w:rPr>
                  </m:ctrlPr>
                </m:e>
                <m:sub>
                  <m:r>
                    <m:rPr/>
                    <w:rPr>
                      <w:rStyle w:val="87"/>
                    </w:rPr>
                    <m:t>i</m:t>
                  </m:r>
                  <m:ctrlPr>
                    <w:rPr>
                      <w:rStyle w:val="87"/>
                    </w:rPr>
                  </m:ctrlPr>
                </m:sub>
              </m:sSub>
            </m:oMath>
          </w:p>
        </w:tc>
        <w:tc>
          <w:tcPr>
            <w:tcW w:w="382" w:type="dxa"/>
            <w:tcBorders>
              <w:top w:val="nil"/>
              <w:left w:val="nil"/>
              <w:bottom w:val="nil"/>
              <w:right w:val="single" w:color="auto" w:sz="4" w:space="0"/>
            </w:tcBorders>
          </w:tcPr>
          <w:p w14:paraId="1BAE0989">
            <w:pPr>
              <w:ind w:firstLine="480"/>
            </w:pPr>
          </w:p>
        </w:tc>
      </w:tr>
      <w:tr w14:paraId="5052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213B448">
            <w:pPr>
              <w:ind w:firstLine="0" w:firstLineChars="0"/>
              <w:jc w:val="center"/>
            </w:pPr>
            <w:r>
              <w:rPr>
                <w:rFonts w:hint="eastAsia"/>
              </w:rPr>
              <w:t>19</w:t>
            </w:r>
          </w:p>
        </w:tc>
        <w:tc>
          <w:tcPr>
            <w:tcW w:w="8018" w:type="dxa"/>
            <w:tcBorders>
              <w:top w:val="nil"/>
              <w:left w:val="nil"/>
              <w:bottom w:val="nil"/>
              <w:right w:val="nil"/>
            </w:tcBorders>
          </w:tcPr>
          <w:p w14:paraId="38F7FACF">
            <w:pPr>
              <w:pStyle w:val="85"/>
            </w:pPr>
            <w:r>
              <w:rPr>
                <w:rFonts w:hint="eastAsia"/>
              </w:rPr>
              <w:t xml:space="preserve">    </w:t>
            </w:r>
            <w:r>
              <w:rPr>
                <w:rFonts w:hint="eastAsia"/>
                <w:b/>
                <w:bCs/>
              </w:rPr>
              <w:t>for</w:t>
            </w:r>
            <w:r>
              <w:rPr>
                <w:rFonts w:hint="eastAsia"/>
              </w:rPr>
              <w:t xml:space="preserve"> 每个句子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1C5DAA13">
            <w:pPr>
              <w:ind w:firstLine="480"/>
            </w:pPr>
          </w:p>
        </w:tc>
      </w:tr>
      <w:tr w14:paraId="72C7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4DC47A7">
            <w:pPr>
              <w:ind w:firstLine="0" w:firstLineChars="0"/>
              <w:jc w:val="center"/>
            </w:pPr>
            <w:r>
              <w:rPr>
                <w:rFonts w:hint="eastAsia"/>
              </w:rPr>
              <w:t>20</w:t>
            </w:r>
          </w:p>
        </w:tc>
        <w:tc>
          <w:tcPr>
            <w:tcW w:w="8018" w:type="dxa"/>
            <w:tcBorders>
              <w:top w:val="nil"/>
              <w:left w:val="nil"/>
              <w:bottom w:val="nil"/>
              <w:right w:val="nil"/>
            </w:tcBorders>
          </w:tcPr>
          <w:p w14:paraId="41B5C7C1">
            <w:pPr>
              <w:pStyle w:val="86"/>
              <w:ind w:firstLine="0" w:firstLineChars="0"/>
            </w:pPr>
            <w:r>
              <w:rPr>
                <w:rFonts w:hint="eastAsia"/>
              </w:rPr>
              <w:t xml:space="preserve">        计算Z-score</w:t>
            </w:r>
            <m:oMath>
              <m:r>
                <m:rPr>
                  <m:sty m:val="p"/>
                </m:rPr>
                <m:t>←</m:t>
              </m:r>
            </m:oMath>
            <w:r>
              <w:rPr>
                <w:rFonts w:hint="eastAsia"/>
              </w:rPr>
              <w:t xml:space="preserve"> </w:t>
            </w:r>
            <m:oMath>
              <m:sSub>
                <m:sSubPr>
                  <m:ctrlPr>
                    <w:rPr>
                      <w:rStyle w:val="87"/>
                    </w:rPr>
                  </m:ctrlPr>
                </m:sSubPr>
                <m:e>
                  <m:r>
                    <m:rPr/>
                    <w:rPr>
                      <w:rStyle w:val="87"/>
                    </w:rPr>
                    <m:t>z</m:t>
                  </m:r>
                  <m:ctrlPr>
                    <w:rPr>
                      <w:rStyle w:val="87"/>
                    </w:rPr>
                  </m:ctrlPr>
                </m:e>
                <m:sub>
                  <m:r>
                    <m:rPr/>
                    <w:rPr>
                      <w:rStyle w:val="87"/>
                    </w:rPr>
                    <m:t>i,j</m:t>
                  </m:r>
                  <m:ctrlPr>
                    <w:rPr>
                      <w:rStyle w:val="87"/>
                    </w:rPr>
                  </m:ctrlPr>
                </m:sub>
              </m:sSub>
              <m:r>
                <m:rPr/>
                <w:rPr>
                  <w:rStyle w:val="87"/>
                </w:rPr>
                <m:t>=</m:t>
              </m:r>
              <m:f>
                <m:fPr>
                  <m:ctrlPr>
                    <w:rPr>
                      <w:rStyle w:val="87"/>
                    </w:rPr>
                  </m:ctrlPr>
                </m:fPr>
                <m:num>
                  <m:r>
                    <m:rPr/>
                    <w:rPr>
                      <w:rStyle w:val="87"/>
                    </w:rPr>
                    <m:t>PPL(</m:t>
                  </m:r>
                  <m:sSub>
                    <m:sSubPr>
                      <m:ctrlPr>
                        <w:rPr>
                          <w:rStyle w:val="87"/>
                        </w:rPr>
                      </m:ctrlPr>
                    </m:sSubPr>
                    <m:e>
                      <m:r>
                        <m:rPr/>
                        <w:rPr>
                          <w:rStyle w:val="87"/>
                        </w:rPr>
                        <m:t>s</m:t>
                      </m:r>
                      <m:ctrlPr>
                        <w:rPr>
                          <w:rStyle w:val="87"/>
                        </w:rPr>
                      </m:ctrlPr>
                    </m:e>
                    <m:sub>
                      <m:r>
                        <m:rPr/>
                        <w:rPr>
                          <w:rStyle w:val="87"/>
                        </w:rPr>
                        <m:t>i,j</m:t>
                      </m:r>
                      <m:ctrlPr>
                        <w:rPr>
                          <w:rStyle w:val="87"/>
                        </w:rPr>
                      </m:ctrlPr>
                    </m:sub>
                  </m:sSub>
                  <m:r>
                    <m:rPr/>
                    <w:rPr>
                      <w:rStyle w:val="87"/>
                    </w:rPr>
                    <m:t>)−</m:t>
                  </m:r>
                  <m:sSub>
                    <m:sSubPr>
                      <m:ctrlPr>
                        <w:rPr>
                          <w:rStyle w:val="87"/>
                        </w:rPr>
                      </m:ctrlPr>
                    </m:sSubPr>
                    <m:e>
                      <m:r>
                        <m:rPr/>
                        <w:rPr>
                          <w:rStyle w:val="87"/>
                        </w:rPr>
                        <m:t>μ</m:t>
                      </m:r>
                      <m:ctrlPr>
                        <w:rPr>
                          <w:rStyle w:val="87"/>
                        </w:rPr>
                      </m:ctrlPr>
                    </m:e>
                    <m:sub>
                      <m:r>
                        <m:rPr/>
                        <w:rPr>
                          <w:rStyle w:val="87"/>
                        </w:rPr>
                        <m:t>i</m:t>
                      </m:r>
                      <m:ctrlPr>
                        <w:rPr>
                          <w:rStyle w:val="87"/>
                        </w:rPr>
                      </m:ctrlPr>
                    </m:sub>
                  </m:sSub>
                  <m:ctrlPr>
                    <w:rPr>
                      <w:rStyle w:val="87"/>
                    </w:rPr>
                  </m:ctrlPr>
                </m:num>
                <m:den>
                  <m:sSub>
                    <m:sSubPr>
                      <m:ctrlPr>
                        <w:rPr>
                          <w:rStyle w:val="87"/>
                        </w:rPr>
                      </m:ctrlPr>
                    </m:sSubPr>
                    <m:e>
                      <m:r>
                        <m:rPr/>
                        <w:rPr>
                          <w:rStyle w:val="87"/>
                        </w:rPr>
                        <m:t>σ</m:t>
                      </m:r>
                      <m:ctrlPr>
                        <w:rPr>
                          <w:rStyle w:val="87"/>
                        </w:rPr>
                      </m:ctrlPr>
                    </m:e>
                    <m:sub>
                      <m:r>
                        <m:rPr/>
                        <w:rPr>
                          <w:rStyle w:val="87"/>
                        </w:rPr>
                        <m:t>i</m:t>
                      </m:r>
                      <m:ctrlPr>
                        <w:rPr>
                          <w:rStyle w:val="87"/>
                        </w:rPr>
                      </m:ctrlPr>
                    </m:sub>
                  </m:sSub>
                  <m:r>
                    <m:rPr/>
                    <w:rPr>
                      <w:rStyle w:val="87"/>
                    </w:rPr>
                    <m:t>+ϵ</m:t>
                  </m:r>
                  <m:ctrlPr>
                    <w:rPr>
                      <w:rStyle w:val="87"/>
                    </w:rPr>
                  </m:ctrlPr>
                </m:den>
              </m:f>
            </m:oMath>
          </w:p>
        </w:tc>
        <w:tc>
          <w:tcPr>
            <w:tcW w:w="382" w:type="dxa"/>
            <w:tcBorders>
              <w:top w:val="nil"/>
              <w:left w:val="nil"/>
              <w:bottom w:val="nil"/>
              <w:right w:val="single" w:color="auto" w:sz="4" w:space="0"/>
            </w:tcBorders>
          </w:tcPr>
          <w:p w14:paraId="75BD1B24">
            <w:pPr>
              <w:ind w:firstLine="480"/>
            </w:pPr>
          </w:p>
        </w:tc>
      </w:tr>
      <w:tr w14:paraId="3E2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1A609147">
            <w:pPr>
              <w:ind w:firstLine="0" w:firstLineChars="0"/>
              <w:jc w:val="center"/>
            </w:pPr>
            <w:r>
              <w:rPr>
                <w:rFonts w:hint="eastAsia"/>
              </w:rPr>
              <w:t>21</w:t>
            </w:r>
          </w:p>
        </w:tc>
        <w:tc>
          <w:tcPr>
            <w:tcW w:w="8018" w:type="dxa"/>
            <w:tcBorders>
              <w:top w:val="nil"/>
              <w:left w:val="nil"/>
              <w:bottom w:val="nil"/>
              <w:right w:val="nil"/>
            </w:tcBorders>
          </w:tcPr>
          <w:p w14:paraId="05B20ACB">
            <w:pPr>
              <w:ind w:firstLine="0" w:firstLineChars="0"/>
              <w:jc w:val="left"/>
            </w:pPr>
            <w:r>
              <w:rPr>
                <w:rFonts w:hint="eastAsia"/>
              </w:rPr>
              <w:t xml:space="preserve">        </w:t>
            </w:r>
            <w:r>
              <w:rPr>
                <w:rFonts w:hint="eastAsia"/>
                <w:b/>
                <w:bCs/>
              </w:rPr>
              <w:t>if</w:t>
            </w:r>
            <w:r>
              <w:rPr>
                <w:rFonts w:hint="eastAsia"/>
              </w:rPr>
              <w:t xml:space="preserve">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 xml:space="preserve"> </w:t>
            </w:r>
            <w:r>
              <w:rPr>
                <w:rFonts w:hint="eastAsia"/>
                <w:b/>
                <w:bCs/>
              </w:rPr>
              <w:t>then</w:t>
            </w:r>
            <w:r>
              <w:rPr>
                <w:rFonts w:hint="eastAsia"/>
              </w:rPr>
              <w:t xml:space="preserve"> 标记</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为异常并跳出</w:t>
            </w:r>
          </w:p>
        </w:tc>
        <w:tc>
          <w:tcPr>
            <w:tcW w:w="382" w:type="dxa"/>
            <w:tcBorders>
              <w:top w:val="nil"/>
              <w:left w:val="nil"/>
              <w:bottom w:val="nil"/>
              <w:right w:val="single" w:color="auto" w:sz="4" w:space="0"/>
            </w:tcBorders>
          </w:tcPr>
          <w:p w14:paraId="1A54B17D">
            <w:pPr>
              <w:ind w:firstLine="480"/>
            </w:pPr>
          </w:p>
        </w:tc>
      </w:tr>
      <w:tr w14:paraId="3960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5259461">
            <w:pPr>
              <w:ind w:firstLine="0" w:firstLineChars="0"/>
              <w:jc w:val="center"/>
            </w:pPr>
            <w:r>
              <w:rPr>
                <w:rFonts w:hint="eastAsia"/>
              </w:rPr>
              <w:t>22</w:t>
            </w:r>
          </w:p>
        </w:tc>
        <w:tc>
          <w:tcPr>
            <w:tcW w:w="8018" w:type="dxa"/>
            <w:tcBorders>
              <w:top w:val="nil"/>
              <w:left w:val="nil"/>
              <w:bottom w:val="nil"/>
              <w:right w:val="nil"/>
            </w:tcBorders>
          </w:tcPr>
          <w:p w14:paraId="7DBA17B7">
            <w:pPr>
              <w:ind w:firstLine="0" w:firstLineChars="0"/>
              <w:jc w:val="left"/>
              <w:rPr>
                <w:b/>
                <w:bCs/>
              </w:rPr>
            </w:pPr>
            <w:r>
              <w:rPr>
                <w:rFonts w:hint="eastAsia"/>
              </w:rPr>
              <w:t xml:space="preserve">    </w:t>
            </w:r>
            <w:r>
              <w:rPr>
                <w:rFonts w:hint="eastAsia"/>
                <w:b/>
                <w:bCs/>
              </w:rPr>
              <w:t>end for</w:t>
            </w:r>
          </w:p>
        </w:tc>
        <w:tc>
          <w:tcPr>
            <w:tcW w:w="382" w:type="dxa"/>
            <w:tcBorders>
              <w:top w:val="nil"/>
              <w:left w:val="nil"/>
              <w:bottom w:val="nil"/>
              <w:right w:val="single" w:color="auto" w:sz="4" w:space="0"/>
            </w:tcBorders>
          </w:tcPr>
          <w:p w14:paraId="672CB672">
            <w:pPr>
              <w:ind w:firstLine="480"/>
            </w:pPr>
          </w:p>
        </w:tc>
      </w:tr>
      <w:tr w14:paraId="1E20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72810E7">
            <w:pPr>
              <w:ind w:firstLine="0" w:firstLineChars="0"/>
              <w:jc w:val="center"/>
            </w:pPr>
            <w:r>
              <w:rPr>
                <w:rFonts w:hint="eastAsia"/>
              </w:rPr>
              <w:t>23</w:t>
            </w:r>
          </w:p>
        </w:tc>
        <w:tc>
          <w:tcPr>
            <w:tcW w:w="8018" w:type="dxa"/>
            <w:tcBorders>
              <w:top w:val="nil"/>
              <w:left w:val="nil"/>
              <w:bottom w:val="nil"/>
              <w:right w:val="nil"/>
            </w:tcBorders>
          </w:tcPr>
          <w:p w14:paraId="071D57B8">
            <w:pPr>
              <w:ind w:firstLine="0" w:firstLineChars="0"/>
              <w:jc w:val="left"/>
            </w:pPr>
            <w:r>
              <w:rPr>
                <w:rFonts w:hint="eastAsia"/>
              </w:rPr>
              <w:t xml:space="preserve">    </w:t>
            </w:r>
            <w:r>
              <w:rPr>
                <w:rFonts w:hint="eastAsia"/>
                <w:b/>
                <w:bCs/>
              </w:rPr>
              <w:t>if</w:t>
            </w:r>
            <w:r>
              <w:rPr>
                <w:rFonts w:hint="eastAsia"/>
              </w:rP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未被标记为异常 </w:t>
            </w:r>
            <w:r>
              <w:rPr>
                <w:rFonts w:hint="eastAsia"/>
                <w:b/>
                <w:bCs/>
              </w:rPr>
              <w:t>then</w:t>
            </w:r>
            <w:r>
              <w:rPr>
                <w:rFonts w:hint="eastAsia"/>
              </w:rPr>
              <w:t xml:space="preserve"> 保留至</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nil"/>
              <w:right w:val="single" w:color="auto" w:sz="4" w:space="0"/>
            </w:tcBorders>
          </w:tcPr>
          <w:p w14:paraId="0BBAF39B">
            <w:pPr>
              <w:ind w:firstLine="480"/>
            </w:pPr>
          </w:p>
        </w:tc>
      </w:tr>
      <w:tr w14:paraId="78BF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00A8B16">
            <w:pPr>
              <w:ind w:firstLine="0" w:firstLineChars="0"/>
              <w:jc w:val="center"/>
            </w:pPr>
            <w:r>
              <w:rPr>
                <w:rFonts w:hint="eastAsia"/>
              </w:rPr>
              <w:t>24</w:t>
            </w:r>
          </w:p>
        </w:tc>
        <w:tc>
          <w:tcPr>
            <w:tcW w:w="8018" w:type="dxa"/>
            <w:tcBorders>
              <w:top w:val="nil"/>
              <w:left w:val="nil"/>
              <w:bottom w:val="nil"/>
              <w:right w:val="nil"/>
            </w:tcBorders>
          </w:tcPr>
          <w:p w14:paraId="5F86CEF0">
            <w:pPr>
              <w:ind w:firstLine="0" w:firstLineChars="0"/>
              <w:jc w:val="left"/>
            </w:pPr>
            <w:r>
              <w:rPr>
                <w:rFonts w:hint="eastAsia"/>
                <w:b/>
                <w:bCs/>
              </w:rPr>
              <w:t>end for</w:t>
            </w:r>
          </w:p>
        </w:tc>
        <w:tc>
          <w:tcPr>
            <w:tcW w:w="382" w:type="dxa"/>
            <w:tcBorders>
              <w:top w:val="nil"/>
              <w:left w:val="nil"/>
              <w:bottom w:val="nil"/>
              <w:right w:val="single" w:color="auto" w:sz="4" w:space="0"/>
            </w:tcBorders>
          </w:tcPr>
          <w:p w14:paraId="51BDC872">
            <w:pPr>
              <w:ind w:firstLine="480"/>
            </w:pPr>
          </w:p>
        </w:tc>
      </w:tr>
      <w:tr w14:paraId="7FEC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EC9B4A6">
            <w:pPr>
              <w:ind w:firstLine="0" w:firstLineChars="0"/>
              <w:jc w:val="center"/>
            </w:pPr>
            <w:r>
              <w:rPr>
                <w:rFonts w:hint="eastAsia"/>
              </w:rPr>
              <w:t>25</w:t>
            </w:r>
          </w:p>
        </w:tc>
        <w:tc>
          <w:tcPr>
            <w:tcW w:w="8018" w:type="dxa"/>
            <w:tcBorders>
              <w:top w:val="nil"/>
              <w:left w:val="nil"/>
              <w:bottom w:val="nil"/>
              <w:right w:val="nil"/>
            </w:tcBorders>
          </w:tcPr>
          <w:p w14:paraId="0B241D06">
            <w:pPr>
              <w:ind w:firstLine="0" w:firstLineChars="0"/>
              <w:jc w:val="left"/>
            </w:pPr>
            <w:r>
              <w:rPr>
                <w:rFonts w:hint="eastAsia"/>
              </w:rPr>
              <w:t>对</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按查询相似度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降序排序，选取Top-K个文档</w:t>
            </w:r>
          </w:p>
        </w:tc>
        <w:tc>
          <w:tcPr>
            <w:tcW w:w="382" w:type="dxa"/>
            <w:tcBorders>
              <w:top w:val="nil"/>
              <w:left w:val="nil"/>
              <w:bottom w:val="nil"/>
              <w:right w:val="single" w:color="auto" w:sz="4" w:space="0"/>
            </w:tcBorders>
          </w:tcPr>
          <w:p w14:paraId="037A250F">
            <w:pPr>
              <w:ind w:firstLine="480"/>
            </w:pPr>
          </w:p>
        </w:tc>
      </w:tr>
      <w:tr w14:paraId="6389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single" w:color="auto" w:sz="4" w:space="0"/>
              <w:right w:val="nil"/>
            </w:tcBorders>
          </w:tcPr>
          <w:p w14:paraId="7820316E">
            <w:pPr>
              <w:ind w:firstLine="0" w:firstLineChars="0"/>
              <w:jc w:val="center"/>
            </w:pPr>
            <w:r>
              <w:rPr>
                <w:rFonts w:hint="eastAsia"/>
              </w:rPr>
              <w:t>26</w:t>
            </w:r>
          </w:p>
        </w:tc>
        <w:tc>
          <w:tcPr>
            <w:tcW w:w="8018" w:type="dxa"/>
            <w:tcBorders>
              <w:top w:val="nil"/>
              <w:left w:val="nil"/>
              <w:bottom w:val="single" w:color="auto" w:sz="4" w:space="0"/>
              <w:right w:val="nil"/>
            </w:tcBorders>
          </w:tcPr>
          <w:p w14:paraId="06153FCD">
            <w:pPr>
              <w:ind w:firstLine="0" w:firstLineChars="0"/>
              <w:jc w:val="left"/>
            </w:pPr>
            <w:r>
              <w:rPr>
                <w:rFonts w:hint="eastAsia"/>
              </w:rPr>
              <w:t xml:space="preserve">return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single" w:color="auto" w:sz="4" w:space="0"/>
              <w:right w:val="single" w:color="auto" w:sz="4" w:space="0"/>
            </w:tcBorders>
          </w:tcPr>
          <w:p w14:paraId="783D523E">
            <w:pPr>
              <w:ind w:firstLine="480"/>
            </w:pPr>
          </w:p>
        </w:tc>
      </w:tr>
    </w:tbl>
    <w:p w14:paraId="53714B5A">
      <w:pPr>
        <w:pStyle w:val="4"/>
      </w:pPr>
      <w:bookmarkStart w:id="114" w:name="_Toc25553"/>
      <w:r>
        <w:rPr>
          <w:rFonts w:hint="eastAsia"/>
        </w:rPr>
        <w:t>5.2.2</w:t>
      </w:r>
      <w:r>
        <w:rPr>
          <w:rFonts w:hint="eastAsia"/>
          <w:lang w:val="en-US" w:eastAsia="zh-CN"/>
        </w:rPr>
        <w:t xml:space="preserve">  </w:t>
      </w:r>
      <w:r>
        <w:rPr>
          <w:rFonts w:hint="eastAsia"/>
        </w:rPr>
        <w:t>检索扩展</w:t>
      </w:r>
      <w:bookmarkEnd w:id="114"/>
    </w:p>
    <w:p w14:paraId="3C64A0ED">
      <w:pPr>
        <w:ind w:firstLine="480"/>
      </w:pPr>
      <w:r>
        <w:rPr>
          <w:rFonts w:hint="eastAsia"/>
        </w:rPr>
        <w:t>在标准RAG流程中，检索模块针对用户查询</w:t>
      </w:r>
      <m:oMath>
        <m:r>
          <m:rPr/>
          <w:rPr>
            <w:rFonts w:ascii="Cambria Math" w:hAnsi="Cambria Math"/>
          </w:rPr>
          <m:t>q</m:t>
        </m:r>
      </m:oMath>
      <w:r>
        <w:rPr>
          <w:rFonts w:hint="eastAsia" w:hAnsi="Cambria Math"/>
        </w:rPr>
        <w:t>在知识库</w:t>
      </w:r>
      <m:oMath>
        <m:r>
          <m:rPr/>
          <w:rPr>
            <w:rFonts w:hint="eastAsia" w:ascii="Cambria Math" w:hAnsi="Cambria Math"/>
          </w:rPr>
          <m:t>D</m:t>
        </m:r>
      </m:oMath>
      <w:r>
        <w:rPr>
          <w:rFonts w:hint="eastAsia" w:hAnsi="Cambria Math"/>
        </w:rPr>
        <w:t>中按语义相似度返回Top-K支撑语料集合。投毒攻击能影响最终生成结果的必要前提是对抗段落在检索阶段进入该支撑语料集合，因此攻击者往往通过嵌入与查询高度相关的短语或词句以提升检索相似度，从而挤占</w:t>
      </w:r>
      <m:oMath>
        <m:r>
          <m:rPr/>
          <w:rPr>
            <w:rFonts w:hint="eastAsia" w:ascii="Cambria Math" w:hAnsi="Cambria Math"/>
          </w:rPr>
          <m:t>H</m:t>
        </m:r>
      </m:oMath>
      <w:r>
        <w:rPr>
          <w:rFonts w:hint="eastAsia" w:hAnsi="Cambria Math"/>
        </w:rPr>
        <w:t>的语料位次。本文在不改变RAG主流程的前提下引入检索扩展，将候选语段规模由K扩展为</w:t>
      </w:r>
      <w:r>
        <w:rPr>
          <w:rFonts w:ascii="Arial" w:hAnsi="Arial" w:cs="Arial"/>
        </w:rPr>
        <w:t>α</w:t>
      </w:r>
      <w:r>
        <w:rPr>
          <w:rFonts w:hint="eastAsia" w:hAnsi="Cambria Math"/>
        </w:rPr>
        <w:t>K（</w:t>
      </w:r>
      <w:r>
        <w:rPr>
          <w:rFonts w:ascii="Arial" w:hAnsi="Arial" w:cs="Arial"/>
        </w:rPr>
        <w:t>α</w:t>
      </w:r>
      <w:r>
        <w:rPr>
          <w:rFonts w:hint="eastAsia" w:ascii="Arial" w:hAnsi="Arial" w:cs="Arial"/>
        </w:rPr>
        <w:t>&gt;1</w:t>
      </w:r>
      <w:r>
        <w:rPr>
          <w:rFonts w:hint="eastAsia" w:hAnsi="Cambria Math"/>
        </w:rPr>
        <w:t>），得到支撑语料集合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ret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αK</m:t>
            </m:r>
            <m:ctrlPr>
              <w:rPr>
                <w:rFonts w:ascii="Cambria Math" w:hAnsi="Cambria Math"/>
              </w:rPr>
            </m:ctrlPr>
          </m:sub>
        </m:sSub>
        <m:r>
          <m:rPr/>
          <w:rPr>
            <w:rFonts w:ascii="Cambria Math" w:hAnsi="Cambria Math"/>
          </w:rPr>
          <m:t>}</m:t>
        </m:r>
      </m:oMath>
      <w:r>
        <w:rPr>
          <w:rFonts w:hint="eastAsia" w:hAnsi="Cambria Math"/>
        </w:rPr>
        <w:t>。该步骤使得“异常聚集簇”与“正常证据相对分散”的结构差异更易显现，为后续嵌入空间异常检测提供更充分的样本。</w:t>
      </w:r>
    </w:p>
    <w:p w14:paraId="7B7E66C8">
      <w:pPr>
        <w:pStyle w:val="4"/>
      </w:pPr>
      <w:bookmarkStart w:id="115" w:name="_Toc24689"/>
      <w:r>
        <w:rPr>
          <w:rFonts w:hint="eastAsia"/>
        </w:rPr>
        <w:t>5.2.3</w:t>
      </w:r>
      <w:r>
        <w:rPr>
          <w:rFonts w:hint="eastAsia"/>
          <w:lang w:val="en-US" w:eastAsia="zh-CN"/>
        </w:rPr>
        <w:t xml:space="preserve">  </w:t>
      </w:r>
      <w:r>
        <w:rPr>
          <w:rFonts w:hint="eastAsia"/>
        </w:rPr>
        <w:t>嵌入空间异常检测</w:t>
      </w:r>
      <w:bookmarkEnd w:id="115"/>
    </w:p>
    <w:p w14:paraId="3B39F9D2">
      <w:pPr>
        <w:ind w:firstLine="480"/>
      </w:pPr>
      <w:r>
        <w:rPr>
          <w:rFonts w:hint="eastAsia"/>
        </w:rPr>
        <w:t>攻击者通过优化检索目标使多个投毒语段共同向同一语义中心靠拢，因此它们在向量空间中会表现为彼此间异常高的相似度，而正常语段即便与查询相关，在向量空间中彼此通常更分散，因此首先利用候选语段在嵌入空间中的“异常聚集”特征进行过滤。具体地，对每个候选chunk计算文档嵌入</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，并构造候选集内部的两两相似度矩阵</w:t>
      </w:r>
      <m:oMath>
        <m:r>
          <m:rPr/>
          <w:rPr>
            <w:rFonts w:ascii="Cambria Math" w:hAnsi="Cambria Math"/>
          </w:rPr>
          <m:t>S∈</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αK×αK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rPr>
        <w:t>。基于矩阵</w:t>
      </w:r>
      <m:oMath>
        <m:r>
          <m:rPr/>
          <w:rPr>
            <w:rFonts w:ascii="Cambria Math" w:hAnsi="Cambria Math"/>
          </w:rPr>
          <m:t>S</m:t>
        </m:r>
      </m:oMath>
      <w:r>
        <w:rPr>
          <w:rFonts w:hint="eastAsia"/>
        </w:rPr>
        <w:t>，依次考察所有候选语段</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i</m:t>
            </m:r>
            <m:ctrlPr>
              <w:rPr>
                <w:rFonts w:ascii="Cambria Math" w:hAnsi="Cambria Math"/>
              </w:rPr>
            </m:ctrlPr>
          </m:sub>
        </m:sSub>
      </m:oMath>
      <w:r>
        <w:rPr>
          <w:rFonts w:hint="eastAsia"/>
        </w:rPr>
        <w:t>的文档间平均相似度与最大相似度：</w:t>
      </w:r>
    </w:p>
    <w:p w14:paraId="3A31CE2C">
      <w:pPr>
        <w:pStyle w:val="86"/>
        <w:ind w:firstLine="480"/>
        <w:rPr>
          <w:rFonts w:hint="default"/>
          <w:b w:val="0"/>
          <w:i w:val="0"/>
          <w:lang w:val="en-US" w:eastAsia="zh-CN"/>
        </w:rPr>
      </w:pPr>
      <m:oMathPara>
        <m:oMath>
          <m:eqArr>
            <m:eqArrPr>
              <m:maxDist m:val="1"/>
              <m:ctrlPr>
                <w:rPr>
                  <w:rFonts w:hint="eastAsia"/>
                  <w:b w:val="0"/>
                  <w:i w:val="0"/>
                  <w:lang w:val="en-US" w:eastAsia="zh-CN"/>
                </w:rPr>
              </m:ctrlPr>
            </m:eqArrPr>
            <m:e>
              <m:sSub>
                <m:sSubPr/>
                <m:e>
                  <m:acc>
                    <m:accPr>
                      <m:chr m:val="̅"/>
                    </m:accPr>
                    <m:e>
                      <m:r>
                        <m:rPr/>
                        <m:t>s</m:t>
                      </m:r>
                    </m:e>
                  </m:acc>
                </m:e>
                <m:sub>
                  <m:r>
                    <m:rPr/>
                    <m:t>i</m:t>
                  </m:r>
                </m:sub>
              </m:sSub>
              <m:r>
                <m:rPr>
                  <m:sty m:val="p"/>
                </m:rPr>
                <m:t>=</m:t>
              </m:r>
              <m:f>
                <m:fPr/>
                <m:num>
                  <m:r>
                    <m:rPr>
                      <m:sty m:val="p"/>
                    </m:rPr>
                    <m:t>1</m:t>
                  </m:r>
                </m:num>
                <m:den>
                  <m:r>
                    <m:rPr/>
                    <m:t>αK</m:t>
                  </m:r>
                  <m:r>
                    <m:rPr>
                      <m:sty m:val="p"/>
                    </m:rPr>
                    <m:t>−1</m:t>
                  </m:r>
                </m:den>
              </m:f>
              <m:nary>
                <m:naryPr>
                  <m:chr m:val="∑"/>
                  <m:grow m:val="1"/>
                  <m:limLoc m:val="undOvr"/>
                  <m:supHide m:val="1"/>
                </m:naryPr>
                <m:sub>
                  <m:r>
                    <m:rPr/>
                    <m:t>j</m:t>
                  </m:r>
                  <m:r>
                    <m:rPr>
                      <m:sty m:val="p"/>
                    </m:rPr>
                    <m:t>≠</m:t>
                  </m:r>
                  <m:r>
                    <m:rPr/>
                    <m:t>i</m:t>
                  </m:r>
                </m:sub>
                <m:sup/>
                <m:e>
                  <m:r>
                    <m:rPr>
                      <m:sty m:val="p"/>
                    </m:rPr>
                    <m:t> </m:t>
                  </m:r>
                </m:e>
              </m:nary>
              <m:sSub>
                <m:sSubPr/>
                <m:e>
                  <m:r>
                    <m:rPr/>
                    <m:t>S</m:t>
                  </m:r>
                </m:e>
                <m:sub>
                  <m:r>
                    <m:rPr/>
                    <m:t>ij</m:t>
                  </m:r>
                </m:sub>
              </m:sSub>
              <m:r>
                <m:rPr>
                  <m:sty m:val="p"/>
                </m:rPr>
                <m:t>,</m:t>
              </m:r>
              <m:sSubSup>
                <m:sSubSupPr/>
                <m:e>
                  <m:r>
                    <m:rPr/>
                    <m:t>s</m:t>
                  </m:r>
                </m:e>
                <m:sub>
                  <m:r>
                    <m:rPr/>
                    <m:t>i</m:t>
                  </m:r>
                </m:sub>
                <m:sup>
                  <m:r>
                    <m:rPr/>
                    <m:t>max</m:t>
                  </m:r>
                </m:sup>
              </m:sSubSup>
              <m:r>
                <m:rPr>
                  <m:sty m:val="p"/>
                </m:rPr>
                <m:t>=</m:t>
              </m:r>
              <m:limLow>
                <m:limLowPr/>
                <m:e>
                  <m:r>
                    <m:rPr/>
                    <m:t>max</m:t>
                  </m:r>
                </m:e>
                <m:lim>
                  <m:r>
                    <m:rPr/>
                    <m:t>j</m:t>
                  </m:r>
                  <m:r>
                    <m:rPr>
                      <m:sty m:val="p"/>
                    </m:rPr>
                    <m:t>≠</m:t>
                  </m:r>
                  <m:r>
                    <m:rPr/>
                    <m:t>i</m:t>
                  </m:r>
                </m:lim>
              </m:limLow>
              <m:r>
                <m:rPr>
                  <m:sty m:val="p"/>
                </m:rPr>
                <m:t> </m:t>
              </m:r>
              <m:sSub>
                <m:sSubPr/>
                <m:e>
                  <m:r>
                    <m:rPr/>
                    <m:t>S</m:t>
                  </m:r>
                </m:e>
                <m:sub>
                  <m:r>
                    <m:rPr/>
                    <m:t>ij</m:t>
                  </m:r>
                </m:sub>
              </m:sSub>
              <m:r>
                <m:rPr>
                  <m:sty m:val="p"/>
                </m:rPr>
                <w:rPr>
                  <w:rFonts w:hint="default"/>
                  <w:lang w:val="en-US" w:eastAsia="zh-CN"/>
                </w:rPr>
                <m:t>#</m:t>
              </m:r>
              <m:r>
                <m:rPr>
                  <m:sty m:val="p"/>
                </m:rPr>
                <w:rPr>
                  <w:rFonts w:hint="eastAsia"/>
                  <w:lang w:val="en-US" w:eastAsia="zh-CN"/>
                </w:rPr>
                <m:t>（</m:t>
              </m:r>
              <m:r>
                <m:rPr>
                  <m:sty m:val="p"/>
                </m:rPr>
                <w:rPr>
                  <w:rFonts w:hint="default"/>
                  <w:lang w:val="en-US" w:eastAsia="zh-CN"/>
                </w:rPr>
                <m:t>5−1</m:t>
              </m:r>
              <m:r>
                <m:rPr>
                  <m:sty m:val="p"/>
                </m:rPr>
                <w:rPr>
                  <w:rFonts w:hint="eastAsia"/>
                  <w:lang w:val="en-US" w:eastAsia="zh-CN"/>
                </w:rPr>
                <m:t>）</m:t>
              </m:r>
              <m:ctrlPr>
                <w:rPr>
                  <w:rFonts w:hint="eastAsia"/>
                  <w:b w:val="0"/>
                  <w:i w:val="0"/>
                  <w:lang w:val="en-US" w:eastAsia="zh-CN"/>
                </w:rPr>
              </m:ctrlPr>
            </m:e>
          </m:eqArr>
        </m:oMath>
      </m:oMathPara>
    </w:p>
    <w:p w14:paraId="23BF4281">
      <w:pPr>
        <w:ind w:firstLine="0" w:firstLineChars="0"/>
      </w:pPr>
      <w:r>
        <w:rPr>
          <w:rFonts w:hint="eastAsia"/>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用于刻画“整体聚集程度”，</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oMath>
      <w:r>
        <w:rPr>
          <w:rFonts w:hint="eastAsia"/>
        </w:rPr>
        <w:t>用于捕捉“异常高的成对相似”。阈值方面，从知识库随机采样参考集合</w:t>
      </w:r>
      <m:oMath>
        <m:r>
          <m:rPr>
            <m:scr m:val="script"/>
          </m:rPr>
          <w:rPr>
            <w:rFonts w:ascii="Cambria Math" w:hAnsi="Cambria Math"/>
          </w:rPr>
          <m:t>S</m:t>
        </m:r>
      </m:oMath>
      <w:r>
        <w:rPr>
          <w:rFonts w:hint="eastAsia"/>
        </w:rPr>
        <w:t>估计正常语段的经验分布</w:t>
      </w:r>
      <m:oMath>
        <m:acc>
          <m:accPr>
            <m:chr m:val="̅"/>
            <m:ctrlPr>
              <w:rPr>
                <w:rFonts w:ascii="Cambria Math" w:hAnsi="Cambria Math"/>
              </w:rPr>
            </m:ctrlPr>
          </m:accPr>
          <m:e>
            <m:r>
              <m:rPr/>
              <w:rPr>
                <w:rFonts w:ascii="Cambria Math" w:hAnsi="Cambria Math"/>
              </w:rPr>
              <m:t>s</m:t>
            </m:r>
            <m:ctrlPr>
              <w:rPr>
                <w:rFonts w:ascii="Cambria Math" w:hAnsi="Cambria Math"/>
              </w:rPr>
            </m:ctrlPr>
          </m:e>
        </m:acc>
      </m:oMath>
      <w:r>
        <w:rPr>
          <w:rFonts w:hint="eastAsia"/>
        </w:rPr>
        <w:t>，并取其高分位数作为</w:t>
      </w:r>
      <m:oMath>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avg</m:t>
            </m:r>
            <m:ctrlPr>
              <w:rPr>
                <w:rFonts w:ascii="Cambria Math" w:hAnsi="Cambria Math"/>
              </w:rPr>
            </m:ctrlPr>
          </m:sub>
        </m:sSub>
      </m:oMath>
      <w:r>
        <w:rPr>
          <w:rFonts w:hint="eastAsia"/>
        </w:rPr>
        <w:t>，同时设置最大相似度阈值</w:t>
      </w:r>
      <m:oMath>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hint="eastAsia" w:ascii="Cambria Math" w:hAnsi="Cambria Math"/>
              </w:rPr>
              <m:t>max</m:t>
            </m:r>
            <m:ctrlPr>
              <w:rPr>
                <w:rFonts w:ascii="Cambria Math" w:hAnsi="Cambria Math"/>
              </w:rPr>
            </m:ctrlPr>
          </m:sub>
        </m:sSub>
      </m:oMath>
      <w:r>
        <w:rPr>
          <w:rFonts w:hint="eastAsia"/>
        </w:rPr>
        <w:t>为0.95。仅当</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avg</m:t>
            </m:r>
            <m:ctrlPr>
              <w:rPr>
                <w:rFonts w:ascii="Cambria Math" w:hAnsi="Cambria Math"/>
              </w:rPr>
            </m:ctrlPr>
          </m:sub>
        </m:sSub>
      </m:oMath>
      <w:r>
        <w:rPr>
          <w:rFonts w:hint="eastAsia"/>
        </w:rPr>
        <w:t>且</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oMath>
      <w:r>
        <w:rPr>
          <w:rFonts w:hint="eastAsia"/>
        </w:rPr>
        <w:t>时，认为候选集中该语段未呈现异常聚集模式并予以保留，否则判为可疑语段并过滤。</w:t>
      </w:r>
    </w:p>
    <w:p w14:paraId="7B672481">
      <w:pPr>
        <w:ind w:firstLine="0" w:firstLineChars="0"/>
      </w:pPr>
      <w:r>
        <w:tab/>
      </w:r>
      <w:r>
        <w:rPr>
          <w:rFonts w:hint="eastAsia"/>
        </w:rPr>
        <w:t>其次，为抑制“与查询异常接近”的过度检索优化，本阶段进一步检测查询—语段相似度的异常高值，判别离群程度。令查询嵌入为</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(q)</m:t>
        </m:r>
      </m:oMath>
      <w:r>
        <w:rPr>
          <w:rFonts w:hint="eastAsia"/>
        </w:rPr>
        <w:t>，计算每个候选语段与此次查询的相似度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，在本次检索返回的相似度集合</w:t>
      </w:r>
      <m:oMath>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上计算均值与标准差：</w:t>
      </w:r>
    </w:p>
    <w:p w14:paraId="5E634088">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t>μ</m:t>
                  </m:r>
                </m:e>
                <m:sub>
                  <m:r>
                    <m:rPr/>
                    <m:t>s</m:t>
                  </m:r>
                </m:sub>
              </m:sSub>
              <m:r>
                <m:rPr>
                  <m:sty m:val="p"/>
                </m:rPr>
                <m:t>=</m:t>
              </m:r>
              <m:f>
                <m:fPr/>
                <m:num>
                  <m:r>
                    <m:rPr>
                      <m:sty m:val="p"/>
                    </m:rPr>
                    <m:t>1</m:t>
                  </m:r>
                </m:num>
                <m:den>
                  <m:r>
                    <m:rPr/>
                    <m:t>αK</m:t>
                  </m:r>
                </m:den>
              </m:f>
              <m:nary>
                <m:naryPr>
                  <m:chr m:val="∑"/>
                  <m:grow m:val="1"/>
                  <m:limLoc m:val="undOvr"/>
                </m:naryPr>
                <m:sub>
                  <m:r>
                    <m:rPr/>
                    <m:t>i</m:t>
                  </m:r>
                  <m:r>
                    <m:rPr>
                      <m:sty m:val="p"/>
                    </m:rPr>
                    <m:t>=1</m:t>
                  </m:r>
                </m:sub>
                <m:sup>
                  <m:r>
                    <m:rPr/>
                    <m:t>αK</m:t>
                  </m:r>
                </m:sup>
                <m:e>
                  <m:r>
                    <m:rPr>
                      <m:sty m:val="p"/>
                    </m:rPr>
                    <m:t> </m:t>
                  </m:r>
                </m:e>
              </m:nary>
              <m:sSub>
                <m:sSubPr/>
                <m:e>
                  <m:r>
                    <m:rPr/>
                    <m:t>s</m:t>
                  </m:r>
                </m:e>
                <m:sub>
                  <m:r>
                    <m:rPr/>
                    <m:t>i</m:t>
                  </m:r>
                </m:sub>
              </m:sSub>
              <m:r>
                <m:rPr>
                  <m:sty m:val="p"/>
                </m:rPr>
                <m:t>,</m:t>
              </m:r>
              <m:sSub>
                <m:sSubPr/>
                <m:e>
                  <m:r>
                    <m:rPr/>
                    <m:t>σ</m:t>
                  </m:r>
                </m:e>
                <m:sub>
                  <m:r>
                    <m:rPr/>
                    <m:t>s</m:t>
                  </m:r>
                </m:sub>
              </m:sSub>
              <m:r>
                <m:rPr>
                  <m:sty m:val="p"/>
                </m:rPr>
                <m:t>=</m:t>
              </m:r>
              <m:rad>
                <m:radPr>
                  <m:degHide m:val="1"/>
                </m:radPr>
                <m:deg/>
                <m:e>
                  <m:f>
                    <m:fPr/>
                    <m:num>
                      <m:r>
                        <m:rPr>
                          <m:sty m:val="p"/>
                        </m:rPr>
                        <m:t>1</m:t>
                      </m:r>
                    </m:num>
                    <m:den>
                      <m:r>
                        <m:rPr/>
                        <m:t>αK</m:t>
                      </m:r>
                    </m:den>
                  </m:f>
                  <m:nary>
                    <m:naryPr>
                      <m:chr m:val="∑"/>
                      <m:grow m:val="1"/>
                      <m:limLoc m:val="undOvr"/>
                    </m:naryPr>
                    <m:sub>
                      <m:r>
                        <m:rPr/>
                        <m:t>i</m:t>
                      </m:r>
                      <m:r>
                        <m:rPr>
                          <m:sty m:val="p"/>
                        </m:rPr>
                        <m:t>=1</m:t>
                      </m:r>
                    </m:sub>
                    <m:sup>
                      <m:r>
                        <m:rPr/>
                        <m:t>αK</m:t>
                      </m:r>
                    </m:sup>
                    <m:e>
                      <m:r>
                        <m:rPr>
                          <m:sty m:val="p"/>
                        </m:rPr>
                        <m:t> </m:t>
                      </m:r>
                    </m:e>
                  </m:nary>
                  <m:r>
                    <m:rPr>
                      <m:sty m:val="p"/>
                    </m:rPr>
                    <m:t>(</m:t>
                  </m:r>
                  <m:sSub>
                    <m:sSubPr/>
                    <m:e>
                      <m:r>
                        <m:rPr/>
                        <m:t>s</m:t>
                      </m:r>
                    </m:e>
                    <m:sub>
                      <m:r>
                        <m:rPr/>
                        <m:t>i</m:t>
                      </m:r>
                    </m:sub>
                  </m:sSub>
                  <m:r>
                    <m:rPr>
                      <m:sty m:val="p"/>
                    </m:rPr>
                    <m:t>−</m:t>
                  </m:r>
                  <m:sSub>
                    <m:sSubPr/>
                    <m:e>
                      <m:r>
                        <m:rPr/>
                        <m:t>μ</m:t>
                      </m:r>
                    </m:e>
                    <m:sub>
                      <m:r>
                        <m:rPr/>
                        <m:t>s</m:t>
                      </m:r>
                    </m:sub>
                  </m:sSub>
                  <m:sSup>
                    <m:sSupPr/>
                    <m:e>
                      <m:r>
                        <m:rPr>
                          <m:sty m:val="p"/>
                        </m:rPr>
                        <m:t>)</m:t>
                      </m:r>
                    </m:e>
                    <m:sup>
                      <m:r>
                        <m:rPr>
                          <m:sty m:val="p"/>
                        </m:rPr>
                        <m:t>2</m:t>
                      </m:r>
                    </m:sup>
                  </m:sSup>
                </m:e>
              </m:rad>
              <m:r>
                <m:rPr>
                  <m:sty m:val="p"/>
                </m:rPr>
                <w:rPr>
                  <w:rFonts w:hint="default"/>
                  <w:lang w:val="en-US" w:eastAsia="zh-CN"/>
                </w:rPr>
                <m:t>#</m:t>
              </m:r>
              <m:r>
                <m:rPr>
                  <m:sty m:val="p"/>
                </m:rPr>
                <w:rPr>
                  <w:rFonts w:hint="eastAsia"/>
                  <w:lang w:val="en-US" w:eastAsia="zh-CN"/>
                </w:rPr>
                <m:t>（</m:t>
              </m:r>
              <m:r>
                <m:rPr>
                  <m:sty m:val="p"/>
                </m:rPr>
                <w:rPr>
                  <w:rFonts w:hint="default"/>
                  <w:lang w:val="en-US" w:eastAsia="zh-CN"/>
                </w:rPr>
                <m:t>5−2</m:t>
              </m:r>
              <m:r>
                <m:rPr>
                  <m:sty m:val="p"/>
                </m:rPr>
                <w:rPr>
                  <w:rFonts w:hint="eastAsia"/>
                  <w:lang w:val="en-US" w:eastAsia="zh-CN"/>
                </w:rPr>
                <m:t>）</m:t>
              </m:r>
              <m:ctrlPr>
                <w:rPr>
                  <w:rFonts w:hint="eastAsia"/>
                  <w:i w:val="0"/>
                  <w:lang w:val="en-US" w:eastAsia="zh-CN"/>
                </w:rPr>
              </m:ctrlPr>
            </m:e>
          </m:eqArr>
        </m:oMath>
      </m:oMathPara>
    </w:p>
    <w:p w14:paraId="25C53C7A">
      <w:pPr>
        <w:ind w:firstLine="0" w:firstLineChars="0"/>
      </w:pPr>
      <w:r>
        <w:t>并据此得到每个chunk的Z-score（标准化偏离程度）</w:t>
      </w:r>
      <w:r>
        <w:rPr>
          <w:rFonts w:hint="eastAsia"/>
        </w:rPr>
        <w:t>：</w:t>
      </w:r>
    </w:p>
    <w:p w14:paraId="26B3FF99">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t>z</m:t>
                  </m:r>
                </m:e>
                <m:sub>
                  <m:r>
                    <m:rPr/>
                    <m:t>i</m:t>
                  </m:r>
                </m:sub>
              </m:sSub>
              <m:r>
                <m:rPr>
                  <m:sty m:val="p"/>
                </m:rPr>
                <m:t>=</m:t>
              </m:r>
              <m:f>
                <m:fPr/>
                <m:num>
                  <m:sSub>
                    <m:sSubPr/>
                    <m:e>
                      <m:r>
                        <m:rPr/>
                        <m:t>s</m:t>
                      </m:r>
                    </m:e>
                    <m:sub>
                      <m:r>
                        <m:rPr/>
                        <m:t>i</m:t>
                      </m:r>
                    </m:sub>
                  </m:sSub>
                  <m:r>
                    <m:rPr>
                      <m:sty m:val="p"/>
                    </m:rPr>
                    <m:t>−</m:t>
                  </m:r>
                  <m:sSub>
                    <m:sSubPr/>
                    <m:e>
                      <m:r>
                        <m:rPr/>
                        <m:t>μ</m:t>
                      </m:r>
                    </m:e>
                    <m:sub>
                      <m:r>
                        <m:rPr/>
                        <m:t>s</m:t>
                      </m:r>
                    </m:sub>
                  </m:sSub>
                </m:num>
                <m:den>
                  <m:sSub>
                    <m:sSubPr/>
                    <m:e>
                      <m:r>
                        <m:rPr/>
                        <m:t>σ</m:t>
                      </m:r>
                    </m:e>
                    <m:sub>
                      <m:r>
                        <m:rPr/>
                        <m:t>s</m:t>
                      </m:r>
                    </m:sub>
                  </m:sSub>
                </m:den>
              </m:f>
              <m:r>
                <m:rPr>
                  <m:sty m:val="p"/>
                </m:rPr>
                <w:rPr>
                  <w:rFonts w:hint="default"/>
                  <w:lang w:val="en-US" w:eastAsia="zh-CN"/>
                </w:rPr>
                <m:t>#</m:t>
              </m:r>
              <m:r>
                <m:rPr>
                  <m:sty m:val="p"/>
                </m:rPr>
                <w:rPr>
                  <w:rFonts w:hint="eastAsia"/>
                  <w:lang w:val="en-US" w:eastAsia="zh-CN"/>
                </w:rPr>
                <m:t>（</m:t>
              </m:r>
              <m:r>
                <m:rPr>
                  <m:sty m:val="p"/>
                </m:rPr>
                <w:rPr>
                  <w:rFonts w:hint="default"/>
                  <w:lang w:val="en-US" w:eastAsia="zh-CN"/>
                </w:rPr>
                <m:t>5−3</m:t>
              </m:r>
              <m:r>
                <m:rPr>
                  <m:sty m:val="p"/>
                </m:rPr>
                <w:rPr>
                  <w:rFonts w:hint="eastAsia"/>
                  <w:lang w:val="en-US" w:eastAsia="zh-CN"/>
                </w:rPr>
                <m:t>）</m:t>
              </m:r>
              <m:ctrlPr>
                <w:rPr>
                  <w:rFonts w:hint="eastAsia"/>
                  <w:i w:val="0"/>
                  <w:lang w:val="en-US" w:eastAsia="zh-CN"/>
                </w:rPr>
              </m:ctrlPr>
            </m:e>
          </m:eqArr>
        </m:oMath>
      </m:oMathPara>
    </w:p>
    <w:p w14:paraId="1ACAACC5">
      <w:pPr>
        <w:ind w:firstLine="0" w:firstLineChars="0"/>
        <w:rPr>
          <w:rFonts w:hint="eastAsia" w:eastAsia="宋体"/>
          <w:lang w:eastAsia="zh-CN"/>
        </w:rPr>
      </w:pPr>
      <w:r>
        <w:rPr>
          <w:rFonts w:hint="eastAsia"/>
        </w:rPr>
        <w:t>当</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时，该语段相对同批候选呈现显著偏高的查询相似度，可视为异常。同时为拦截接近“完美匹配”的极端情况，设置绝对阈值</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sim</m:t>
            </m:r>
            <m:ctrlPr>
              <w:rPr>
                <w:rFonts w:ascii="Cambria Math" w:hAnsi="Cambria Math"/>
              </w:rPr>
            </m:ctrlPr>
          </m:sub>
        </m:sSub>
      </m:oMath>
      <w:r>
        <w:rPr>
          <w:rFonts w:hint="eastAsia"/>
        </w:rPr>
        <w:t>，若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sim</m:t>
            </m:r>
            <m:ctrlPr>
              <w:rPr>
                <w:rFonts w:ascii="Cambria Math" w:hAnsi="Cambria Math"/>
              </w:rPr>
            </m:ctrlPr>
          </m:sub>
        </m:sSub>
      </m:oMath>
      <w:r>
        <w:rPr>
          <w:rFonts w:hint="eastAsia"/>
        </w:rPr>
        <w:t>则直接判为异常并过滤。上述方法最终可剔除被攻击刻意优化、与查询异常贴近的可疑语段，并输出候选语段集合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hint="eastAsia" w:ascii="Cambria Math" w:hAnsi="Cambria Math"/>
              </w:rPr>
              <m:t>tmp</m:t>
            </m:r>
            <m:ctrlPr>
              <w:rPr>
                <w:rFonts w:ascii="Cambria Math" w:hAnsi="Cambria Math"/>
              </w:rPr>
            </m:ctrlPr>
          </m:sub>
        </m:sSub>
      </m:oMath>
      <w:r>
        <w:rPr>
          <w:rFonts w:hint="eastAsia" w:hAnsi="Cambria Math"/>
          <w:i w:val="0"/>
          <w:lang w:eastAsia="zh-CN"/>
        </w:rPr>
        <w:t>。</w:t>
      </w:r>
    </w:p>
    <w:p w14:paraId="6C52D14A">
      <w:pPr>
        <w:pStyle w:val="4"/>
      </w:pPr>
      <w:bookmarkStart w:id="116" w:name="_Toc13672"/>
      <w:r>
        <w:rPr>
          <w:rFonts w:hint="eastAsia"/>
        </w:rPr>
        <w:t>5.2.4</w:t>
      </w:r>
      <w:r>
        <w:rPr>
          <w:rFonts w:hint="eastAsia"/>
          <w:lang w:val="en-US" w:eastAsia="zh-CN"/>
        </w:rPr>
        <w:t xml:space="preserve">  </w:t>
      </w:r>
      <w:r>
        <w:rPr>
          <w:rFonts w:hint="eastAsia"/>
        </w:rPr>
        <w:t>句子级困惑度异常检测</w:t>
      </w:r>
      <w:bookmarkEnd w:id="116"/>
    </w:p>
    <w:p w14:paraId="4033E7EA">
      <w:pPr>
        <w:ind w:firstLine="480"/>
      </w:pPr>
      <w:r>
        <w:rPr>
          <w:rFonts w:hint="eastAsia"/>
        </w:rPr>
        <w:t>前一阶段通过文档间相互对比的“互查”形式完成了初步的异常检测。攻击者在同时优化“语言通顺性”和“检索可达性”时，容易在语段内部混入触发短语或误导性表达，从而造成局部语言风格与统计特征的不一致。因此本文在嵌入空间过滤之后进一步引入句子级困惑度异常检测的“自查”，在语段内部识别显著不自然的语句以增强对隐蔽性优化样本的识别能力。</w:t>
      </w:r>
    </w:p>
    <w:p w14:paraId="2254C25E">
      <w:pPr>
        <w:ind w:firstLine="480"/>
      </w:pPr>
      <w:r>
        <w:rPr>
          <w:rFonts w:hint="eastAsia"/>
        </w:rPr>
        <w:t>具体而言，对</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hint="eastAsia" w:ascii="Cambria Math" w:hAnsi="Cambria Math"/>
              </w:rPr>
              <m:t>tmp</m:t>
            </m:r>
            <m:ctrlPr>
              <w:rPr>
                <w:rFonts w:ascii="Cambria Math" w:hAnsi="Cambria Math"/>
              </w:rPr>
            </m:ctrlPr>
          </m:sub>
        </m:sSub>
      </m:oMath>
      <w:r>
        <w:rPr>
          <w:rFonts w:hint="eastAsia"/>
        </w:rPr>
        <w:t>中任一候选语段按标点将其划分为句子序列</w:t>
      </w:r>
      <m:oMath>
        <m:r>
          <m:rPr>
            <m:scr m:val="script"/>
          </m:rPr>
          <w:rPr>
            <w:rFonts w:ascii="Cambria Math" w:hAnsi="Cambria Math"/>
          </w:rPr>
          <m:t>S(</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w:rPr>
            <w:rFonts w:ascii="Cambria Math" w:hAnsi="Cambria Math"/>
          </w:rPr>
          <m:t>}</m:t>
        </m:r>
      </m:oMath>
      <w:r>
        <w:rPr>
          <w:rFonts w:hint="eastAsia"/>
        </w:rPr>
        <w:t>，然后使用预训练语言模型依次计算语段每个句子的困惑度</w:t>
      </w:r>
      <m:oMath>
        <m:r>
          <m:rPr>
            <m:sty m:val="p"/>
          </m:rPr>
          <w:rPr>
            <w:rFonts w:ascii="Cambria Math" w:hAnsi="Cambria Math"/>
          </w:rPr>
          <m:t>PPL</m:t>
        </m:r>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w:r>
        <w:rPr>
          <w:rFonts w:hint="eastAsia"/>
        </w:rPr>
        <w:t>：</w:t>
      </w:r>
    </w:p>
    <w:p w14:paraId="11654BFD">
      <w:pPr>
        <w:pStyle w:val="86"/>
        <w:ind w:firstLine="480"/>
        <w:rPr>
          <w:rFonts w:hint="eastAsia"/>
          <w:i w:val="0"/>
          <w:lang w:val="en-US" w:eastAsia="zh-CN"/>
        </w:rPr>
      </w:pPr>
      <m:oMathPara>
        <m:oMath>
          <m:eqArr>
            <m:eqArrPr>
              <m:maxDist m:val="1"/>
              <m:ctrlPr>
                <w:rPr>
                  <w:rFonts w:hint="eastAsia"/>
                  <w:i w:val="0"/>
                  <w:lang w:val="en-US" w:eastAsia="zh-CN"/>
                </w:rPr>
              </m:ctrlPr>
            </m:eqArrPr>
            <m:e>
              <m:r>
                <m:rPr>
                  <m:sty m:val="p"/>
                </m:rPr>
                <m:t>PPL</m:t>
              </m:r>
              <m:r>
                <m:rPr/>
                <m:t>(s)=</m:t>
              </m:r>
              <m:r>
                <m:rPr>
                  <m:sty m:val="p"/>
                </m:rPr>
                <m:t>exp</m:t>
              </m:r>
              <m:r>
                <m:rPr/>
                <m:t>⁡</m:t>
              </m:r>
              <m:d>
                <m:dPr/>
                <m:e>
                  <m:r>
                    <m:rPr/>
                    <m:t>−</m:t>
                  </m:r>
                  <m:f>
                    <m:fPr/>
                    <m:num>
                      <m:r>
                        <m:rPr/>
                        <m:t>1</m:t>
                      </m:r>
                    </m:num>
                    <m:den>
                      <m:r>
                        <m:rPr/>
                        <m:t>|s|</m:t>
                      </m:r>
                    </m:den>
                  </m:f>
                  <m:nary>
                    <m:naryPr>
                      <m:chr m:val="∑"/>
                      <m:grow m:val="1"/>
                      <m:limLoc m:val="undOvr"/>
                    </m:naryPr>
                    <m:sub>
                      <m:r>
                        <m:rPr/>
                        <m:t>t=1</m:t>
                      </m:r>
                    </m:sub>
                    <m:sup>
                      <m:r>
                        <m:rPr/>
                        <m:t>|s|</m:t>
                      </m:r>
                    </m:sup>
                    <m:e>
                      <m:r>
                        <m:rPr/>
                        <m:t> </m:t>
                      </m:r>
                    </m:e>
                  </m:nary>
                  <m:r>
                    <m:rPr>
                      <m:sty m:val="p"/>
                    </m:rPr>
                    <m:t>log</m:t>
                  </m:r>
                  <m:r>
                    <m:rPr/>
                    <m:t>⁡P</m:t>
                  </m:r>
                  <m:r>
                    <m:rPr>
                      <m:sty m:val="p"/>
                    </m:rPr>
                    <w:rPr>
                      <w:rFonts w:hint="default"/>
                      <w:lang w:val="en-US" w:eastAsia="zh-CN"/>
                    </w:rPr>
                    <m:t>(</m:t>
                  </m:r>
                  <m:sSub>
                    <m:sSubPr/>
                    <m:e>
                      <m:r>
                        <m:rPr/>
                        <m:t>w</m:t>
                      </m:r>
                    </m:e>
                    <m:sub>
                      <m:r>
                        <m:rPr/>
                        <m:t>t</m:t>
                      </m:r>
                    </m:sub>
                  </m:sSub>
                  <m:r>
                    <m:rPr/>
                    <m:t>∣</m:t>
                  </m:r>
                  <m:sSub>
                    <m:sSubPr/>
                    <m:e>
                      <m:r>
                        <m:rPr/>
                        <m:t>w</m:t>
                      </m:r>
                    </m:e>
                    <m:sub>
                      <m:r>
                        <m:rPr/>
                        <m:t>&lt;t</m:t>
                      </m:r>
                    </m:sub>
                  </m:sSub>
                  <m:r>
                    <m:rPr>
                      <m:sty m:val="p"/>
                    </m:rPr>
                    <w:rPr>
                      <w:rFonts w:hint="default"/>
                      <w:lang w:val="en-US" w:eastAsia="zh-CN"/>
                    </w:rPr>
                    <m:t>)</m:t>
                  </m:r>
                </m:e>
              </m:d>
              <m:r>
                <m:rPr>
                  <m:sty m:val="p"/>
                </m:rPr>
                <w:rPr>
                  <w:rFonts w:hint="default"/>
                  <w:lang w:val="en-US" w:eastAsia="zh-CN"/>
                </w:rPr>
                <m:t>#</m:t>
              </m:r>
              <m:r>
                <m:rPr>
                  <m:sty m:val="p"/>
                </m:rPr>
                <w:rPr>
                  <w:rFonts w:hint="eastAsia"/>
                  <w:lang w:val="en-US" w:eastAsia="zh-CN"/>
                </w:rPr>
                <m:t>（</m:t>
              </m:r>
              <m:r>
                <m:rPr>
                  <m:sty m:val="p"/>
                </m:rPr>
                <w:rPr>
                  <w:rFonts w:hint="default"/>
                  <w:lang w:val="en-US" w:eastAsia="zh-CN"/>
                </w:rPr>
                <m:t>5−4</m:t>
              </m:r>
              <m:r>
                <m:rPr>
                  <m:sty m:val="p"/>
                </m:rPr>
                <w:rPr>
                  <w:rFonts w:hint="eastAsia"/>
                  <w:lang w:val="en-US" w:eastAsia="zh-CN"/>
                </w:rPr>
                <m:t>）</m:t>
              </m:r>
              <m:ctrlPr>
                <w:rPr>
                  <w:rFonts w:hint="eastAsia"/>
                  <w:i w:val="0"/>
                  <w:lang w:val="en-US" w:eastAsia="zh-CN"/>
                </w:rPr>
              </m:ctrlPr>
            </m:e>
          </m:eqArr>
        </m:oMath>
      </m:oMathPara>
    </w:p>
    <w:p w14:paraId="36B51DAE">
      <w:pPr>
        <w:ind w:firstLine="0" w:firstLineChars="0"/>
      </w:pPr>
      <w:r>
        <w:rPr>
          <w:rFonts w:hint="eastAsia"/>
        </w:rPr>
        <w:t>并得到该语段困惑度集合</w:t>
      </w:r>
      <m:oMath>
        <m:r>
          <m:rPr>
            <m:sty m:val="p"/>
          </m:rPr>
          <w:rPr>
            <w:rFonts w:ascii="Cambria Math" w:hAnsi="Cambria Math"/>
          </w:rPr>
          <m:t>{PPL(</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j</m:t>
            </m:r>
            <m:r>
              <m:rPr>
                <m:sty m:val="p"/>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bSup>
      </m:oMath>
      <w:r>
        <w:rPr>
          <w:rFonts w:hint="eastAsia"/>
        </w:rPr>
        <w:t>。之后先在语段内计算句子困惑度均值</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与标准差</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，然后对每个句子计算标准化离群分数（Z-Score）：</w:t>
      </w:r>
    </w:p>
    <w:p w14:paraId="0D9ADF46">
      <w:pPr>
        <w:pStyle w:val="86"/>
        <w:ind w:firstLine="480"/>
        <w:rPr>
          <w:rFonts w:hint="eastAsia"/>
          <w:i w:val="0"/>
          <w:lang w:val="en-US" w:eastAsia="zh-CN"/>
        </w:rPr>
      </w:pPr>
      <m:oMathPara>
        <m:oMath>
          <m:eqArr>
            <m:eqArrPr>
              <m:maxDist m:val="1"/>
              <m:ctrlPr>
                <w:rPr>
                  <w:rFonts w:hint="eastAsia"/>
                  <w:i w:val="0"/>
                  <w:lang w:val="en-US" w:eastAsia="zh-CN"/>
                </w:rPr>
              </m:ctrlPr>
            </m:eqArrPr>
            <m:e>
              <m:sSub>
                <m:sSubPr/>
                <m:e>
                  <m:r>
                    <m:rPr/>
                    <m:t>z</m:t>
                  </m:r>
                </m:e>
                <m:sub>
                  <m:r>
                    <m:rPr/>
                    <m:t>i,j</m:t>
                  </m:r>
                </m:sub>
              </m:sSub>
              <m:r>
                <m:rPr/>
                <m:t>=</m:t>
              </m:r>
              <m:f>
                <m:fPr/>
                <m:num>
                  <m:r>
                    <m:rPr>
                      <m:sty m:val="p"/>
                    </m:rPr>
                    <m:t>PPL</m:t>
                  </m:r>
                  <m:r>
                    <m:rPr/>
                    <m:t>(</m:t>
                  </m:r>
                  <m:sSub>
                    <m:sSubPr/>
                    <m:e>
                      <m:r>
                        <m:rPr/>
                        <m:t>s</m:t>
                      </m:r>
                    </m:e>
                    <m:sub>
                      <m:r>
                        <m:rPr/>
                        <m:t>i,j</m:t>
                      </m:r>
                    </m:sub>
                  </m:sSub>
                  <m:r>
                    <m:rPr/>
                    <m:t>)−</m:t>
                  </m:r>
                  <m:sSub>
                    <m:sSubPr/>
                    <m:e>
                      <m:r>
                        <m:rPr/>
                        <m:t>μ</m:t>
                      </m:r>
                    </m:e>
                    <m:sub>
                      <m:r>
                        <m:rPr/>
                        <m:t>i</m:t>
                      </m:r>
                    </m:sub>
                  </m:sSub>
                </m:num>
                <m:den>
                  <m:sSub>
                    <m:sSubPr/>
                    <m:e>
                      <m:r>
                        <m:rPr/>
                        <m:t>σ</m:t>
                      </m:r>
                    </m:e>
                    <m:sub>
                      <m:r>
                        <m:rPr/>
                        <m:t>i</m:t>
                      </m:r>
                    </m:sub>
                  </m:sSub>
                  <m:r>
                    <m:rPr/>
                    <m:t>+ε</m:t>
                  </m:r>
                </m:den>
              </m:f>
              <m:r>
                <m:rPr>
                  <m:sty m:val="p"/>
                </m:rPr>
                <w:rPr>
                  <w:rFonts w:hint="default"/>
                  <w:lang w:val="en-US" w:eastAsia="zh-CN"/>
                </w:rPr>
                <m:t>#</m:t>
              </m:r>
              <m:r>
                <m:rPr>
                  <m:sty m:val="p"/>
                </m:rPr>
                <w:rPr>
                  <w:rFonts w:hint="eastAsia"/>
                  <w:lang w:val="en-US" w:eastAsia="zh-CN"/>
                </w:rPr>
                <m:t>（</m:t>
              </m:r>
              <m:r>
                <m:rPr>
                  <m:sty m:val="p"/>
                </m:rPr>
                <w:rPr>
                  <w:rFonts w:hint="default"/>
                  <w:lang w:val="en-US" w:eastAsia="zh-CN"/>
                </w:rPr>
                <m:t>5−5</m:t>
              </m:r>
              <m:r>
                <m:rPr>
                  <m:sty m:val="p"/>
                </m:rPr>
                <w:rPr>
                  <w:rFonts w:hint="eastAsia"/>
                  <w:lang w:val="en-US" w:eastAsia="zh-CN"/>
                </w:rPr>
                <m:t>）</m:t>
              </m:r>
              <m:ctrlPr>
                <w:rPr>
                  <w:rFonts w:hint="eastAsia"/>
                  <w:i w:val="0"/>
                  <w:lang w:val="en-US" w:eastAsia="zh-CN"/>
                </w:rPr>
              </m:ctrlPr>
            </m:e>
          </m:eqArr>
        </m:oMath>
      </m:oMathPara>
    </w:p>
    <w:p w14:paraId="0DE677EC">
      <w:pPr>
        <w:ind w:firstLine="0" w:firstLineChars="0"/>
      </w:pPr>
      <w:r>
        <w:rPr>
          <w:rFonts w:hint="eastAsia"/>
        </w:rPr>
        <w:t>其中</w:t>
      </w:r>
      <m:oMath>
        <m:r>
          <m:rPr/>
          <w:rPr>
            <w:rFonts w:ascii="Cambria Math" w:hAnsi="Cambria Math"/>
          </w:rPr>
          <m:t>ε</m:t>
        </m:r>
      </m:oMath>
      <w:r>
        <w:rPr>
          <w:rFonts w:hint="eastAsia"/>
        </w:rPr>
        <w:t>为极小常数用于分母稳定性。若存在句子满足</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（本文默认</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=2</m:t>
        </m:r>
      </m:oMath>
      <w:r>
        <w:rPr>
          <w:rFonts w:hint="eastAsia"/>
        </w:rPr>
        <w:t>），则认为该句子相对同一语段内其他句子呈现显著更高的困惑度，可视为“局部语言异常”，从候选集中剔除；否则保留该候选语段于最终集合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中。</w:t>
      </w:r>
    </w:p>
    <w:p w14:paraId="5D935739">
      <w:pPr>
        <w:ind w:firstLine="480"/>
      </w:pPr>
      <w:r>
        <w:rPr>
          <w:rFonts w:hint="eastAsia"/>
        </w:rPr>
        <w:t>在完成句子级困惑度过滤后，最终从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中按5.2.3节已计算的查询-语段相似度进行重排，选取Top-K条证据作为生成模型输入；若剩余语段不足K 条则直接全部传入，以保证在增强鲁棒性的同时维持检索证据的相关性与可用性。</w:t>
      </w:r>
    </w:p>
    <w:p w14:paraId="78861246">
      <w:pPr>
        <w:pStyle w:val="3"/>
        <w:spacing w:before="163" w:after="163"/>
      </w:pPr>
      <w:bookmarkStart w:id="117" w:name="_Toc21164"/>
      <w:r>
        <w:rPr>
          <w:rFonts w:hint="eastAsia"/>
        </w:rPr>
        <w:t>5</w:t>
      </w:r>
      <w:r>
        <w:t>.</w:t>
      </w:r>
      <w:r>
        <w:rPr>
          <w:rFonts w:hint="eastAsia"/>
        </w:rPr>
        <w:t>3  投毒防御护栏体系构建</w:t>
      </w:r>
      <w:bookmarkEnd w:id="117"/>
    </w:p>
    <w:p w14:paraId="4A780F3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RAG链路的关键增益来自“外部知识对生成的补充”，一旦毒化文档在检索阶段被召回并注入提示词，模型可能输出错误结论或有害言论。因此，仅将防御能力局限在单一环节往往会出现漏检、误杀、绕过的此消彼长之势：输入侧可能遭遇提示注入与恶意意图，检索侧可能命中毒化证据，输出侧又可能出现不合规或不可执行的指令文本。鉴于此，本文结合工业界护栏产品的通用分层思想，在5.2节提出的 “检索护栏”基础上进一步与开源输入护栏、输出护栏协同，在工程实现上配套“事前知识治理”与“事后响应”两类闭环能力，形成面向电力调度业务的全链路组合式防御框架。</w:t>
      </w:r>
    </w:p>
    <w:p w14:paraId="7AEBF6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输入护栏位于用户查询进入RAG系统之前，目标是尽可能阻断提示注入、越狱指令与异常输入形态对系统策略的操纵，避免攻击者通过对话侧绕过后续检索与输出治理。为此，输入护栏的构建遵循“先规范化、再判别、后净化”的处理逻辑，即在接受查询</w:t>
      </w:r>
      <m:oMath>
        <m:r>
          <m:rPr>
            <m:sty m:val="p"/>
          </m:rPr>
          <w:rPr>
            <w:rFonts w:hint="eastAsia" w:ascii="Times New Roman" w:hAnsi="Times New Roman"/>
          </w:rPr>
          <m:t>q</m:t>
        </m:r>
      </m:oMath>
      <w:r>
        <w:rPr>
          <w:rFonts w:hint="eastAsia"/>
        </w:rPr>
        <w:t>后首先对输入进行Unicode归一化、去除不可见字符与异常空白，降低利用零宽字符或编码伪装实现的策略绕过风险；其次在语义层面执行轻量化安全扫描与提示注入检测，并对包含代码片段、可疑正则触发串或明显与业务无关的攻击性主题进行规则化拦截；最后对输入中的敏感信息（如秘钥、个人信息等）执行识别与脱敏，避免模型泄露的风险。上述输入扫描器式的防护范式在开源护栏工具中较为常见，本文按电力调度业务的防护需求进行组合。</w:t>
      </w:r>
    </w:p>
    <w:p w14:paraId="495AEC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输出护栏承担“最后一公里”的风险兜底，起终点在于约束最终响应的安全边界、可审计性与业务可执行性。攻击者再投毒过程除了对于目标错误答案的引导，还可能在包含正确答案的支撑文档中注入无关内容甚至恶意内容。因此本文输出护栏同时覆盖三类检查：其一是内容安全与泄露风险检查，检测并拦截明显不当或攻击性内容，并对可以内容过滤或替换；其二是对齐与相关性检查，判定输出是否与用户问题一致、是否出现无关扩展；其三是“基于证据的输出一致性”检查，强制生成时附带证据引用、或对结论语句与证据片段做相似度/蕴含一致性判别，当检测到高风险不一致时触发重写策略。上述输出扫描器式能力同样在开源护栏体系中较为常见，可支撑本文电力业务场景下安全防护工程化需求。</w:t>
      </w:r>
    </w:p>
    <w:p w14:paraId="401D96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在上述输入与输出护栏之间，检索护栏承担承上启下的核心连接作用：一方面</w:t>
      </w:r>
      <w:r>
        <w:rPr>
          <w:rFonts w:hint="eastAsia"/>
          <w:lang w:eastAsia="zh-CN"/>
        </w:rPr>
        <w:t>，</w:t>
      </w:r>
      <w:r>
        <w:rPr>
          <w:rFonts w:hint="eastAsia"/>
        </w:rPr>
        <w:t>它接收通过输入护栏净化后的查询并作用于“证据入口”，在支撑语料进入LLM上下文前完成前置筛查；另一方面它输出的最终证据集合又为输出护栏的“基于证据一致性检查”提供了可依赖的参照基底。最终在不改变RAG主流程接口的前提下实现对毒化证据的前置阻断，并与输入、输出护栏共同构成纵深防御</w:t>
      </w:r>
      <w:r>
        <w:rPr>
          <w:rFonts w:hint="eastAsia"/>
          <w:lang w:val="en-US" w:eastAsia="zh-CN"/>
        </w:rPr>
        <w:t>框架</w:t>
      </w:r>
      <w:r>
        <w:rPr>
          <w:rFonts w:hint="eastAsia"/>
        </w:rPr>
        <w:t>。</w:t>
      </w:r>
    </w:p>
    <w:p w14:paraId="4A1F6FF7">
      <w:pPr>
        <w:pStyle w:val="3"/>
        <w:spacing w:before="163" w:after="163"/>
      </w:pPr>
      <w:bookmarkStart w:id="118" w:name="_Toc28754"/>
      <w:r>
        <w:rPr>
          <w:rFonts w:hint="eastAsia"/>
        </w:rPr>
        <w:t>5</w:t>
      </w:r>
      <w:r>
        <w:t>.</w:t>
      </w:r>
      <w:r>
        <w:rPr>
          <w:rFonts w:hint="eastAsia"/>
        </w:rPr>
        <w:t>4  实验与结果分析</w:t>
      </w:r>
      <w:bookmarkEnd w:id="118"/>
    </w:p>
    <w:p w14:paraId="33173750">
      <w:pPr>
        <w:pStyle w:val="4"/>
      </w:pPr>
      <w:bookmarkStart w:id="119" w:name="_Toc6456"/>
      <w:r>
        <w:rPr>
          <w:rFonts w:hint="eastAsia"/>
        </w:rPr>
        <w:t>5.4.1</w:t>
      </w:r>
      <w:r>
        <w:rPr>
          <w:rFonts w:hint="eastAsia"/>
          <w:lang w:val="en-US" w:eastAsia="zh-CN"/>
        </w:rPr>
        <w:t xml:space="preserve">  </w:t>
      </w:r>
      <w:r>
        <w:rPr>
          <w:rFonts w:hint="eastAsia"/>
        </w:rPr>
        <w:t>实验数据集</w:t>
      </w:r>
      <w:bookmarkEnd w:id="119"/>
    </w:p>
    <w:p w14:paraId="1CB1D713">
      <w:pPr>
        <w:ind w:firstLine="480"/>
      </w:pPr>
      <w:r>
        <w:rPr>
          <w:rFonts w:hint="eastAsia"/>
        </w:rPr>
        <w:t>为验证本章所提组合式防御框架在不同语料规模与领域差异下的有效性与通用性，本文沿用第四章攻击实验所采用的三个数据集，即 Natural Questions（NQ）、MS-MARCO 以及 PANDAX。三个数据集在语料来源、文本风格与规模上形成互补，且先前研究已用于对攻击效果进行对比与验证，因此在同一背景下能够更全面地反映防御方法在不同业务条件下的适用边界与鲁棒性。</w:t>
      </w:r>
    </w:p>
    <w:p w14:paraId="6D94B3AA">
      <w:pPr>
        <w:pStyle w:val="4"/>
      </w:pPr>
      <w:bookmarkStart w:id="120" w:name="_Toc12912"/>
      <w:r>
        <w:rPr>
          <w:rFonts w:hint="eastAsia"/>
        </w:rPr>
        <w:t>5.4.2</w:t>
      </w:r>
      <w:r>
        <w:rPr>
          <w:rFonts w:hint="eastAsia"/>
          <w:lang w:val="en-US" w:eastAsia="zh-CN"/>
        </w:rPr>
        <w:t xml:space="preserve">  </w:t>
      </w:r>
      <w:r>
        <w:rPr>
          <w:rFonts w:hint="eastAsia"/>
        </w:rPr>
        <w:t>攻击方法</w:t>
      </w:r>
      <w:bookmarkEnd w:id="120"/>
    </w:p>
    <w:p w14:paraId="7CBD70B3">
      <w:pPr>
        <w:ind w:firstLine="480"/>
      </w:pPr>
      <w:r>
        <w:rPr>
          <w:rFonts w:hint="eastAsia"/>
        </w:rPr>
        <w:t>在攻击侧，为覆盖知识库投毒最具代表性的三类操纵路径，本文选取 PoisonedRAG、PIA 与第四章提出的 BOGA-RAGP 三种攻击方法进行评测。</w:t>
      </w:r>
    </w:p>
    <w:p w14:paraId="0A996B42">
      <w:pPr>
        <w:ind w:firstLine="480"/>
      </w:pPr>
      <w:r>
        <w:rPr>
          <w:rFonts w:hint="eastAsia"/>
        </w:rPr>
        <w:t>PoisonedRAG 代表经典的基于梯度优化的定向知识库投毒，其核心流程是预先选定目标问题与目标答案，依次优化“易被检索命中”与“可控生成目标答案”的两个目标语段并拼接，从而诱导RAG系统输出攻击者指定内容。</w:t>
      </w:r>
    </w:p>
    <w:p w14:paraId="3AB46991">
      <w:pPr>
        <w:ind w:firstLine="480"/>
      </w:pPr>
      <w:r>
        <w:rPr>
          <w:rFonts w:hint="eastAsia"/>
        </w:rPr>
        <w:t>PIA 则代表提示注入类攻击，攻击者通过在输入或可被检索到的文本中嵌入对抗指令，试图覆盖系统原有任务约束并驱动生成器偏离正确回答方向。</w:t>
      </w:r>
    </w:p>
    <w:p w14:paraId="3642A80F">
      <w:pPr>
        <w:ind w:firstLine="480"/>
      </w:pPr>
      <w:r>
        <w:rPr>
          <w:rFonts w:hint="eastAsia"/>
        </w:rPr>
        <w:t>此外，BOGA-RAGP 面向严格黑盒投毒场景，以“检索命中”与“语义隐蔽性”为双目标进行优化，并通过遗传搜索生成用于注入知识库的对抗文档，从而在不依赖梯度信息的条件下稳定提升投毒文档的可达性并放大端到端生成失真。</w:t>
      </w:r>
    </w:p>
    <w:p w14:paraId="36360CC2">
      <w:pPr>
        <w:pStyle w:val="4"/>
      </w:pPr>
      <w:bookmarkStart w:id="121" w:name="_Toc7868"/>
      <w:r>
        <w:rPr>
          <w:rFonts w:hint="eastAsia"/>
        </w:rPr>
        <w:t>5.4.3</w:t>
      </w:r>
      <w:r>
        <w:rPr>
          <w:rFonts w:hint="eastAsia"/>
          <w:lang w:val="en-US" w:eastAsia="zh-CN"/>
        </w:rPr>
        <w:t xml:space="preserve">  </w:t>
      </w:r>
      <w:r>
        <w:rPr>
          <w:rFonts w:hint="eastAsia"/>
        </w:rPr>
        <w:t>防御基线方法</w:t>
      </w:r>
      <w:bookmarkEnd w:id="121"/>
    </w:p>
    <w:p w14:paraId="529448FD">
      <w:pPr>
        <w:ind w:firstLine="480"/>
      </w:pPr>
      <w:r>
        <w:rPr>
          <w:rFonts w:hint="eastAsia"/>
        </w:rPr>
        <w:t>为体现本章检索护栏相对现有代表性防御框架的增益，本文选取防御思路有一定差异的 RobustRAG、TrustRAG与 InstructRAG 三种方法作为对比基线。</w:t>
      </w:r>
    </w:p>
    <w:p w14:paraId="1DC0FBF0">
      <w:pPr>
        <w:ind w:firstLine="480"/>
      </w:pPr>
      <w:r>
        <w:rPr>
          <w:rFonts w:hint="eastAsia"/>
        </w:rPr>
        <w:t>RobustRAG将检索结果由“拼接后统一生成”改为“逐文档隔离生成—再安全聚合”，通过隔离恶意文档对单条响应的局部影响，并利用关键词聚合或解码聚合生成最终答案，从而提升系统在检索污染场景下的鲁棒性，且能够提供一定的可认证鲁棒保证。</w:t>
      </w:r>
    </w:p>
    <w:p w14:paraId="0F8DDA7E">
      <w:pPr>
        <w:ind w:firstLine="480"/>
      </w:pPr>
      <w:r>
        <w:rPr>
          <w:rFonts w:hint="eastAsia"/>
        </w:rPr>
        <w:t>TrustRAG的核心思想是在检索证据进入生成之前进行语义过滤与冲突消解，并通过同时引入内部与外部知识源来定位更可信的证据来源，从而在保持正常回答能力的同时降低被投毒证据误导的风险。</w:t>
      </w:r>
    </w:p>
    <w:p w14:paraId="5003BF02">
      <w:pPr>
        <w:ind w:firstLine="480"/>
      </w:pPr>
      <w:r>
        <w:rPr>
          <w:rFonts w:hint="eastAsia"/>
        </w:rPr>
        <w:t>InstructRAG则是利用模型自合成的去噪解释链作为监督信号，引导模型显式学习“如何从含噪检索文档中识别有效证据并推导答案”的过程，从而将传统 RAG 中隐式的抗噪能力转化为可学习、可验证的显式去噪推理能力。</w:t>
      </w:r>
    </w:p>
    <w:p w14:paraId="3AC38226">
      <w:pPr>
        <w:pStyle w:val="4"/>
      </w:pPr>
      <w:bookmarkStart w:id="122" w:name="_Toc5866"/>
      <w:r>
        <w:rPr>
          <w:rFonts w:hint="eastAsia"/>
        </w:rPr>
        <w:t>5.4.4</w:t>
      </w:r>
      <w:r>
        <w:rPr>
          <w:rFonts w:hint="eastAsia"/>
          <w:lang w:val="en-US" w:eastAsia="zh-CN"/>
        </w:rPr>
        <w:t xml:space="preserve">  </w:t>
      </w:r>
      <w:r>
        <w:rPr>
          <w:rFonts w:hint="eastAsia"/>
        </w:rPr>
        <w:t>实验设计</w:t>
      </w:r>
      <w:bookmarkEnd w:id="122"/>
    </w:p>
    <w:p w14:paraId="7964BE26">
      <w:pPr>
        <w:bidi w:val="0"/>
      </w:pPr>
      <w:r>
        <w:rPr>
          <w:rFonts w:hint="eastAsia"/>
        </w:rPr>
        <w:t>为保证对比的可控性与可复现性，本文沿用第四章默认的目标 RAG 系统配置，以 Contriever 作为检索器、以 GPT-4o 作为生成模型，形成统一的端到端评测管线。在此基础上，本章提出的检索护栏在不改变 RAG 主流程的前提下，将检索候选由 Top-K 扩展至 Top-</w:t>
      </w:r>
      <w:r>
        <w:t>α</w:t>
      </w:r>
      <w:r>
        <w:rPr>
          <w:rFonts w:hint="eastAsia"/>
        </w:rPr>
        <w:t>K（默认</w:t>
      </w:r>
      <w:r>
        <w:t>α</w:t>
      </w:r>
      <w:r>
        <w:rPr>
          <w:rFonts w:hint="eastAsia"/>
        </w:rPr>
        <w:t>=2，K=10），并在候选集上执行嵌入空间异常检测与句子级困惑度异常检测，最终重排回 Top-K 证据输入生成模型，以实现对投毒证据的前置阻断与鲁棒筛查。</w:t>
      </w:r>
    </w:p>
    <w:p w14:paraId="28DFA98C">
      <w:pPr>
        <w:ind w:firstLine="480"/>
      </w:pPr>
      <w:r>
        <w:rPr>
          <w:rFonts w:hint="eastAsia"/>
        </w:rPr>
        <w:t>本研究实验采用两项核心指标衡量防御效果，分别为检测准确率（Detection Accuracy，DACC）和输出准确率（Output Accuracy，OACC）。DACC用于衡量护栏对检索证据的整体判别正确程度，即将检索文本按真实标签划分为“投毒/良性”两类，检测准确率定义为“毒文本判毒”真正例与“净文本判净”的真负例的总数量在全部检测文本中的占比。OACC定义为正确回答数占总查询数的比例，若模型最终输出与数据集标注答案一致则记为一次正确，可用于衡量端到端问答可用性。</w:t>
      </w:r>
    </w:p>
    <w:p w14:paraId="27782F83">
      <w:pPr>
        <w:bidi w:val="0"/>
      </w:pPr>
      <w:r>
        <w:rPr>
          <w:rFonts w:hint="eastAsia"/>
        </w:rPr>
        <w:t>基于上述指标，首先开展基线防御效果对比实验，用以检验不同数据集与不同攻击方式下各类防御方法的整体鲁棒性。实验在NQ、MS-MARCO与PANDAX三数据集上分别进行，沿用第四章默认的目标RAG系统配置以保证可比性。对每个数据集先由其配套语料构建干净知识库与索引，然后分别采用PoisonedRAG、PIA与第四章提出的BOGA-RAGP生成投毒文本并注入形成污染版本。之后在污染知识库上分别部署TrustRAG、RobustRAG、InstructRAG与本文检索护栏进行防御对比。本文检索护栏在不改变RAG主流程接口的前提下，先执行检索扩展将Top-K扩展为Top-</w:t>
      </w:r>
      <w:r>
        <w:t>α</w:t>
      </w:r>
      <w:r>
        <w:rPr>
          <w:rFonts w:hint="eastAsia"/>
        </w:rPr>
        <w:t>K以稀释投毒命中并增加干净证据占比，默认取</w:t>
      </w:r>
      <w:r>
        <w:t>α</w:t>
      </w:r>
      <w:r>
        <w:rPr>
          <w:rFonts w:hint="eastAsia"/>
        </w:rPr>
        <w:t>=2且K=10，随后完成检测过滤与重排后再选取Top-K证据输入生成模型。最终在三个测试数据集上统计各方法的DACC和OACC，并汇总形成跨数据集、跨攻击方法的防御效果对比结果。</w:t>
      </w:r>
    </w:p>
    <w:p w14:paraId="48C36B4A">
      <w:pPr>
        <w:ind w:firstLine="480"/>
      </w:pPr>
      <w:r>
        <w:rPr>
          <w:rFonts w:hint="eastAsia"/>
        </w:rPr>
        <w:t>其次，本文进一步设计“检索扩展规模敏感性”消融，以检验在固定生成端证据条数K不变时，扩大检索候选规模N对整体防御效果的影响。具体而言，保持检索护栏其余步骤与阈值设置完全一致，仅将检索扩展后的候选集合规模N从5逐步增加至25，并在每种规模下统一重排回Top-K候选语段作为生成模型证据输入。该实验在PANDAX 数据集上进行，并在 PoisonedRAG、PIA 与 BOGA-RAGP 三类攻击条件下统计 DACC与 OACC 的变化趋势，用以刻画“扩大检索范围以稀释投毒命中并增强可过滤性”的边际收益与可能的误杀代价，从而为主实验中检索扩展超参数的选取提供依据。</w:t>
      </w:r>
    </w:p>
    <w:p w14:paraId="0BF7C04A">
      <w:pPr>
        <w:bidi w:val="0"/>
      </w:pPr>
      <w:r>
        <w:rPr>
          <w:rFonts w:hint="eastAsia"/>
        </w:rPr>
        <w:t>此外，本文开展组件消融实验以验证检索护栏内部关键模块及其与全链路护栏体系协同关系的必要性。本文设置四组剥离对照：第一组去掉检索扩展（即Top-</w:t>
      </w:r>
      <w:r>
        <w:t>α</w:t>
      </w:r>
      <w:r>
        <w:rPr>
          <w:rFonts w:hint="eastAsia"/>
        </w:rPr>
        <w:t>K检索退化为Top-K），用于验证该步骤对后续异常检测鲁棒性的贡献；第二组；第三组去掉句子级困惑度异常检测的“自查”模块，仅保留嵌入空间异常检测与重排，用于评估“局部语言风格断裂/困惑度跳变”这一段内信号的补充价值；第四组去掉输入护栏与输出护栏，仅保留本文所提检索护栏，检验“仅检索侧前置阻断”与“全链路组合式护栏”在整体 ASR 抑制上的差异。</w:t>
      </w:r>
      <w:r>
        <w:t>四组消融均在</w:t>
      </w:r>
      <w:r>
        <w:rPr>
          <w:rFonts w:hint="eastAsia"/>
        </w:rPr>
        <w:t>前述三个</w:t>
      </w:r>
      <w:r>
        <w:t>数据集</w:t>
      </w:r>
      <w:r>
        <w:rPr>
          <w:rFonts w:hint="eastAsia"/>
        </w:rPr>
        <w:t>以及</w:t>
      </w:r>
      <w:r>
        <w:t>相同攻击设置下运行，并与完整</w:t>
      </w:r>
      <w:r>
        <w:rPr>
          <w:rFonts w:hint="eastAsia"/>
        </w:rPr>
        <w:t>防御</w:t>
      </w:r>
      <w:r>
        <w:t>框架在 DACC 与</w:t>
      </w:r>
      <w:r>
        <w:rPr>
          <w:rFonts w:hint="eastAsia"/>
        </w:rPr>
        <w:t>OACC</w:t>
      </w:r>
      <w:r>
        <w:t>上进行对照，从而明确各组件在降低漏检与控制误杀之间的作用分工与协同增益。</w:t>
      </w:r>
    </w:p>
    <w:p w14:paraId="3A989885">
      <w:pPr>
        <w:ind w:firstLine="480"/>
      </w:pPr>
      <w:r>
        <w:t>最后，为评估组合式护栏在工程部署中的可用性，本文进一步开展运行时间开销实验，统计不同防御方法在在线推理链路中的额外计算成本。该实验与前述基线防御效果对比共享同一套数据集、同一套投毒知识库与同一批测试查询，即在NQ、MS-MARCO与PANDAX三数据集上针对第四章提出的BOGA-RAGP投毒场景，分别部署TrustRAG、RobustRAG、InstructRAG与本文方法，并在完成DACC</w:t>
      </w:r>
      <w:r>
        <w:rPr>
          <w:rFonts w:hint="eastAsia"/>
        </w:rPr>
        <w:t>、OACC</w:t>
      </w:r>
      <w:r>
        <w:t>统计的同时记录</w:t>
      </w:r>
      <w:r>
        <w:rPr>
          <w:rFonts w:hint="eastAsia"/>
        </w:rPr>
        <w:t>每查询</w:t>
      </w:r>
      <w:r>
        <w:t>端到端</w:t>
      </w:r>
      <w:r>
        <w:rPr>
          <w:rFonts w:hint="eastAsia"/>
        </w:rPr>
        <w:t>平均</w:t>
      </w:r>
      <w:r>
        <w:t>运行时间。</w:t>
      </w:r>
    </w:p>
    <w:p w14:paraId="0B2004A8">
      <w:pPr>
        <w:pStyle w:val="4"/>
      </w:pPr>
      <w:bookmarkStart w:id="123" w:name="_Toc2137"/>
      <w:r>
        <w:rPr>
          <w:rFonts w:hint="eastAsia"/>
        </w:rPr>
        <w:t>5.4.5</w:t>
      </w:r>
      <w:r>
        <w:rPr>
          <w:rFonts w:hint="eastAsia"/>
          <w:lang w:val="en-US" w:eastAsia="zh-CN"/>
        </w:rPr>
        <w:t xml:space="preserve">  </w:t>
      </w:r>
      <w:r>
        <w:rPr>
          <w:rFonts w:hint="eastAsia"/>
        </w:rPr>
        <w:t>实验结果与分析</w:t>
      </w:r>
      <w:bookmarkEnd w:id="123"/>
    </w:p>
    <w:p w14:paraId="665F4871">
      <w:pPr>
        <w:ind w:firstLine="480"/>
      </w:pPr>
      <w:r>
        <w:t>依据</w:t>
      </w:r>
      <w:r>
        <w:rPr>
          <w:rFonts w:hint="eastAsia"/>
        </w:rPr>
        <w:t>5</w:t>
      </w:r>
      <w:r>
        <w:t>.</w:t>
      </w:r>
      <w:r>
        <w:rPr>
          <w:rFonts w:hint="eastAsia"/>
        </w:rPr>
        <w:t>4</w:t>
      </w:r>
      <w:r>
        <w:t>.</w:t>
      </w:r>
      <w:r>
        <w:rPr>
          <w:rFonts w:hint="eastAsia"/>
        </w:rPr>
        <w:t>3</w:t>
      </w:r>
      <w:r>
        <w:t>节的实验</w:t>
      </w:r>
      <w:r>
        <w:rPr>
          <w:rFonts w:hint="eastAsia"/>
        </w:rPr>
        <w:t>设计</w:t>
      </w:r>
      <w:r>
        <w:t>，</w:t>
      </w:r>
      <w:r>
        <w:rPr>
          <w:rFonts w:hint="eastAsia"/>
        </w:rPr>
        <w:t>采用DACC与OACC</w:t>
      </w:r>
      <w:r>
        <w:t>作为核心评价指标，本节对跨数据集对比、</w:t>
      </w:r>
      <w:r>
        <w:rPr>
          <w:rFonts w:hint="eastAsia"/>
        </w:rPr>
        <w:t>参数</w:t>
      </w:r>
      <w:r>
        <w:t>消融、</w:t>
      </w:r>
      <w:r>
        <w:rPr>
          <w:rFonts w:hint="eastAsia"/>
        </w:rPr>
        <w:t>组件消融以及运行时间开销的</w:t>
      </w:r>
      <w:r>
        <w:t>实验结果进行展示分析。</w:t>
      </w:r>
    </w:p>
    <w:p w14:paraId="58FA8BEA">
      <w:pPr>
        <w:ind w:firstLine="480"/>
        <w:rPr>
          <w:rFonts w:hint="eastAsia"/>
        </w:rPr>
      </w:pPr>
      <w:r>
        <w:t>对比实验结果如表</w:t>
      </w:r>
      <w:r>
        <w:rPr>
          <w:rFonts w:hint="eastAsia"/>
        </w:rPr>
        <w:t>5</w:t>
      </w:r>
      <w:r>
        <w:t>-</w:t>
      </w:r>
      <w:r>
        <w:rPr>
          <w:rFonts w:hint="eastAsia"/>
        </w:rPr>
        <w:t>1</w:t>
      </w:r>
      <w:r>
        <w:t>所示。实验结果表明，本文提出的组合式检索护栏在 NQ、MS-MARCO 与 PANDAX 三个数据集上均取得了最优的防御效果，并且在 PoisonedRAG、PIA 与 BOGA-RAGP 三种攻击场景下</w:t>
      </w:r>
      <w:r>
        <w:rPr>
          <w:rFonts w:hint="eastAsia"/>
        </w:rPr>
        <w:t>均</w:t>
      </w:r>
      <w:r>
        <w:t>表现出较强的稳定性与泛化能力。在无攻击条件下</w:t>
      </w:r>
      <w:r>
        <w:rPr>
          <w:rFonts w:hint="eastAsia"/>
        </w:rPr>
        <w:t>指标与各基线方法基本保持一致，说明引入的检索护栏并未显著损伤系统在正常场景下的问答能力。在投毒攻击条件下，本文方法的优势则更加明显。以最强基线 TrustRAG 为参照，本文方法在各数据集、各攻击设置下的 DACC 提升幅度达到 4.1%-11.3%，OACC 提升幅度达到 6.5%-12.0%。尤其在 BOGA-RAGP 攻击下，本文方法在 NQ、MS-MARCO 与 PANDAX 上的 OACC均大于95%，显著优于现有方法。该结果表明，本文方法能够在不明显影响正常问答性能的前提下，有效识别并过滤投毒证据，从而在检索层面抑制污染文本进入生成上下文，最终提升端到端回答的正确性与鲁棒性。</w:t>
      </w:r>
    </w:p>
    <w:p w14:paraId="498BFB8E">
      <w:pPr>
        <w:ind w:firstLine="480"/>
        <w:rPr>
          <w:rFonts w:hint="eastAsia"/>
        </w:rPr>
      </w:pPr>
      <w:r>
        <w:rPr>
          <w:rFonts w:hint="eastAsia"/>
        </w:rPr>
        <w:t>参数消融结果如图5-</w:t>
      </w:r>
      <w:r>
        <w:rPr>
          <w:rFonts w:hint="eastAsia"/>
          <w:lang w:val="en-US" w:eastAsia="zh-CN"/>
        </w:rPr>
        <w:t>1</w:t>
      </w:r>
      <w:r>
        <w:rPr>
          <w:rFonts w:hint="eastAsia"/>
        </w:rPr>
        <w:t>所示。可以看出，随着检索扩展规模 N 从 5 增加到 25，本文方法在三种攻击场景下的 DACC 整体保持稳定，其中PoisonedRAG 场景下 DACC 由 92.4% 提升至 94.7%，PIA 场景下由 90.1% 提升至 92.8%，BOGA-RAGP 场景下由 90.6% 提升至 93.7%。扩大候选检索范围并不会显著改变护栏对单条文本的判别能力，其文本级检测性能总体较为稳健。相比之下，OACC对于参数N显著敏感。在 PoisonedRAG、PIA 与 BOGA-RAGP 三种攻击下，OACC 分别由 78.6%、76.3% 和 74.8% 显著提升至 97.3%、97.0% 和 95.2%，且在 N=20 左右后基本趋于稳定。该现象表明，增大检索扩展规模的主要作用并不在于显著提升“逐条判毒”的准确率，而在于为后续过滤阶段提供更大的候选文本池，使系统在剔除可疑证据后仍能保留足够数量的高质量干净文本，从而显著改善生成模型的最终回答质量。</w:t>
      </w:r>
    </w:p>
    <w:p w14:paraId="54C7488C">
      <w:pPr>
        <w:pStyle w:val="8"/>
        <w:keepNext/>
      </w:pPr>
      <w:r>
        <w:rPr>
          <w:rFonts w:hint="eastAsia"/>
        </w:rPr>
        <w:t>表5</w:t>
      </w:r>
      <w:r>
        <w:noBreakHyphen/>
      </w:r>
      <w:r>
        <w:fldChar w:fldCharType="begin"/>
      </w:r>
      <w:r>
        <w:instrText xml:space="preserve"> </w:instrText>
      </w:r>
      <w:r>
        <w:rPr>
          <w:rFonts w:hint="eastAsia"/>
        </w:rPr>
        <w:instrText xml:space="preserve">SEQ 表格 \* ARABIC \s 1</w:instrText>
      </w:r>
      <w:r>
        <w:instrText xml:space="preserve"> </w:instrText>
      </w:r>
      <w:r>
        <w:fldChar w:fldCharType="separate"/>
      </w:r>
      <w:r>
        <w:t>1</w:t>
      </w:r>
      <w:r>
        <w:fldChar w:fldCharType="end"/>
      </w:r>
      <w:r>
        <w:rPr>
          <w:rFonts w:hint="eastAsia"/>
        </w:rPr>
        <w:t xml:space="preserve"> 防御方法与基线方法的对比实验结果</w:t>
      </w:r>
    </w:p>
    <w:tbl>
      <w:tblPr>
        <w:tblStyle w:val="31"/>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2"/>
        <w:gridCol w:w="1430"/>
        <w:gridCol w:w="772"/>
        <w:gridCol w:w="772"/>
        <w:gridCol w:w="772"/>
        <w:gridCol w:w="772"/>
        <w:gridCol w:w="772"/>
        <w:gridCol w:w="772"/>
        <w:gridCol w:w="772"/>
        <w:gridCol w:w="772"/>
      </w:tblGrid>
      <w:tr w14:paraId="374E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single" w:color="auto" w:sz="12" w:space="0"/>
              <w:left w:val="nil"/>
              <w:bottom w:val="single" w:color="auto" w:sz="4" w:space="0"/>
              <w:right w:val="nil"/>
            </w:tcBorders>
            <w:vAlign w:val="center"/>
          </w:tcPr>
          <w:p w14:paraId="7C37017E">
            <w:pPr>
              <w:pStyle w:val="88"/>
              <w:bidi w:val="0"/>
            </w:pPr>
            <w:r>
              <w:rPr>
                <w:rFonts w:hint="eastAsia"/>
              </w:rPr>
              <w:t>数据集</w:t>
            </w:r>
          </w:p>
        </w:tc>
        <w:tc>
          <w:tcPr>
            <w:tcW w:w="1430" w:type="dxa"/>
            <w:vMerge w:val="restart"/>
            <w:tcBorders>
              <w:top w:val="single" w:color="auto" w:sz="12" w:space="0"/>
              <w:left w:val="nil"/>
              <w:bottom w:val="single" w:color="auto" w:sz="4" w:space="0"/>
              <w:right w:val="nil"/>
            </w:tcBorders>
            <w:vAlign w:val="center"/>
          </w:tcPr>
          <w:p w14:paraId="6541286C">
            <w:pPr>
              <w:pStyle w:val="88"/>
              <w:bidi w:val="0"/>
            </w:pPr>
            <w:r>
              <w:rPr>
                <w:rFonts w:hint="eastAsia"/>
              </w:rPr>
              <w:t>攻击方法</w:t>
            </w:r>
          </w:p>
        </w:tc>
        <w:tc>
          <w:tcPr>
            <w:tcW w:w="6176" w:type="dxa"/>
            <w:gridSpan w:val="8"/>
            <w:tcBorders>
              <w:top w:val="single" w:color="auto" w:sz="12" w:space="0"/>
              <w:left w:val="nil"/>
              <w:bottom w:val="nil"/>
              <w:right w:val="nil"/>
            </w:tcBorders>
            <w:vAlign w:val="center"/>
          </w:tcPr>
          <w:p w14:paraId="0FB89593">
            <w:pPr>
              <w:pStyle w:val="88"/>
              <w:bidi w:val="0"/>
            </w:pPr>
            <w:r>
              <w:rPr>
                <w:rFonts w:hint="eastAsia"/>
              </w:rPr>
              <w:t>防御方法</w:t>
            </w:r>
          </w:p>
        </w:tc>
      </w:tr>
      <w:tr w14:paraId="7DE6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single" w:color="auto" w:sz="4" w:space="0"/>
              <w:left w:val="nil"/>
              <w:bottom w:val="nil"/>
              <w:right w:val="nil"/>
            </w:tcBorders>
            <w:vAlign w:val="center"/>
          </w:tcPr>
          <w:p w14:paraId="65874D3B">
            <w:pPr>
              <w:pStyle w:val="88"/>
              <w:bidi w:val="0"/>
            </w:pPr>
          </w:p>
        </w:tc>
        <w:tc>
          <w:tcPr>
            <w:tcW w:w="1430" w:type="dxa"/>
            <w:vMerge w:val="continue"/>
            <w:tcBorders>
              <w:top w:val="single" w:color="auto" w:sz="4" w:space="0"/>
              <w:left w:val="nil"/>
              <w:bottom w:val="nil"/>
              <w:right w:val="nil"/>
            </w:tcBorders>
            <w:vAlign w:val="center"/>
          </w:tcPr>
          <w:p w14:paraId="12AAB524">
            <w:pPr>
              <w:pStyle w:val="88"/>
              <w:bidi w:val="0"/>
            </w:pPr>
          </w:p>
        </w:tc>
        <w:tc>
          <w:tcPr>
            <w:tcW w:w="1544" w:type="dxa"/>
            <w:gridSpan w:val="2"/>
            <w:tcBorders>
              <w:top w:val="nil"/>
              <w:left w:val="nil"/>
              <w:bottom w:val="single" w:color="auto" w:sz="4" w:space="0"/>
              <w:right w:val="nil"/>
            </w:tcBorders>
            <w:vAlign w:val="center"/>
          </w:tcPr>
          <w:p w14:paraId="39F3DE5A">
            <w:pPr>
              <w:pStyle w:val="88"/>
              <w:bidi w:val="0"/>
            </w:pPr>
            <w:r>
              <w:rPr>
                <w:rFonts w:hint="eastAsia"/>
              </w:rPr>
              <w:t>RobustRAG</w:t>
            </w:r>
          </w:p>
        </w:tc>
        <w:tc>
          <w:tcPr>
            <w:tcW w:w="1544" w:type="dxa"/>
            <w:gridSpan w:val="2"/>
            <w:tcBorders>
              <w:top w:val="nil"/>
              <w:left w:val="nil"/>
              <w:bottom w:val="single" w:color="auto" w:sz="4" w:space="0"/>
              <w:right w:val="nil"/>
            </w:tcBorders>
            <w:vAlign w:val="center"/>
          </w:tcPr>
          <w:p w14:paraId="5BA5E5FB">
            <w:pPr>
              <w:pStyle w:val="88"/>
              <w:bidi w:val="0"/>
            </w:pPr>
            <w:r>
              <w:rPr>
                <w:rFonts w:hint="eastAsia"/>
              </w:rPr>
              <w:t>InstructRAG</w:t>
            </w:r>
          </w:p>
        </w:tc>
        <w:tc>
          <w:tcPr>
            <w:tcW w:w="1544" w:type="dxa"/>
            <w:gridSpan w:val="2"/>
            <w:tcBorders>
              <w:top w:val="nil"/>
              <w:left w:val="nil"/>
              <w:bottom w:val="single" w:color="auto" w:sz="4" w:space="0"/>
              <w:right w:val="nil"/>
            </w:tcBorders>
            <w:vAlign w:val="center"/>
          </w:tcPr>
          <w:p w14:paraId="0674AC5F">
            <w:pPr>
              <w:pStyle w:val="88"/>
              <w:bidi w:val="0"/>
            </w:pPr>
            <w:r>
              <w:rPr>
                <w:rFonts w:hint="eastAsia"/>
              </w:rPr>
              <w:t>TrustRAG</w:t>
            </w:r>
          </w:p>
        </w:tc>
        <w:tc>
          <w:tcPr>
            <w:tcW w:w="1544" w:type="dxa"/>
            <w:gridSpan w:val="2"/>
            <w:tcBorders>
              <w:top w:val="nil"/>
              <w:left w:val="nil"/>
              <w:bottom w:val="single" w:color="auto" w:sz="4" w:space="0"/>
              <w:right w:val="nil"/>
            </w:tcBorders>
            <w:vAlign w:val="center"/>
          </w:tcPr>
          <w:p w14:paraId="4505785A">
            <w:pPr>
              <w:pStyle w:val="88"/>
              <w:bidi w:val="0"/>
            </w:pPr>
            <w:r>
              <w:rPr>
                <w:rFonts w:hint="eastAsia"/>
              </w:rPr>
              <w:t>本文方法</w:t>
            </w:r>
          </w:p>
        </w:tc>
      </w:tr>
      <w:tr w14:paraId="244E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single" w:color="auto" w:sz="4" w:space="0"/>
              <w:right w:val="nil"/>
            </w:tcBorders>
            <w:vAlign w:val="center"/>
          </w:tcPr>
          <w:p w14:paraId="1DF55F7B">
            <w:pPr>
              <w:pStyle w:val="88"/>
              <w:bidi w:val="0"/>
            </w:pPr>
          </w:p>
        </w:tc>
        <w:tc>
          <w:tcPr>
            <w:tcW w:w="1430" w:type="dxa"/>
            <w:vMerge w:val="continue"/>
            <w:tcBorders>
              <w:top w:val="nil"/>
              <w:left w:val="nil"/>
              <w:bottom w:val="single" w:color="auto" w:sz="4" w:space="0"/>
              <w:right w:val="nil"/>
            </w:tcBorders>
            <w:vAlign w:val="center"/>
          </w:tcPr>
          <w:p w14:paraId="695CB125">
            <w:pPr>
              <w:pStyle w:val="88"/>
              <w:bidi w:val="0"/>
            </w:pPr>
          </w:p>
        </w:tc>
        <w:tc>
          <w:tcPr>
            <w:tcW w:w="772" w:type="dxa"/>
            <w:tcBorders>
              <w:top w:val="single" w:color="auto" w:sz="4" w:space="0"/>
              <w:left w:val="nil"/>
              <w:bottom w:val="single" w:color="auto" w:sz="4" w:space="0"/>
              <w:right w:val="nil"/>
            </w:tcBorders>
            <w:vAlign w:val="center"/>
          </w:tcPr>
          <w:p w14:paraId="2404D2E0">
            <w:pPr>
              <w:pStyle w:val="88"/>
              <w:bidi w:val="0"/>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681AAD92">
            <w:pPr>
              <w:pStyle w:val="88"/>
              <w:bidi w:val="0"/>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62819DD7">
            <w:pPr>
              <w:pStyle w:val="88"/>
              <w:bidi w:val="0"/>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21913F36">
            <w:pPr>
              <w:pStyle w:val="88"/>
              <w:bidi w:val="0"/>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5C32C8FE">
            <w:pPr>
              <w:pStyle w:val="88"/>
              <w:bidi w:val="0"/>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235591F7">
            <w:pPr>
              <w:pStyle w:val="88"/>
              <w:bidi w:val="0"/>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24CD7478">
            <w:pPr>
              <w:pStyle w:val="88"/>
              <w:bidi w:val="0"/>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78F9DADC">
            <w:pPr>
              <w:pStyle w:val="88"/>
              <w:bidi w:val="0"/>
              <w:rPr>
                <w:sz w:val="20"/>
                <w:szCs w:val="22"/>
              </w:rPr>
            </w:pPr>
            <w:r>
              <w:rPr>
                <w:rFonts w:hint="eastAsia"/>
                <w:sz w:val="20"/>
                <w:szCs w:val="22"/>
              </w:rPr>
              <w:t>OACC</w:t>
            </w:r>
          </w:p>
        </w:tc>
      </w:tr>
      <w:tr w14:paraId="271D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single" w:color="auto" w:sz="4" w:space="0"/>
              <w:left w:val="nil"/>
              <w:bottom w:val="nil"/>
              <w:right w:val="nil"/>
            </w:tcBorders>
            <w:vAlign w:val="center"/>
          </w:tcPr>
          <w:p w14:paraId="63D894C9">
            <w:pPr>
              <w:pStyle w:val="88"/>
              <w:bidi w:val="0"/>
            </w:pPr>
            <w:r>
              <w:rPr>
                <w:rFonts w:hint="eastAsia"/>
              </w:rPr>
              <w:t>NQ</w:t>
            </w:r>
          </w:p>
        </w:tc>
        <w:tc>
          <w:tcPr>
            <w:tcW w:w="1430" w:type="dxa"/>
            <w:tcBorders>
              <w:top w:val="single" w:color="auto" w:sz="4" w:space="0"/>
              <w:left w:val="nil"/>
              <w:bottom w:val="nil"/>
              <w:right w:val="nil"/>
            </w:tcBorders>
            <w:vAlign w:val="center"/>
          </w:tcPr>
          <w:p w14:paraId="06D0BFC9">
            <w:pPr>
              <w:pStyle w:val="88"/>
              <w:bidi w:val="0"/>
            </w:pPr>
            <w:r>
              <w:rPr>
                <w:rFonts w:hint="eastAsia"/>
              </w:rPr>
              <w:t>无攻击</w:t>
            </w:r>
          </w:p>
        </w:tc>
        <w:tc>
          <w:tcPr>
            <w:tcW w:w="772" w:type="dxa"/>
            <w:tcBorders>
              <w:top w:val="single" w:color="auto" w:sz="4" w:space="0"/>
              <w:left w:val="nil"/>
              <w:bottom w:val="nil"/>
              <w:right w:val="nil"/>
            </w:tcBorders>
            <w:vAlign w:val="center"/>
          </w:tcPr>
          <w:p w14:paraId="115A308E">
            <w:pPr>
              <w:pStyle w:val="88"/>
              <w:bidi w:val="0"/>
            </w:pPr>
            <w:r>
              <w:rPr>
                <w:rFonts w:hint="eastAsia"/>
              </w:rPr>
              <w:t>NA</w:t>
            </w:r>
          </w:p>
        </w:tc>
        <w:tc>
          <w:tcPr>
            <w:tcW w:w="772" w:type="dxa"/>
            <w:tcBorders>
              <w:top w:val="single" w:color="auto" w:sz="4" w:space="0"/>
              <w:left w:val="nil"/>
              <w:bottom w:val="nil"/>
              <w:right w:val="nil"/>
            </w:tcBorders>
            <w:vAlign w:val="center"/>
          </w:tcPr>
          <w:p w14:paraId="4C056358">
            <w:pPr>
              <w:pStyle w:val="88"/>
              <w:bidi w:val="0"/>
            </w:pPr>
            <w:r>
              <w:rPr>
                <w:rFonts w:hint="eastAsia"/>
              </w:rPr>
              <w:t>100</w:t>
            </w:r>
          </w:p>
        </w:tc>
        <w:tc>
          <w:tcPr>
            <w:tcW w:w="772" w:type="dxa"/>
            <w:tcBorders>
              <w:top w:val="single" w:color="auto" w:sz="4" w:space="0"/>
              <w:left w:val="nil"/>
              <w:bottom w:val="nil"/>
              <w:right w:val="nil"/>
            </w:tcBorders>
            <w:vAlign w:val="center"/>
          </w:tcPr>
          <w:p w14:paraId="05C103CF">
            <w:pPr>
              <w:pStyle w:val="88"/>
              <w:bidi w:val="0"/>
            </w:pPr>
            <w:r>
              <w:rPr>
                <w:rFonts w:hint="eastAsia"/>
              </w:rPr>
              <w:t>NA</w:t>
            </w:r>
          </w:p>
        </w:tc>
        <w:tc>
          <w:tcPr>
            <w:tcW w:w="772" w:type="dxa"/>
            <w:tcBorders>
              <w:top w:val="single" w:color="auto" w:sz="4" w:space="0"/>
              <w:left w:val="nil"/>
              <w:bottom w:val="nil"/>
              <w:right w:val="nil"/>
            </w:tcBorders>
            <w:vAlign w:val="center"/>
          </w:tcPr>
          <w:p w14:paraId="58BBD1B2">
            <w:pPr>
              <w:pStyle w:val="88"/>
              <w:bidi w:val="0"/>
            </w:pPr>
            <w:r>
              <w:rPr>
                <w:rFonts w:hint="eastAsia"/>
              </w:rPr>
              <w:t>100</w:t>
            </w:r>
          </w:p>
        </w:tc>
        <w:tc>
          <w:tcPr>
            <w:tcW w:w="772" w:type="dxa"/>
            <w:tcBorders>
              <w:top w:val="single" w:color="auto" w:sz="4" w:space="0"/>
              <w:left w:val="nil"/>
              <w:bottom w:val="nil"/>
              <w:right w:val="nil"/>
            </w:tcBorders>
            <w:vAlign w:val="center"/>
          </w:tcPr>
          <w:p w14:paraId="38688E07">
            <w:pPr>
              <w:pStyle w:val="88"/>
              <w:bidi w:val="0"/>
            </w:pPr>
            <w:r>
              <w:rPr>
                <w:rFonts w:hint="eastAsia"/>
              </w:rPr>
              <w:t>NA</w:t>
            </w:r>
          </w:p>
        </w:tc>
        <w:tc>
          <w:tcPr>
            <w:tcW w:w="772" w:type="dxa"/>
            <w:tcBorders>
              <w:top w:val="single" w:color="auto" w:sz="4" w:space="0"/>
              <w:left w:val="nil"/>
              <w:bottom w:val="nil"/>
              <w:right w:val="nil"/>
            </w:tcBorders>
            <w:vAlign w:val="center"/>
          </w:tcPr>
          <w:p w14:paraId="1E1D7FC2">
            <w:pPr>
              <w:pStyle w:val="88"/>
              <w:bidi w:val="0"/>
            </w:pPr>
            <w:r>
              <w:rPr>
                <w:rFonts w:hint="eastAsia"/>
              </w:rPr>
              <w:t>100</w:t>
            </w:r>
          </w:p>
        </w:tc>
        <w:tc>
          <w:tcPr>
            <w:tcW w:w="772" w:type="dxa"/>
            <w:tcBorders>
              <w:top w:val="single" w:color="auto" w:sz="4" w:space="0"/>
              <w:left w:val="nil"/>
              <w:bottom w:val="nil"/>
              <w:right w:val="nil"/>
            </w:tcBorders>
            <w:vAlign w:val="center"/>
          </w:tcPr>
          <w:p w14:paraId="6CBAE774">
            <w:pPr>
              <w:pStyle w:val="88"/>
              <w:bidi w:val="0"/>
            </w:pPr>
            <w:r>
              <w:rPr>
                <w:rFonts w:hint="eastAsia"/>
              </w:rPr>
              <w:t>NA</w:t>
            </w:r>
          </w:p>
        </w:tc>
        <w:tc>
          <w:tcPr>
            <w:tcW w:w="772" w:type="dxa"/>
            <w:tcBorders>
              <w:top w:val="single" w:color="auto" w:sz="4" w:space="0"/>
              <w:left w:val="nil"/>
              <w:bottom w:val="nil"/>
              <w:right w:val="nil"/>
            </w:tcBorders>
            <w:vAlign w:val="center"/>
          </w:tcPr>
          <w:p w14:paraId="594E2CE6">
            <w:pPr>
              <w:pStyle w:val="88"/>
              <w:bidi w:val="0"/>
            </w:pPr>
            <w:r>
              <w:rPr>
                <w:rFonts w:hint="eastAsia"/>
              </w:rPr>
              <w:t>99.6</w:t>
            </w:r>
          </w:p>
        </w:tc>
      </w:tr>
      <w:tr w14:paraId="263E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2AFDE40E">
            <w:pPr>
              <w:pStyle w:val="88"/>
              <w:bidi w:val="0"/>
            </w:pPr>
          </w:p>
        </w:tc>
        <w:tc>
          <w:tcPr>
            <w:tcW w:w="1430" w:type="dxa"/>
            <w:tcBorders>
              <w:top w:val="nil"/>
              <w:left w:val="nil"/>
              <w:bottom w:val="nil"/>
              <w:right w:val="nil"/>
            </w:tcBorders>
            <w:vAlign w:val="center"/>
          </w:tcPr>
          <w:p w14:paraId="6922AA4D">
            <w:pPr>
              <w:pStyle w:val="88"/>
              <w:bidi w:val="0"/>
            </w:pPr>
            <w:r>
              <w:rPr>
                <w:rFonts w:hint="eastAsia"/>
              </w:rPr>
              <w:t>PoisonedRAG</w:t>
            </w:r>
          </w:p>
        </w:tc>
        <w:tc>
          <w:tcPr>
            <w:tcW w:w="772" w:type="dxa"/>
            <w:tcBorders>
              <w:top w:val="nil"/>
              <w:left w:val="nil"/>
              <w:bottom w:val="nil"/>
              <w:right w:val="nil"/>
            </w:tcBorders>
            <w:vAlign w:val="center"/>
          </w:tcPr>
          <w:p w14:paraId="71EC352B">
            <w:pPr>
              <w:pStyle w:val="88"/>
              <w:bidi w:val="0"/>
            </w:pPr>
            <w:r>
              <w:rPr>
                <w:rFonts w:hint="eastAsia"/>
              </w:rPr>
              <w:t>81.5</w:t>
            </w:r>
          </w:p>
        </w:tc>
        <w:tc>
          <w:tcPr>
            <w:tcW w:w="772" w:type="dxa"/>
            <w:tcBorders>
              <w:top w:val="nil"/>
              <w:left w:val="nil"/>
              <w:bottom w:val="nil"/>
              <w:right w:val="nil"/>
            </w:tcBorders>
            <w:vAlign w:val="center"/>
          </w:tcPr>
          <w:p w14:paraId="0DC0B3BA">
            <w:pPr>
              <w:pStyle w:val="88"/>
              <w:bidi w:val="0"/>
            </w:pPr>
            <w:r>
              <w:rPr>
                <w:rFonts w:hint="eastAsia"/>
              </w:rPr>
              <w:t>83.2</w:t>
            </w:r>
          </w:p>
        </w:tc>
        <w:tc>
          <w:tcPr>
            <w:tcW w:w="772" w:type="dxa"/>
            <w:tcBorders>
              <w:top w:val="nil"/>
              <w:left w:val="nil"/>
              <w:bottom w:val="nil"/>
              <w:right w:val="nil"/>
            </w:tcBorders>
            <w:vAlign w:val="center"/>
          </w:tcPr>
          <w:p w14:paraId="34BB98D9">
            <w:pPr>
              <w:pStyle w:val="88"/>
              <w:bidi w:val="0"/>
            </w:pPr>
            <w:r>
              <w:rPr>
                <w:rFonts w:hint="eastAsia"/>
              </w:rPr>
              <w:t>84.1</w:t>
            </w:r>
          </w:p>
        </w:tc>
        <w:tc>
          <w:tcPr>
            <w:tcW w:w="772" w:type="dxa"/>
            <w:tcBorders>
              <w:top w:val="nil"/>
              <w:left w:val="nil"/>
              <w:bottom w:val="nil"/>
              <w:right w:val="nil"/>
            </w:tcBorders>
            <w:vAlign w:val="center"/>
          </w:tcPr>
          <w:p w14:paraId="1BE3921A">
            <w:pPr>
              <w:pStyle w:val="88"/>
              <w:bidi w:val="0"/>
            </w:pPr>
            <w:r>
              <w:rPr>
                <w:rFonts w:hint="eastAsia"/>
              </w:rPr>
              <w:t>87.0</w:t>
            </w:r>
          </w:p>
        </w:tc>
        <w:tc>
          <w:tcPr>
            <w:tcW w:w="772" w:type="dxa"/>
            <w:tcBorders>
              <w:top w:val="nil"/>
              <w:left w:val="nil"/>
              <w:bottom w:val="nil"/>
              <w:right w:val="nil"/>
            </w:tcBorders>
            <w:vAlign w:val="center"/>
          </w:tcPr>
          <w:p w14:paraId="0468BE0D">
            <w:pPr>
              <w:pStyle w:val="88"/>
              <w:bidi w:val="0"/>
            </w:pPr>
            <w:r>
              <w:rPr>
                <w:rFonts w:hint="eastAsia"/>
              </w:rPr>
              <w:t>85.7</w:t>
            </w:r>
          </w:p>
        </w:tc>
        <w:tc>
          <w:tcPr>
            <w:tcW w:w="772" w:type="dxa"/>
            <w:tcBorders>
              <w:top w:val="nil"/>
              <w:left w:val="nil"/>
              <w:bottom w:val="nil"/>
              <w:right w:val="nil"/>
            </w:tcBorders>
            <w:vAlign w:val="center"/>
          </w:tcPr>
          <w:p w14:paraId="414F9A97">
            <w:pPr>
              <w:pStyle w:val="88"/>
              <w:bidi w:val="0"/>
            </w:pPr>
            <w:r>
              <w:rPr>
                <w:rFonts w:hint="eastAsia"/>
              </w:rPr>
              <w:t>87.5</w:t>
            </w:r>
          </w:p>
        </w:tc>
        <w:tc>
          <w:tcPr>
            <w:tcW w:w="772" w:type="dxa"/>
            <w:tcBorders>
              <w:top w:val="nil"/>
              <w:left w:val="nil"/>
              <w:bottom w:val="nil"/>
              <w:right w:val="nil"/>
            </w:tcBorders>
            <w:vAlign w:val="center"/>
          </w:tcPr>
          <w:p w14:paraId="25EA7098">
            <w:pPr>
              <w:pStyle w:val="88"/>
              <w:bidi w:val="0"/>
            </w:pPr>
            <w:r>
              <w:rPr>
                <w:rFonts w:hint="eastAsia"/>
              </w:rPr>
              <w:t>96.2</w:t>
            </w:r>
          </w:p>
        </w:tc>
        <w:tc>
          <w:tcPr>
            <w:tcW w:w="772" w:type="dxa"/>
            <w:tcBorders>
              <w:top w:val="nil"/>
              <w:left w:val="nil"/>
              <w:bottom w:val="nil"/>
              <w:right w:val="nil"/>
            </w:tcBorders>
            <w:vAlign w:val="center"/>
          </w:tcPr>
          <w:p w14:paraId="2DEE339D">
            <w:pPr>
              <w:pStyle w:val="88"/>
              <w:bidi w:val="0"/>
            </w:pPr>
            <w:r>
              <w:rPr>
                <w:rFonts w:hint="eastAsia"/>
              </w:rPr>
              <w:t>97.4</w:t>
            </w:r>
          </w:p>
        </w:tc>
      </w:tr>
      <w:tr w14:paraId="2A78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52E2B59F">
            <w:pPr>
              <w:pStyle w:val="88"/>
              <w:bidi w:val="0"/>
            </w:pPr>
          </w:p>
        </w:tc>
        <w:tc>
          <w:tcPr>
            <w:tcW w:w="1430" w:type="dxa"/>
            <w:tcBorders>
              <w:top w:val="nil"/>
              <w:left w:val="nil"/>
              <w:bottom w:val="nil"/>
              <w:right w:val="nil"/>
            </w:tcBorders>
            <w:vAlign w:val="center"/>
          </w:tcPr>
          <w:p w14:paraId="5E5E6934">
            <w:pPr>
              <w:pStyle w:val="88"/>
              <w:bidi w:val="0"/>
            </w:pPr>
            <w:r>
              <w:rPr>
                <w:rFonts w:hint="eastAsia"/>
              </w:rPr>
              <w:t>PIA</w:t>
            </w:r>
          </w:p>
        </w:tc>
        <w:tc>
          <w:tcPr>
            <w:tcW w:w="772" w:type="dxa"/>
            <w:tcBorders>
              <w:top w:val="nil"/>
              <w:left w:val="nil"/>
              <w:bottom w:val="nil"/>
              <w:right w:val="nil"/>
            </w:tcBorders>
            <w:vAlign w:val="center"/>
          </w:tcPr>
          <w:p w14:paraId="66F6E4ED">
            <w:pPr>
              <w:pStyle w:val="88"/>
              <w:bidi w:val="0"/>
            </w:pPr>
            <w:r>
              <w:rPr>
                <w:rFonts w:hint="eastAsia"/>
              </w:rPr>
              <w:t>77.9</w:t>
            </w:r>
          </w:p>
        </w:tc>
        <w:tc>
          <w:tcPr>
            <w:tcW w:w="772" w:type="dxa"/>
            <w:tcBorders>
              <w:top w:val="nil"/>
              <w:left w:val="nil"/>
              <w:bottom w:val="nil"/>
              <w:right w:val="nil"/>
            </w:tcBorders>
            <w:vAlign w:val="center"/>
          </w:tcPr>
          <w:p w14:paraId="28B94DA9">
            <w:pPr>
              <w:pStyle w:val="88"/>
              <w:bidi w:val="0"/>
            </w:pPr>
            <w:r>
              <w:rPr>
                <w:rFonts w:hint="eastAsia"/>
              </w:rPr>
              <w:t>81.6</w:t>
            </w:r>
          </w:p>
        </w:tc>
        <w:tc>
          <w:tcPr>
            <w:tcW w:w="772" w:type="dxa"/>
            <w:tcBorders>
              <w:top w:val="nil"/>
              <w:left w:val="nil"/>
              <w:bottom w:val="nil"/>
              <w:right w:val="nil"/>
            </w:tcBorders>
            <w:vAlign w:val="center"/>
          </w:tcPr>
          <w:p w14:paraId="67E52602">
            <w:pPr>
              <w:pStyle w:val="88"/>
              <w:bidi w:val="0"/>
            </w:pPr>
            <w:r>
              <w:rPr>
                <w:rFonts w:hint="eastAsia"/>
              </w:rPr>
              <w:t>84.7</w:t>
            </w:r>
          </w:p>
        </w:tc>
        <w:tc>
          <w:tcPr>
            <w:tcW w:w="772" w:type="dxa"/>
            <w:tcBorders>
              <w:top w:val="nil"/>
              <w:left w:val="nil"/>
              <w:bottom w:val="nil"/>
              <w:right w:val="nil"/>
            </w:tcBorders>
            <w:vAlign w:val="center"/>
          </w:tcPr>
          <w:p w14:paraId="5CEFFDDB">
            <w:pPr>
              <w:pStyle w:val="88"/>
              <w:bidi w:val="0"/>
            </w:pPr>
            <w:r>
              <w:rPr>
                <w:rFonts w:hint="eastAsia"/>
              </w:rPr>
              <w:t>87.0</w:t>
            </w:r>
          </w:p>
        </w:tc>
        <w:tc>
          <w:tcPr>
            <w:tcW w:w="772" w:type="dxa"/>
            <w:tcBorders>
              <w:top w:val="nil"/>
              <w:left w:val="nil"/>
              <w:bottom w:val="nil"/>
              <w:right w:val="nil"/>
            </w:tcBorders>
            <w:vAlign w:val="center"/>
          </w:tcPr>
          <w:p w14:paraId="7DEAA04F">
            <w:pPr>
              <w:pStyle w:val="88"/>
              <w:bidi w:val="0"/>
            </w:pPr>
            <w:r>
              <w:rPr>
                <w:rFonts w:hint="eastAsia"/>
              </w:rPr>
              <w:t>88.7</w:t>
            </w:r>
          </w:p>
        </w:tc>
        <w:tc>
          <w:tcPr>
            <w:tcW w:w="772" w:type="dxa"/>
            <w:tcBorders>
              <w:top w:val="nil"/>
              <w:left w:val="nil"/>
              <w:bottom w:val="nil"/>
              <w:right w:val="nil"/>
            </w:tcBorders>
            <w:vAlign w:val="center"/>
          </w:tcPr>
          <w:p w14:paraId="2D14EA2A">
            <w:pPr>
              <w:pStyle w:val="88"/>
              <w:bidi w:val="0"/>
            </w:pPr>
            <w:r>
              <w:rPr>
                <w:rFonts w:hint="eastAsia"/>
              </w:rPr>
              <w:t>91.0</w:t>
            </w:r>
          </w:p>
        </w:tc>
        <w:tc>
          <w:tcPr>
            <w:tcW w:w="772" w:type="dxa"/>
            <w:tcBorders>
              <w:top w:val="nil"/>
              <w:left w:val="nil"/>
              <w:bottom w:val="nil"/>
              <w:right w:val="nil"/>
            </w:tcBorders>
            <w:vAlign w:val="center"/>
          </w:tcPr>
          <w:p w14:paraId="166823A7">
            <w:pPr>
              <w:pStyle w:val="88"/>
              <w:bidi w:val="0"/>
            </w:pPr>
            <w:r>
              <w:rPr>
                <w:rFonts w:hint="eastAsia"/>
              </w:rPr>
              <w:t>93.0</w:t>
            </w:r>
          </w:p>
        </w:tc>
        <w:tc>
          <w:tcPr>
            <w:tcW w:w="772" w:type="dxa"/>
            <w:tcBorders>
              <w:top w:val="nil"/>
              <w:left w:val="nil"/>
              <w:bottom w:val="nil"/>
              <w:right w:val="nil"/>
            </w:tcBorders>
            <w:vAlign w:val="center"/>
          </w:tcPr>
          <w:p w14:paraId="342C81B4">
            <w:pPr>
              <w:pStyle w:val="88"/>
              <w:bidi w:val="0"/>
            </w:pPr>
            <w:r>
              <w:rPr>
                <w:rFonts w:hint="eastAsia"/>
              </w:rPr>
              <w:t>98.0</w:t>
            </w:r>
          </w:p>
        </w:tc>
      </w:tr>
      <w:tr w14:paraId="73DF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72A61DC2">
            <w:pPr>
              <w:pStyle w:val="88"/>
              <w:bidi w:val="0"/>
            </w:pPr>
          </w:p>
        </w:tc>
        <w:tc>
          <w:tcPr>
            <w:tcW w:w="1430" w:type="dxa"/>
            <w:tcBorders>
              <w:top w:val="nil"/>
              <w:left w:val="nil"/>
              <w:bottom w:val="nil"/>
              <w:right w:val="nil"/>
            </w:tcBorders>
            <w:vAlign w:val="center"/>
          </w:tcPr>
          <w:p w14:paraId="69D09622">
            <w:pPr>
              <w:pStyle w:val="88"/>
              <w:bidi w:val="0"/>
            </w:pPr>
            <w:r>
              <w:rPr>
                <w:rFonts w:hint="eastAsia"/>
              </w:rPr>
              <w:t>本文攻击</w:t>
            </w:r>
          </w:p>
        </w:tc>
        <w:tc>
          <w:tcPr>
            <w:tcW w:w="772" w:type="dxa"/>
            <w:tcBorders>
              <w:top w:val="nil"/>
              <w:left w:val="nil"/>
              <w:bottom w:val="nil"/>
              <w:right w:val="nil"/>
            </w:tcBorders>
            <w:vAlign w:val="center"/>
          </w:tcPr>
          <w:p w14:paraId="021C7D88">
            <w:pPr>
              <w:pStyle w:val="88"/>
              <w:bidi w:val="0"/>
            </w:pPr>
            <w:r>
              <w:rPr>
                <w:rFonts w:hint="eastAsia"/>
              </w:rPr>
              <w:t>77.0</w:t>
            </w:r>
          </w:p>
        </w:tc>
        <w:tc>
          <w:tcPr>
            <w:tcW w:w="772" w:type="dxa"/>
            <w:tcBorders>
              <w:top w:val="nil"/>
              <w:left w:val="nil"/>
              <w:bottom w:val="nil"/>
              <w:right w:val="nil"/>
            </w:tcBorders>
            <w:vAlign w:val="center"/>
          </w:tcPr>
          <w:p w14:paraId="1A088275">
            <w:pPr>
              <w:pStyle w:val="88"/>
              <w:bidi w:val="0"/>
            </w:pPr>
            <w:r>
              <w:rPr>
                <w:rFonts w:hint="eastAsia"/>
              </w:rPr>
              <w:t>79.8</w:t>
            </w:r>
          </w:p>
        </w:tc>
        <w:tc>
          <w:tcPr>
            <w:tcW w:w="772" w:type="dxa"/>
            <w:tcBorders>
              <w:top w:val="nil"/>
              <w:left w:val="nil"/>
              <w:bottom w:val="nil"/>
              <w:right w:val="nil"/>
            </w:tcBorders>
            <w:vAlign w:val="center"/>
          </w:tcPr>
          <w:p w14:paraId="538170E3">
            <w:pPr>
              <w:pStyle w:val="88"/>
              <w:bidi w:val="0"/>
            </w:pPr>
            <w:r>
              <w:rPr>
                <w:rFonts w:hint="eastAsia"/>
              </w:rPr>
              <w:t>80.5</w:t>
            </w:r>
          </w:p>
        </w:tc>
        <w:tc>
          <w:tcPr>
            <w:tcW w:w="772" w:type="dxa"/>
            <w:tcBorders>
              <w:top w:val="nil"/>
              <w:left w:val="nil"/>
              <w:bottom w:val="nil"/>
              <w:right w:val="nil"/>
            </w:tcBorders>
            <w:vAlign w:val="center"/>
          </w:tcPr>
          <w:p w14:paraId="27D48FA8">
            <w:pPr>
              <w:pStyle w:val="88"/>
              <w:bidi w:val="0"/>
            </w:pPr>
            <w:r>
              <w:rPr>
                <w:rFonts w:hint="eastAsia"/>
              </w:rPr>
              <w:t>82.6</w:t>
            </w:r>
          </w:p>
        </w:tc>
        <w:tc>
          <w:tcPr>
            <w:tcW w:w="772" w:type="dxa"/>
            <w:tcBorders>
              <w:top w:val="nil"/>
              <w:left w:val="nil"/>
              <w:bottom w:val="nil"/>
              <w:right w:val="nil"/>
            </w:tcBorders>
            <w:vAlign w:val="center"/>
          </w:tcPr>
          <w:p w14:paraId="2097D5AF">
            <w:pPr>
              <w:pStyle w:val="88"/>
              <w:bidi w:val="0"/>
            </w:pPr>
            <w:r>
              <w:rPr>
                <w:rFonts w:hint="eastAsia"/>
              </w:rPr>
              <w:t>84.9</w:t>
            </w:r>
          </w:p>
        </w:tc>
        <w:tc>
          <w:tcPr>
            <w:tcW w:w="772" w:type="dxa"/>
            <w:tcBorders>
              <w:top w:val="nil"/>
              <w:left w:val="nil"/>
              <w:bottom w:val="nil"/>
              <w:right w:val="nil"/>
            </w:tcBorders>
            <w:vAlign w:val="center"/>
          </w:tcPr>
          <w:p w14:paraId="7BED5025">
            <w:pPr>
              <w:pStyle w:val="88"/>
              <w:bidi w:val="0"/>
            </w:pPr>
            <w:r>
              <w:rPr>
                <w:rFonts w:hint="eastAsia"/>
              </w:rPr>
              <w:t>86.3</w:t>
            </w:r>
          </w:p>
        </w:tc>
        <w:tc>
          <w:tcPr>
            <w:tcW w:w="772" w:type="dxa"/>
            <w:tcBorders>
              <w:top w:val="nil"/>
              <w:left w:val="nil"/>
              <w:bottom w:val="nil"/>
              <w:right w:val="nil"/>
            </w:tcBorders>
            <w:vAlign w:val="center"/>
          </w:tcPr>
          <w:p w14:paraId="5A2896C6">
            <w:pPr>
              <w:pStyle w:val="88"/>
              <w:bidi w:val="0"/>
            </w:pPr>
            <w:r>
              <w:rPr>
                <w:rFonts w:hint="eastAsia"/>
              </w:rPr>
              <w:t>93.5</w:t>
            </w:r>
          </w:p>
        </w:tc>
        <w:tc>
          <w:tcPr>
            <w:tcW w:w="772" w:type="dxa"/>
            <w:tcBorders>
              <w:top w:val="nil"/>
              <w:left w:val="nil"/>
              <w:bottom w:val="nil"/>
              <w:right w:val="nil"/>
            </w:tcBorders>
            <w:vAlign w:val="center"/>
          </w:tcPr>
          <w:p w14:paraId="622D032B">
            <w:pPr>
              <w:pStyle w:val="88"/>
              <w:bidi w:val="0"/>
            </w:pPr>
            <w:r>
              <w:rPr>
                <w:rFonts w:hint="eastAsia"/>
              </w:rPr>
              <w:t>97.7</w:t>
            </w:r>
          </w:p>
        </w:tc>
      </w:tr>
      <w:tr w14:paraId="5575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nil"/>
              <w:left w:val="nil"/>
              <w:bottom w:val="nil"/>
              <w:right w:val="nil"/>
            </w:tcBorders>
            <w:vAlign w:val="center"/>
          </w:tcPr>
          <w:p w14:paraId="5DBCA46C">
            <w:pPr>
              <w:pStyle w:val="88"/>
              <w:bidi w:val="0"/>
            </w:pPr>
            <w:r>
              <w:rPr>
                <w:rFonts w:hint="eastAsia"/>
              </w:rPr>
              <w:t>MS-</w:t>
            </w:r>
            <w:r>
              <w:rPr>
                <w:rFonts w:hint="eastAsia"/>
              </w:rPr>
              <w:br w:type="textWrapping"/>
            </w:r>
            <w:r>
              <w:rPr>
                <w:rFonts w:hint="eastAsia"/>
              </w:rPr>
              <w:t>MARCO</w:t>
            </w:r>
          </w:p>
        </w:tc>
        <w:tc>
          <w:tcPr>
            <w:tcW w:w="1430" w:type="dxa"/>
            <w:tcBorders>
              <w:top w:val="nil"/>
              <w:left w:val="nil"/>
              <w:bottom w:val="nil"/>
              <w:right w:val="nil"/>
            </w:tcBorders>
            <w:vAlign w:val="center"/>
          </w:tcPr>
          <w:p w14:paraId="28FCB4E7">
            <w:pPr>
              <w:pStyle w:val="88"/>
              <w:bidi w:val="0"/>
            </w:pPr>
            <w:r>
              <w:rPr>
                <w:rFonts w:hint="eastAsia"/>
              </w:rPr>
              <w:t>无攻击</w:t>
            </w:r>
          </w:p>
        </w:tc>
        <w:tc>
          <w:tcPr>
            <w:tcW w:w="772" w:type="dxa"/>
            <w:tcBorders>
              <w:top w:val="nil"/>
              <w:left w:val="nil"/>
              <w:bottom w:val="nil"/>
              <w:right w:val="nil"/>
            </w:tcBorders>
            <w:vAlign w:val="center"/>
          </w:tcPr>
          <w:p w14:paraId="01B4CA74">
            <w:pPr>
              <w:pStyle w:val="88"/>
              <w:bidi w:val="0"/>
            </w:pPr>
            <w:r>
              <w:rPr>
                <w:rFonts w:hint="eastAsia"/>
              </w:rPr>
              <w:t>NA</w:t>
            </w:r>
          </w:p>
        </w:tc>
        <w:tc>
          <w:tcPr>
            <w:tcW w:w="772" w:type="dxa"/>
            <w:tcBorders>
              <w:top w:val="nil"/>
              <w:left w:val="nil"/>
              <w:bottom w:val="nil"/>
              <w:right w:val="nil"/>
            </w:tcBorders>
            <w:vAlign w:val="center"/>
          </w:tcPr>
          <w:p w14:paraId="0FC77107">
            <w:pPr>
              <w:pStyle w:val="88"/>
              <w:bidi w:val="0"/>
            </w:pPr>
            <w:r>
              <w:rPr>
                <w:rFonts w:hint="eastAsia"/>
              </w:rPr>
              <w:t>99.8</w:t>
            </w:r>
          </w:p>
        </w:tc>
        <w:tc>
          <w:tcPr>
            <w:tcW w:w="772" w:type="dxa"/>
            <w:tcBorders>
              <w:top w:val="nil"/>
              <w:left w:val="nil"/>
              <w:bottom w:val="nil"/>
              <w:right w:val="nil"/>
            </w:tcBorders>
            <w:vAlign w:val="center"/>
          </w:tcPr>
          <w:p w14:paraId="7147C573">
            <w:pPr>
              <w:pStyle w:val="88"/>
              <w:bidi w:val="0"/>
            </w:pPr>
            <w:r>
              <w:rPr>
                <w:rFonts w:hint="eastAsia"/>
              </w:rPr>
              <w:t>NA</w:t>
            </w:r>
          </w:p>
        </w:tc>
        <w:tc>
          <w:tcPr>
            <w:tcW w:w="772" w:type="dxa"/>
            <w:tcBorders>
              <w:top w:val="nil"/>
              <w:left w:val="nil"/>
              <w:bottom w:val="nil"/>
              <w:right w:val="nil"/>
            </w:tcBorders>
            <w:vAlign w:val="center"/>
          </w:tcPr>
          <w:p w14:paraId="696ECE8D">
            <w:pPr>
              <w:pStyle w:val="88"/>
              <w:bidi w:val="0"/>
            </w:pPr>
            <w:r>
              <w:rPr>
                <w:rFonts w:hint="eastAsia"/>
              </w:rPr>
              <w:t>100</w:t>
            </w:r>
          </w:p>
        </w:tc>
        <w:tc>
          <w:tcPr>
            <w:tcW w:w="772" w:type="dxa"/>
            <w:tcBorders>
              <w:top w:val="nil"/>
              <w:left w:val="nil"/>
              <w:bottom w:val="nil"/>
              <w:right w:val="nil"/>
            </w:tcBorders>
            <w:vAlign w:val="center"/>
          </w:tcPr>
          <w:p w14:paraId="5AF6E823">
            <w:pPr>
              <w:pStyle w:val="88"/>
              <w:bidi w:val="0"/>
            </w:pPr>
            <w:r>
              <w:rPr>
                <w:rFonts w:hint="eastAsia"/>
              </w:rPr>
              <w:t>NA</w:t>
            </w:r>
          </w:p>
        </w:tc>
        <w:tc>
          <w:tcPr>
            <w:tcW w:w="772" w:type="dxa"/>
            <w:tcBorders>
              <w:top w:val="nil"/>
              <w:left w:val="nil"/>
              <w:bottom w:val="nil"/>
              <w:right w:val="nil"/>
            </w:tcBorders>
            <w:vAlign w:val="center"/>
          </w:tcPr>
          <w:p w14:paraId="4D347CA7">
            <w:pPr>
              <w:pStyle w:val="88"/>
              <w:bidi w:val="0"/>
            </w:pPr>
            <w:r>
              <w:rPr>
                <w:rFonts w:hint="eastAsia"/>
              </w:rPr>
              <w:t>99.4</w:t>
            </w:r>
          </w:p>
        </w:tc>
        <w:tc>
          <w:tcPr>
            <w:tcW w:w="772" w:type="dxa"/>
            <w:tcBorders>
              <w:top w:val="nil"/>
              <w:left w:val="nil"/>
              <w:bottom w:val="nil"/>
              <w:right w:val="nil"/>
            </w:tcBorders>
            <w:vAlign w:val="center"/>
          </w:tcPr>
          <w:p w14:paraId="719EE8C2">
            <w:pPr>
              <w:pStyle w:val="88"/>
              <w:bidi w:val="0"/>
            </w:pPr>
            <w:r>
              <w:rPr>
                <w:rFonts w:hint="eastAsia"/>
              </w:rPr>
              <w:t>NA</w:t>
            </w:r>
          </w:p>
        </w:tc>
        <w:tc>
          <w:tcPr>
            <w:tcW w:w="772" w:type="dxa"/>
            <w:tcBorders>
              <w:top w:val="nil"/>
              <w:left w:val="nil"/>
              <w:bottom w:val="nil"/>
              <w:right w:val="nil"/>
            </w:tcBorders>
            <w:vAlign w:val="center"/>
          </w:tcPr>
          <w:p w14:paraId="78544F5D">
            <w:pPr>
              <w:pStyle w:val="88"/>
              <w:bidi w:val="0"/>
            </w:pPr>
            <w:r>
              <w:rPr>
                <w:rFonts w:hint="eastAsia"/>
              </w:rPr>
              <w:t>99.6</w:t>
            </w:r>
          </w:p>
        </w:tc>
      </w:tr>
      <w:tr w14:paraId="7932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194BC014">
            <w:pPr>
              <w:pStyle w:val="88"/>
              <w:bidi w:val="0"/>
            </w:pPr>
          </w:p>
        </w:tc>
        <w:tc>
          <w:tcPr>
            <w:tcW w:w="1430" w:type="dxa"/>
            <w:tcBorders>
              <w:top w:val="nil"/>
              <w:left w:val="nil"/>
              <w:bottom w:val="nil"/>
              <w:right w:val="nil"/>
            </w:tcBorders>
            <w:vAlign w:val="center"/>
          </w:tcPr>
          <w:p w14:paraId="0A148241">
            <w:pPr>
              <w:pStyle w:val="88"/>
              <w:bidi w:val="0"/>
            </w:pPr>
            <w:r>
              <w:rPr>
                <w:rFonts w:hint="eastAsia"/>
              </w:rPr>
              <w:t>PoisonedRAG</w:t>
            </w:r>
          </w:p>
        </w:tc>
        <w:tc>
          <w:tcPr>
            <w:tcW w:w="772" w:type="dxa"/>
            <w:tcBorders>
              <w:top w:val="nil"/>
              <w:left w:val="nil"/>
              <w:bottom w:val="nil"/>
              <w:right w:val="nil"/>
            </w:tcBorders>
            <w:vAlign w:val="center"/>
          </w:tcPr>
          <w:p w14:paraId="4FD5B9ED">
            <w:pPr>
              <w:pStyle w:val="88"/>
              <w:bidi w:val="0"/>
            </w:pPr>
            <w:r>
              <w:rPr>
                <w:rFonts w:hint="eastAsia"/>
              </w:rPr>
              <w:t>77.6</w:t>
            </w:r>
          </w:p>
        </w:tc>
        <w:tc>
          <w:tcPr>
            <w:tcW w:w="772" w:type="dxa"/>
            <w:tcBorders>
              <w:top w:val="nil"/>
              <w:left w:val="nil"/>
              <w:bottom w:val="nil"/>
              <w:right w:val="nil"/>
            </w:tcBorders>
            <w:vAlign w:val="center"/>
          </w:tcPr>
          <w:p w14:paraId="554A896B">
            <w:pPr>
              <w:pStyle w:val="88"/>
              <w:bidi w:val="0"/>
            </w:pPr>
            <w:r>
              <w:rPr>
                <w:rFonts w:hint="eastAsia"/>
              </w:rPr>
              <w:t>79.8</w:t>
            </w:r>
          </w:p>
        </w:tc>
        <w:tc>
          <w:tcPr>
            <w:tcW w:w="772" w:type="dxa"/>
            <w:tcBorders>
              <w:top w:val="nil"/>
              <w:left w:val="nil"/>
              <w:bottom w:val="nil"/>
              <w:right w:val="nil"/>
            </w:tcBorders>
            <w:vAlign w:val="center"/>
          </w:tcPr>
          <w:p w14:paraId="2786C349">
            <w:pPr>
              <w:pStyle w:val="88"/>
              <w:bidi w:val="0"/>
            </w:pPr>
            <w:r>
              <w:rPr>
                <w:rFonts w:hint="eastAsia"/>
              </w:rPr>
              <w:t>83.0</w:t>
            </w:r>
          </w:p>
        </w:tc>
        <w:tc>
          <w:tcPr>
            <w:tcW w:w="772" w:type="dxa"/>
            <w:tcBorders>
              <w:top w:val="nil"/>
              <w:left w:val="nil"/>
              <w:bottom w:val="nil"/>
              <w:right w:val="nil"/>
            </w:tcBorders>
            <w:vAlign w:val="center"/>
          </w:tcPr>
          <w:p w14:paraId="77FE9332">
            <w:pPr>
              <w:pStyle w:val="88"/>
              <w:bidi w:val="0"/>
            </w:pPr>
            <w:r>
              <w:rPr>
                <w:rFonts w:hint="eastAsia"/>
              </w:rPr>
              <w:t>85.4</w:t>
            </w:r>
          </w:p>
        </w:tc>
        <w:tc>
          <w:tcPr>
            <w:tcW w:w="772" w:type="dxa"/>
            <w:tcBorders>
              <w:top w:val="nil"/>
              <w:left w:val="nil"/>
              <w:bottom w:val="nil"/>
              <w:right w:val="nil"/>
            </w:tcBorders>
            <w:vAlign w:val="center"/>
          </w:tcPr>
          <w:p w14:paraId="7C61D088">
            <w:pPr>
              <w:pStyle w:val="88"/>
              <w:bidi w:val="0"/>
            </w:pPr>
            <w:r>
              <w:rPr>
                <w:rFonts w:hint="eastAsia"/>
              </w:rPr>
              <w:t>86.9</w:t>
            </w:r>
          </w:p>
        </w:tc>
        <w:tc>
          <w:tcPr>
            <w:tcW w:w="772" w:type="dxa"/>
            <w:tcBorders>
              <w:top w:val="nil"/>
              <w:left w:val="nil"/>
              <w:bottom w:val="nil"/>
              <w:right w:val="nil"/>
            </w:tcBorders>
            <w:vAlign w:val="center"/>
          </w:tcPr>
          <w:p w14:paraId="4F89FCD9">
            <w:pPr>
              <w:pStyle w:val="88"/>
              <w:bidi w:val="0"/>
            </w:pPr>
            <w:r>
              <w:rPr>
                <w:rFonts w:hint="eastAsia"/>
              </w:rPr>
              <w:t>89.5</w:t>
            </w:r>
          </w:p>
        </w:tc>
        <w:tc>
          <w:tcPr>
            <w:tcW w:w="772" w:type="dxa"/>
            <w:tcBorders>
              <w:top w:val="nil"/>
              <w:left w:val="nil"/>
              <w:bottom w:val="nil"/>
              <w:right w:val="nil"/>
            </w:tcBorders>
            <w:vAlign w:val="center"/>
          </w:tcPr>
          <w:p w14:paraId="7BB5EC04">
            <w:pPr>
              <w:pStyle w:val="88"/>
              <w:bidi w:val="0"/>
            </w:pPr>
            <w:r>
              <w:rPr>
                <w:rFonts w:hint="eastAsia"/>
              </w:rPr>
              <w:t>93.4</w:t>
            </w:r>
          </w:p>
        </w:tc>
        <w:tc>
          <w:tcPr>
            <w:tcW w:w="772" w:type="dxa"/>
            <w:tcBorders>
              <w:top w:val="nil"/>
              <w:left w:val="nil"/>
              <w:bottom w:val="nil"/>
              <w:right w:val="nil"/>
            </w:tcBorders>
            <w:vAlign w:val="center"/>
          </w:tcPr>
          <w:p w14:paraId="0D2C57D5">
            <w:pPr>
              <w:pStyle w:val="88"/>
              <w:bidi w:val="0"/>
            </w:pPr>
            <w:r>
              <w:rPr>
                <w:rFonts w:hint="eastAsia"/>
              </w:rPr>
              <w:t>96.0</w:t>
            </w:r>
          </w:p>
        </w:tc>
      </w:tr>
      <w:tr w14:paraId="06A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1732D49D">
            <w:pPr>
              <w:pStyle w:val="88"/>
              <w:bidi w:val="0"/>
            </w:pPr>
          </w:p>
        </w:tc>
        <w:tc>
          <w:tcPr>
            <w:tcW w:w="1430" w:type="dxa"/>
            <w:tcBorders>
              <w:top w:val="nil"/>
              <w:left w:val="nil"/>
              <w:bottom w:val="nil"/>
              <w:right w:val="nil"/>
            </w:tcBorders>
            <w:vAlign w:val="center"/>
          </w:tcPr>
          <w:p w14:paraId="14133DEA">
            <w:pPr>
              <w:pStyle w:val="88"/>
              <w:bidi w:val="0"/>
            </w:pPr>
            <w:r>
              <w:rPr>
                <w:rFonts w:hint="eastAsia"/>
              </w:rPr>
              <w:t>PIA</w:t>
            </w:r>
          </w:p>
        </w:tc>
        <w:tc>
          <w:tcPr>
            <w:tcW w:w="772" w:type="dxa"/>
            <w:tcBorders>
              <w:top w:val="nil"/>
              <w:left w:val="nil"/>
              <w:bottom w:val="nil"/>
              <w:right w:val="nil"/>
            </w:tcBorders>
            <w:vAlign w:val="center"/>
          </w:tcPr>
          <w:p w14:paraId="413AFA4C">
            <w:pPr>
              <w:pStyle w:val="88"/>
              <w:bidi w:val="0"/>
            </w:pPr>
            <w:r>
              <w:rPr>
                <w:rFonts w:hint="eastAsia"/>
              </w:rPr>
              <w:t>77.4</w:t>
            </w:r>
          </w:p>
        </w:tc>
        <w:tc>
          <w:tcPr>
            <w:tcW w:w="772" w:type="dxa"/>
            <w:tcBorders>
              <w:top w:val="nil"/>
              <w:left w:val="nil"/>
              <w:bottom w:val="nil"/>
              <w:right w:val="nil"/>
            </w:tcBorders>
            <w:vAlign w:val="center"/>
          </w:tcPr>
          <w:p w14:paraId="0EA1099B">
            <w:pPr>
              <w:pStyle w:val="88"/>
              <w:bidi w:val="0"/>
            </w:pPr>
            <w:r>
              <w:rPr>
                <w:rFonts w:hint="eastAsia"/>
              </w:rPr>
              <w:t>78.5</w:t>
            </w:r>
          </w:p>
        </w:tc>
        <w:tc>
          <w:tcPr>
            <w:tcW w:w="772" w:type="dxa"/>
            <w:tcBorders>
              <w:top w:val="nil"/>
              <w:left w:val="nil"/>
              <w:bottom w:val="nil"/>
              <w:right w:val="nil"/>
            </w:tcBorders>
            <w:vAlign w:val="center"/>
          </w:tcPr>
          <w:p w14:paraId="52FA4A89">
            <w:pPr>
              <w:pStyle w:val="88"/>
              <w:bidi w:val="0"/>
            </w:pPr>
            <w:r>
              <w:rPr>
                <w:rFonts w:hint="eastAsia"/>
              </w:rPr>
              <w:t>84.9</w:t>
            </w:r>
          </w:p>
        </w:tc>
        <w:tc>
          <w:tcPr>
            <w:tcW w:w="772" w:type="dxa"/>
            <w:tcBorders>
              <w:top w:val="nil"/>
              <w:left w:val="nil"/>
              <w:bottom w:val="nil"/>
              <w:right w:val="nil"/>
            </w:tcBorders>
            <w:vAlign w:val="center"/>
          </w:tcPr>
          <w:p w14:paraId="670A51B1">
            <w:pPr>
              <w:pStyle w:val="88"/>
              <w:bidi w:val="0"/>
            </w:pPr>
            <w:r>
              <w:rPr>
                <w:rFonts w:hint="eastAsia"/>
              </w:rPr>
              <w:t>86.8</w:t>
            </w:r>
          </w:p>
        </w:tc>
        <w:tc>
          <w:tcPr>
            <w:tcW w:w="772" w:type="dxa"/>
            <w:tcBorders>
              <w:top w:val="nil"/>
              <w:left w:val="nil"/>
              <w:bottom w:val="nil"/>
              <w:right w:val="nil"/>
            </w:tcBorders>
            <w:vAlign w:val="center"/>
          </w:tcPr>
          <w:p w14:paraId="11ECF109">
            <w:pPr>
              <w:pStyle w:val="88"/>
              <w:bidi w:val="0"/>
            </w:pPr>
            <w:r>
              <w:rPr>
                <w:rFonts w:hint="eastAsia"/>
              </w:rPr>
              <w:t>88.6</w:t>
            </w:r>
          </w:p>
        </w:tc>
        <w:tc>
          <w:tcPr>
            <w:tcW w:w="772" w:type="dxa"/>
            <w:tcBorders>
              <w:top w:val="nil"/>
              <w:left w:val="nil"/>
              <w:bottom w:val="nil"/>
              <w:right w:val="nil"/>
            </w:tcBorders>
            <w:vAlign w:val="center"/>
          </w:tcPr>
          <w:p w14:paraId="49E791CD">
            <w:pPr>
              <w:pStyle w:val="88"/>
              <w:bidi w:val="0"/>
            </w:pPr>
            <w:r>
              <w:rPr>
                <w:rFonts w:hint="eastAsia"/>
              </w:rPr>
              <w:t>91.1</w:t>
            </w:r>
          </w:p>
        </w:tc>
        <w:tc>
          <w:tcPr>
            <w:tcW w:w="772" w:type="dxa"/>
            <w:tcBorders>
              <w:top w:val="nil"/>
              <w:left w:val="nil"/>
              <w:bottom w:val="nil"/>
              <w:right w:val="nil"/>
            </w:tcBorders>
            <w:vAlign w:val="center"/>
          </w:tcPr>
          <w:p w14:paraId="53D153C4">
            <w:pPr>
              <w:pStyle w:val="88"/>
              <w:bidi w:val="0"/>
            </w:pPr>
            <w:r>
              <w:rPr>
                <w:rFonts w:hint="eastAsia"/>
              </w:rPr>
              <w:t>92.7</w:t>
            </w:r>
          </w:p>
        </w:tc>
        <w:tc>
          <w:tcPr>
            <w:tcW w:w="772" w:type="dxa"/>
            <w:tcBorders>
              <w:top w:val="nil"/>
              <w:left w:val="nil"/>
              <w:bottom w:val="nil"/>
              <w:right w:val="nil"/>
            </w:tcBorders>
            <w:vAlign w:val="center"/>
          </w:tcPr>
          <w:p w14:paraId="20876E6E">
            <w:pPr>
              <w:pStyle w:val="88"/>
              <w:bidi w:val="0"/>
            </w:pPr>
            <w:r>
              <w:rPr>
                <w:rFonts w:hint="eastAsia"/>
              </w:rPr>
              <w:t>98.9</w:t>
            </w:r>
          </w:p>
        </w:tc>
      </w:tr>
      <w:tr w14:paraId="02EE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660B7F84">
            <w:pPr>
              <w:pStyle w:val="88"/>
              <w:bidi w:val="0"/>
            </w:pPr>
          </w:p>
        </w:tc>
        <w:tc>
          <w:tcPr>
            <w:tcW w:w="1430" w:type="dxa"/>
            <w:tcBorders>
              <w:top w:val="nil"/>
              <w:left w:val="nil"/>
              <w:bottom w:val="nil"/>
              <w:right w:val="nil"/>
            </w:tcBorders>
            <w:vAlign w:val="center"/>
          </w:tcPr>
          <w:p w14:paraId="6227DABF">
            <w:pPr>
              <w:pStyle w:val="88"/>
              <w:bidi w:val="0"/>
            </w:pPr>
            <w:r>
              <w:rPr>
                <w:rFonts w:hint="eastAsia"/>
              </w:rPr>
              <w:t>本文攻击</w:t>
            </w:r>
          </w:p>
        </w:tc>
        <w:tc>
          <w:tcPr>
            <w:tcW w:w="772" w:type="dxa"/>
            <w:tcBorders>
              <w:top w:val="nil"/>
              <w:left w:val="nil"/>
              <w:bottom w:val="nil"/>
              <w:right w:val="nil"/>
            </w:tcBorders>
            <w:vAlign w:val="center"/>
          </w:tcPr>
          <w:p w14:paraId="2DFFAB87">
            <w:pPr>
              <w:pStyle w:val="88"/>
              <w:bidi w:val="0"/>
            </w:pPr>
            <w:r>
              <w:rPr>
                <w:rFonts w:hint="eastAsia"/>
              </w:rPr>
              <w:t>75.3</w:t>
            </w:r>
          </w:p>
        </w:tc>
        <w:tc>
          <w:tcPr>
            <w:tcW w:w="772" w:type="dxa"/>
            <w:tcBorders>
              <w:top w:val="nil"/>
              <w:left w:val="nil"/>
              <w:bottom w:val="nil"/>
              <w:right w:val="nil"/>
            </w:tcBorders>
            <w:vAlign w:val="center"/>
          </w:tcPr>
          <w:p w14:paraId="4464213A">
            <w:pPr>
              <w:pStyle w:val="88"/>
              <w:bidi w:val="0"/>
            </w:pPr>
            <w:r>
              <w:rPr>
                <w:rFonts w:hint="eastAsia"/>
              </w:rPr>
              <w:t>76.8</w:t>
            </w:r>
          </w:p>
        </w:tc>
        <w:tc>
          <w:tcPr>
            <w:tcW w:w="772" w:type="dxa"/>
            <w:tcBorders>
              <w:top w:val="nil"/>
              <w:left w:val="nil"/>
              <w:bottom w:val="nil"/>
              <w:right w:val="nil"/>
            </w:tcBorders>
            <w:vAlign w:val="center"/>
          </w:tcPr>
          <w:p w14:paraId="505B76FA">
            <w:pPr>
              <w:pStyle w:val="88"/>
              <w:bidi w:val="0"/>
            </w:pPr>
            <w:r>
              <w:rPr>
                <w:rFonts w:hint="eastAsia"/>
              </w:rPr>
              <w:t>80.5</w:t>
            </w:r>
          </w:p>
        </w:tc>
        <w:tc>
          <w:tcPr>
            <w:tcW w:w="772" w:type="dxa"/>
            <w:tcBorders>
              <w:top w:val="nil"/>
              <w:left w:val="nil"/>
              <w:bottom w:val="nil"/>
              <w:right w:val="nil"/>
            </w:tcBorders>
            <w:vAlign w:val="center"/>
          </w:tcPr>
          <w:p w14:paraId="5FF0248B">
            <w:pPr>
              <w:pStyle w:val="88"/>
              <w:bidi w:val="0"/>
            </w:pPr>
            <w:r>
              <w:rPr>
                <w:rFonts w:hint="eastAsia"/>
              </w:rPr>
              <w:t>82.6</w:t>
            </w:r>
          </w:p>
        </w:tc>
        <w:tc>
          <w:tcPr>
            <w:tcW w:w="772" w:type="dxa"/>
            <w:tcBorders>
              <w:top w:val="nil"/>
              <w:left w:val="nil"/>
              <w:bottom w:val="nil"/>
              <w:right w:val="nil"/>
            </w:tcBorders>
            <w:vAlign w:val="center"/>
          </w:tcPr>
          <w:p w14:paraId="1AB6CC87">
            <w:pPr>
              <w:pStyle w:val="88"/>
              <w:bidi w:val="0"/>
            </w:pPr>
            <w:r>
              <w:rPr>
                <w:rFonts w:hint="eastAsia"/>
              </w:rPr>
              <w:t>85.0</w:t>
            </w:r>
          </w:p>
        </w:tc>
        <w:tc>
          <w:tcPr>
            <w:tcW w:w="772" w:type="dxa"/>
            <w:tcBorders>
              <w:top w:val="nil"/>
              <w:left w:val="nil"/>
              <w:bottom w:val="nil"/>
              <w:right w:val="nil"/>
            </w:tcBorders>
            <w:vAlign w:val="center"/>
          </w:tcPr>
          <w:p w14:paraId="71D11D53">
            <w:pPr>
              <w:pStyle w:val="88"/>
              <w:bidi w:val="0"/>
            </w:pPr>
            <w:r>
              <w:rPr>
                <w:rFonts w:hint="eastAsia"/>
              </w:rPr>
              <w:t>85.6</w:t>
            </w:r>
          </w:p>
        </w:tc>
        <w:tc>
          <w:tcPr>
            <w:tcW w:w="772" w:type="dxa"/>
            <w:tcBorders>
              <w:top w:val="nil"/>
              <w:left w:val="nil"/>
              <w:bottom w:val="nil"/>
              <w:right w:val="nil"/>
            </w:tcBorders>
            <w:vAlign w:val="center"/>
          </w:tcPr>
          <w:p w14:paraId="7E5EE186">
            <w:pPr>
              <w:pStyle w:val="88"/>
              <w:bidi w:val="0"/>
            </w:pPr>
            <w:r>
              <w:rPr>
                <w:rFonts w:hint="eastAsia"/>
              </w:rPr>
              <w:t>92.8</w:t>
            </w:r>
          </w:p>
        </w:tc>
        <w:tc>
          <w:tcPr>
            <w:tcW w:w="772" w:type="dxa"/>
            <w:tcBorders>
              <w:top w:val="nil"/>
              <w:left w:val="nil"/>
              <w:bottom w:val="nil"/>
              <w:right w:val="nil"/>
            </w:tcBorders>
            <w:vAlign w:val="center"/>
          </w:tcPr>
          <w:p w14:paraId="18FED2EF">
            <w:pPr>
              <w:pStyle w:val="88"/>
              <w:bidi w:val="0"/>
            </w:pPr>
            <w:r>
              <w:rPr>
                <w:rFonts w:hint="eastAsia"/>
              </w:rPr>
              <w:t>96.4</w:t>
            </w:r>
          </w:p>
        </w:tc>
      </w:tr>
      <w:tr w14:paraId="3A7D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nil"/>
              <w:left w:val="nil"/>
              <w:bottom w:val="nil"/>
              <w:right w:val="nil"/>
            </w:tcBorders>
            <w:vAlign w:val="center"/>
          </w:tcPr>
          <w:p w14:paraId="2055DBA9">
            <w:pPr>
              <w:pStyle w:val="88"/>
              <w:bidi w:val="0"/>
            </w:pPr>
            <w:r>
              <w:rPr>
                <w:rFonts w:hint="eastAsia"/>
              </w:rPr>
              <w:t>PANDAX</w:t>
            </w:r>
          </w:p>
        </w:tc>
        <w:tc>
          <w:tcPr>
            <w:tcW w:w="1430" w:type="dxa"/>
            <w:tcBorders>
              <w:top w:val="nil"/>
              <w:left w:val="nil"/>
              <w:bottom w:val="nil"/>
              <w:right w:val="nil"/>
            </w:tcBorders>
            <w:vAlign w:val="center"/>
          </w:tcPr>
          <w:p w14:paraId="18D8B1C0">
            <w:pPr>
              <w:pStyle w:val="88"/>
              <w:bidi w:val="0"/>
            </w:pPr>
            <w:r>
              <w:rPr>
                <w:rFonts w:hint="eastAsia"/>
              </w:rPr>
              <w:t>无攻击</w:t>
            </w:r>
          </w:p>
        </w:tc>
        <w:tc>
          <w:tcPr>
            <w:tcW w:w="772" w:type="dxa"/>
            <w:tcBorders>
              <w:top w:val="nil"/>
              <w:left w:val="nil"/>
              <w:bottom w:val="nil"/>
              <w:right w:val="nil"/>
            </w:tcBorders>
            <w:vAlign w:val="center"/>
          </w:tcPr>
          <w:p w14:paraId="4C27C494">
            <w:pPr>
              <w:pStyle w:val="88"/>
              <w:bidi w:val="0"/>
            </w:pPr>
            <w:r>
              <w:rPr>
                <w:rFonts w:hint="eastAsia"/>
              </w:rPr>
              <w:t>NA</w:t>
            </w:r>
          </w:p>
        </w:tc>
        <w:tc>
          <w:tcPr>
            <w:tcW w:w="772" w:type="dxa"/>
            <w:tcBorders>
              <w:top w:val="nil"/>
              <w:left w:val="nil"/>
              <w:bottom w:val="nil"/>
              <w:right w:val="nil"/>
            </w:tcBorders>
            <w:vAlign w:val="center"/>
          </w:tcPr>
          <w:p w14:paraId="2CAD3397">
            <w:pPr>
              <w:pStyle w:val="88"/>
              <w:bidi w:val="0"/>
            </w:pPr>
            <w:r>
              <w:rPr>
                <w:rFonts w:hint="eastAsia"/>
              </w:rPr>
              <w:t>98.0</w:t>
            </w:r>
          </w:p>
        </w:tc>
        <w:tc>
          <w:tcPr>
            <w:tcW w:w="772" w:type="dxa"/>
            <w:tcBorders>
              <w:top w:val="nil"/>
              <w:left w:val="nil"/>
              <w:bottom w:val="nil"/>
              <w:right w:val="nil"/>
            </w:tcBorders>
            <w:vAlign w:val="center"/>
          </w:tcPr>
          <w:p w14:paraId="0BA0E8D2">
            <w:pPr>
              <w:pStyle w:val="88"/>
              <w:bidi w:val="0"/>
            </w:pPr>
            <w:r>
              <w:rPr>
                <w:rFonts w:hint="eastAsia"/>
              </w:rPr>
              <w:t>NA</w:t>
            </w:r>
          </w:p>
        </w:tc>
        <w:tc>
          <w:tcPr>
            <w:tcW w:w="772" w:type="dxa"/>
            <w:tcBorders>
              <w:top w:val="nil"/>
              <w:left w:val="nil"/>
              <w:bottom w:val="nil"/>
              <w:right w:val="nil"/>
            </w:tcBorders>
            <w:vAlign w:val="center"/>
          </w:tcPr>
          <w:p w14:paraId="37108646">
            <w:pPr>
              <w:pStyle w:val="88"/>
              <w:bidi w:val="0"/>
            </w:pPr>
            <w:r>
              <w:rPr>
                <w:rFonts w:hint="eastAsia"/>
              </w:rPr>
              <w:t>98.4</w:t>
            </w:r>
          </w:p>
        </w:tc>
        <w:tc>
          <w:tcPr>
            <w:tcW w:w="772" w:type="dxa"/>
            <w:tcBorders>
              <w:top w:val="nil"/>
              <w:left w:val="nil"/>
              <w:bottom w:val="nil"/>
              <w:right w:val="nil"/>
            </w:tcBorders>
            <w:vAlign w:val="center"/>
          </w:tcPr>
          <w:p w14:paraId="0FFBF7EF">
            <w:pPr>
              <w:pStyle w:val="88"/>
              <w:bidi w:val="0"/>
            </w:pPr>
            <w:r>
              <w:rPr>
                <w:rFonts w:hint="eastAsia"/>
              </w:rPr>
              <w:t>NA</w:t>
            </w:r>
          </w:p>
        </w:tc>
        <w:tc>
          <w:tcPr>
            <w:tcW w:w="772" w:type="dxa"/>
            <w:tcBorders>
              <w:top w:val="nil"/>
              <w:left w:val="nil"/>
              <w:bottom w:val="nil"/>
              <w:right w:val="nil"/>
            </w:tcBorders>
            <w:vAlign w:val="center"/>
          </w:tcPr>
          <w:p w14:paraId="506350C2">
            <w:pPr>
              <w:pStyle w:val="88"/>
              <w:bidi w:val="0"/>
            </w:pPr>
            <w:r>
              <w:rPr>
                <w:rFonts w:hint="eastAsia"/>
              </w:rPr>
              <w:t>97.8</w:t>
            </w:r>
          </w:p>
        </w:tc>
        <w:tc>
          <w:tcPr>
            <w:tcW w:w="772" w:type="dxa"/>
            <w:tcBorders>
              <w:top w:val="nil"/>
              <w:left w:val="nil"/>
              <w:bottom w:val="nil"/>
              <w:right w:val="nil"/>
            </w:tcBorders>
            <w:vAlign w:val="center"/>
          </w:tcPr>
          <w:p w14:paraId="0D1E0084">
            <w:pPr>
              <w:pStyle w:val="88"/>
              <w:bidi w:val="0"/>
            </w:pPr>
            <w:r>
              <w:rPr>
                <w:rFonts w:hint="eastAsia"/>
              </w:rPr>
              <w:t>NA</w:t>
            </w:r>
          </w:p>
        </w:tc>
        <w:tc>
          <w:tcPr>
            <w:tcW w:w="772" w:type="dxa"/>
            <w:tcBorders>
              <w:top w:val="nil"/>
              <w:left w:val="nil"/>
              <w:bottom w:val="nil"/>
              <w:right w:val="nil"/>
            </w:tcBorders>
            <w:vAlign w:val="center"/>
          </w:tcPr>
          <w:p w14:paraId="530679DB">
            <w:pPr>
              <w:pStyle w:val="88"/>
              <w:bidi w:val="0"/>
            </w:pPr>
            <w:r>
              <w:rPr>
                <w:rFonts w:hint="eastAsia"/>
              </w:rPr>
              <w:t>98.8</w:t>
            </w:r>
          </w:p>
        </w:tc>
      </w:tr>
      <w:tr w14:paraId="4A2B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2" w:type="dxa"/>
            <w:vMerge w:val="continue"/>
            <w:tcBorders>
              <w:top w:val="nil"/>
              <w:left w:val="nil"/>
              <w:bottom w:val="nil"/>
              <w:right w:val="nil"/>
            </w:tcBorders>
            <w:vAlign w:val="center"/>
          </w:tcPr>
          <w:p w14:paraId="0056FC8B">
            <w:pPr>
              <w:pStyle w:val="88"/>
              <w:bidi w:val="0"/>
            </w:pPr>
          </w:p>
        </w:tc>
        <w:tc>
          <w:tcPr>
            <w:tcW w:w="1430" w:type="dxa"/>
            <w:tcBorders>
              <w:top w:val="nil"/>
              <w:left w:val="nil"/>
              <w:bottom w:val="nil"/>
              <w:right w:val="nil"/>
            </w:tcBorders>
            <w:vAlign w:val="center"/>
          </w:tcPr>
          <w:p w14:paraId="2423007E">
            <w:pPr>
              <w:pStyle w:val="88"/>
              <w:bidi w:val="0"/>
            </w:pPr>
            <w:r>
              <w:rPr>
                <w:rFonts w:hint="eastAsia"/>
              </w:rPr>
              <w:t>PoisonedRAG</w:t>
            </w:r>
          </w:p>
        </w:tc>
        <w:tc>
          <w:tcPr>
            <w:tcW w:w="772" w:type="dxa"/>
            <w:tcBorders>
              <w:top w:val="nil"/>
              <w:left w:val="nil"/>
              <w:bottom w:val="nil"/>
              <w:right w:val="nil"/>
            </w:tcBorders>
            <w:vAlign w:val="center"/>
          </w:tcPr>
          <w:p w14:paraId="6DD6AAC1">
            <w:pPr>
              <w:pStyle w:val="88"/>
              <w:bidi w:val="0"/>
            </w:pPr>
            <w:r>
              <w:rPr>
                <w:rFonts w:hint="eastAsia"/>
              </w:rPr>
              <w:t>78.5</w:t>
            </w:r>
          </w:p>
        </w:tc>
        <w:tc>
          <w:tcPr>
            <w:tcW w:w="772" w:type="dxa"/>
            <w:tcBorders>
              <w:top w:val="nil"/>
              <w:left w:val="nil"/>
              <w:bottom w:val="nil"/>
              <w:right w:val="nil"/>
            </w:tcBorders>
            <w:vAlign w:val="center"/>
          </w:tcPr>
          <w:p w14:paraId="5F619331">
            <w:pPr>
              <w:pStyle w:val="88"/>
              <w:bidi w:val="0"/>
            </w:pPr>
            <w:r>
              <w:rPr>
                <w:rFonts w:hint="eastAsia"/>
              </w:rPr>
              <w:t>79.8</w:t>
            </w:r>
          </w:p>
        </w:tc>
        <w:tc>
          <w:tcPr>
            <w:tcW w:w="772" w:type="dxa"/>
            <w:tcBorders>
              <w:top w:val="nil"/>
              <w:left w:val="nil"/>
              <w:bottom w:val="nil"/>
              <w:right w:val="nil"/>
            </w:tcBorders>
            <w:vAlign w:val="center"/>
          </w:tcPr>
          <w:p w14:paraId="3D5899FD">
            <w:pPr>
              <w:pStyle w:val="88"/>
              <w:bidi w:val="0"/>
            </w:pPr>
            <w:r>
              <w:rPr>
                <w:rFonts w:hint="eastAsia"/>
              </w:rPr>
              <w:t>80.5</w:t>
            </w:r>
          </w:p>
        </w:tc>
        <w:tc>
          <w:tcPr>
            <w:tcW w:w="772" w:type="dxa"/>
            <w:tcBorders>
              <w:top w:val="nil"/>
              <w:left w:val="nil"/>
              <w:bottom w:val="nil"/>
              <w:right w:val="nil"/>
            </w:tcBorders>
            <w:vAlign w:val="center"/>
          </w:tcPr>
          <w:p w14:paraId="0B185AED">
            <w:pPr>
              <w:pStyle w:val="88"/>
              <w:bidi w:val="0"/>
            </w:pPr>
            <w:r>
              <w:rPr>
                <w:rFonts w:hint="eastAsia"/>
              </w:rPr>
              <w:t>82.4</w:t>
            </w:r>
          </w:p>
        </w:tc>
        <w:tc>
          <w:tcPr>
            <w:tcW w:w="772" w:type="dxa"/>
            <w:tcBorders>
              <w:top w:val="nil"/>
              <w:left w:val="nil"/>
              <w:bottom w:val="nil"/>
              <w:right w:val="nil"/>
            </w:tcBorders>
            <w:vAlign w:val="center"/>
          </w:tcPr>
          <w:p w14:paraId="4064EBAC">
            <w:pPr>
              <w:pStyle w:val="88"/>
              <w:bidi w:val="0"/>
            </w:pPr>
            <w:r>
              <w:rPr>
                <w:rFonts w:hint="eastAsia"/>
              </w:rPr>
              <w:t>85.2</w:t>
            </w:r>
          </w:p>
        </w:tc>
        <w:tc>
          <w:tcPr>
            <w:tcW w:w="772" w:type="dxa"/>
            <w:tcBorders>
              <w:top w:val="nil"/>
              <w:left w:val="nil"/>
              <w:bottom w:val="nil"/>
              <w:right w:val="nil"/>
            </w:tcBorders>
            <w:vAlign w:val="center"/>
          </w:tcPr>
          <w:p w14:paraId="7AB1FA73">
            <w:pPr>
              <w:pStyle w:val="88"/>
              <w:bidi w:val="0"/>
            </w:pPr>
            <w:r>
              <w:rPr>
                <w:rFonts w:hint="eastAsia"/>
              </w:rPr>
              <w:t>86.3</w:t>
            </w:r>
          </w:p>
        </w:tc>
        <w:tc>
          <w:tcPr>
            <w:tcW w:w="772" w:type="dxa"/>
            <w:tcBorders>
              <w:top w:val="nil"/>
              <w:left w:val="nil"/>
              <w:bottom w:val="nil"/>
              <w:right w:val="nil"/>
            </w:tcBorders>
            <w:vAlign w:val="center"/>
          </w:tcPr>
          <w:p w14:paraId="18E20D3C">
            <w:pPr>
              <w:pStyle w:val="88"/>
              <w:bidi w:val="0"/>
            </w:pPr>
            <w:r>
              <w:rPr>
                <w:rFonts w:hint="eastAsia"/>
              </w:rPr>
              <w:t>95.0</w:t>
            </w:r>
          </w:p>
        </w:tc>
        <w:tc>
          <w:tcPr>
            <w:tcW w:w="772" w:type="dxa"/>
            <w:tcBorders>
              <w:top w:val="nil"/>
              <w:left w:val="nil"/>
              <w:bottom w:val="nil"/>
              <w:right w:val="nil"/>
            </w:tcBorders>
            <w:vAlign w:val="center"/>
          </w:tcPr>
          <w:p w14:paraId="3322693A">
            <w:pPr>
              <w:pStyle w:val="88"/>
              <w:bidi w:val="0"/>
            </w:pPr>
            <w:r>
              <w:rPr>
                <w:rFonts w:hint="eastAsia"/>
              </w:rPr>
              <w:t>97.0</w:t>
            </w:r>
          </w:p>
        </w:tc>
      </w:tr>
      <w:tr w14:paraId="7DED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04AFE15F">
            <w:pPr>
              <w:pStyle w:val="88"/>
              <w:bidi w:val="0"/>
            </w:pPr>
          </w:p>
        </w:tc>
        <w:tc>
          <w:tcPr>
            <w:tcW w:w="1430" w:type="dxa"/>
            <w:tcBorders>
              <w:top w:val="nil"/>
              <w:left w:val="nil"/>
              <w:bottom w:val="nil"/>
              <w:right w:val="nil"/>
            </w:tcBorders>
            <w:vAlign w:val="center"/>
          </w:tcPr>
          <w:p w14:paraId="6A659C20">
            <w:pPr>
              <w:pStyle w:val="88"/>
              <w:bidi w:val="0"/>
            </w:pPr>
            <w:r>
              <w:rPr>
                <w:rFonts w:hint="eastAsia"/>
              </w:rPr>
              <w:t>PIA</w:t>
            </w:r>
          </w:p>
        </w:tc>
        <w:tc>
          <w:tcPr>
            <w:tcW w:w="772" w:type="dxa"/>
            <w:tcBorders>
              <w:top w:val="nil"/>
              <w:left w:val="nil"/>
              <w:bottom w:val="nil"/>
              <w:right w:val="nil"/>
            </w:tcBorders>
            <w:vAlign w:val="center"/>
          </w:tcPr>
          <w:p w14:paraId="572374AE">
            <w:pPr>
              <w:pStyle w:val="88"/>
              <w:bidi w:val="0"/>
            </w:pPr>
            <w:r>
              <w:rPr>
                <w:rFonts w:hint="eastAsia"/>
              </w:rPr>
              <w:t>76.8</w:t>
            </w:r>
          </w:p>
        </w:tc>
        <w:tc>
          <w:tcPr>
            <w:tcW w:w="772" w:type="dxa"/>
            <w:tcBorders>
              <w:top w:val="nil"/>
              <w:left w:val="nil"/>
              <w:bottom w:val="nil"/>
              <w:right w:val="nil"/>
            </w:tcBorders>
            <w:vAlign w:val="center"/>
          </w:tcPr>
          <w:p w14:paraId="0640171F">
            <w:pPr>
              <w:pStyle w:val="88"/>
              <w:bidi w:val="0"/>
            </w:pPr>
            <w:r>
              <w:rPr>
                <w:rFonts w:hint="eastAsia"/>
              </w:rPr>
              <w:t>78.0</w:t>
            </w:r>
          </w:p>
        </w:tc>
        <w:tc>
          <w:tcPr>
            <w:tcW w:w="772" w:type="dxa"/>
            <w:tcBorders>
              <w:top w:val="nil"/>
              <w:left w:val="nil"/>
              <w:bottom w:val="nil"/>
              <w:right w:val="nil"/>
            </w:tcBorders>
            <w:vAlign w:val="center"/>
          </w:tcPr>
          <w:p w14:paraId="63C3C6EB">
            <w:pPr>
              <w:pStyle w:val="88"/>
              <w:bidi w:val="0"/>
            </w:pPr>
            <w:r>
              <w:rPr>
                <w:rFonts w:hint="eastAsia"/>
              </w:rPr>
              <w:t>83.0</w:t>
            </w:r>
          </w:p>
        </w:tc>
        <w:tc>
          <w:tcPr>
            <w:tcW w:w="772" w:type="dxa"/>
            <w:tcBorders>
              <w:top w:val="nil"/>
              <w:left w:val="nil"/>
              <w:bottom w:val="nil"/>
              <w:right w:val="nil"/>
            </w:tcBorders>
            <w:vAlign w:val="center"/>
          </w:tcPr>
          <w:p w14:paraId="68B30A39">
            <w:pPr>
              <w:pStyle w:val="88"/>
              <w:bidi w:val="0"/>
            </w:pPr>
            <w:r>
              <w:rPr>
                <w:rFonts w:hint="eastAsia"/>
              </w:rPr>
              <w:t>85.2</w:t>
            </w:r>
          </w:p>
        </w:tc>
        <w:tc>
          <w:tcPr>
            <w:tcW w:w="772" w:type="dxa"/>
            <w:tcBorders>
              <w:top w:val="nil"/>
              <w:left w:val="nil"/>
              <w:bottom w:val="nil"/>
              <w:right w:val="nil"/>
            </w:tcBorders>
            <w:vAlign w:val="center"/>
          </w:tcPr>
          <w:p w14:paraId="379C1947">
            <w:pPr>
              <w:pStyle w:val="88"/>
              <w:bidi w:val="0"/>
            </w:pPr>
            <w:r>
              <w:rPr>
                <w:rFonts w:hint="eastAsia"/>
              </w:rPr>
              <w:t>87.5</w:t>
            </w:r>
          </w:p>
        </w:tc>
        <w:tc>
          <w:tcPr>
            <w:tcW w:w="772" w:type="dxa"/>
            <w:tcBorders>
              <w:top w:val="nil"/>
              <w:left w:val="nil"/>
              <w:bottom w:val="nil"/>
              <w:right w:val="nil"/>
            </w:tcBorders>
            <w:vAlign w:val="center"/>
          </w:tcPr>
          <w:p w14:paraId="7A829A32">
            <w:pPr>
              <w:pStyle w:val="88"/>
              <w:bidi w:val="0"/>
            </w:pPr>
            <w:r>
              <w:rPr>
                <w:rFonts w:hint="eastAsia"/>
              </w:rPr>
              <w:t>88.7</w:t>
            </w:r>
          </w:p>
        </w:tc>
        <w:tc>
          <w:tcPr>
            <w:tcW w:w="772" w:type="dxa"/>
            <w:tcBorders>
              <w:top w:val="nil"/>
              <w:left w:val="nil"/>
              <w:bottom w:val="nil"/>
              <w:right w:val="nil"/>
            </w:tcBorders>
            <w:vAlign w:val="center"/>
          </w:tcPr>
          <w:p w14:paraId="7F627575">
            <w:pPr>
              <w:pStyle w:val="88"/>
              <w:bidi w:val="0"/>
            </w:pPr>
            <w:r>
              <w:rPr>
                <w:rFonts w:hint="eastAsia"/>
              </w:rPr>
              <w:t>93.0</w:t>
            </w:r>
          </w:p>
        </w:tc>
        <w:tc>
          <w:tcPr>
            <w:tcW w:w="772" w:type="dxa"/>
            <w:tcBorders>
              <w:top w:val="nil"/>
              <w:left w:val="nil"/>
              <w:bottom w:val="nil"/>
              <w:right w:val="nil"/>
            </w:tcBorders>
            <w:vAlign w:val="center"/>
          </w:tcPr>
          <w:p w14:paraId="7F410F19">
            <w:pPr>
              <w:pStyle w:val="88"/>
              <w:bidi w:val="0"/>
            </w:pPr>
            <w:r>
              <w:rPr>
                <w:rFonts w:hint="eastAsia"/>
              </w:rPr>
              <w:t>97.1</w:t>
            </w:r>
          </w:p>
        </w:tc>
      </w:tr>
      <w:tr w14:paraId="3D759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single" w:color="auto" w:sz="12" w:space="0"/>
              <w:right w:val="nil"/>
            </w:tcBorders>
            <w:vAlign w:val="center"/>
          </w:tcPr>
          <w:p w14:paraId="0EEB7510">
            <w:pPr>
              <w:pStyle w:val="88"/>
              <w:bidi w:val="0"/>
            </w:pPr>
          </w:p>
        </w:tc>
        <w:tc>
          <w:tcPr>
            <w:tcW w:w="1430" w:type="dxa"/>
            <w:tcBorders>
              <w:top w:val="nil"/>
              <w:left w:val="nil"/>
              <w:bottom w:val="single" w:color="auto" w:sz="12" w:space="0"/>
              <w:right w:val="nil"/>
            </w:tcBorders>
            <w:vAlign w:val="center"/>
          </w:tcPr>
          <w:p w14:paraId="79F6AC91">
            <w:pPr>
              <w:pStyle w:val="88"/>
              <w:bidi w:val="0"/>
            </w:pPr>
            <w:r>
              <w:rPr>
                <w:rFonts w:hint="eastAsia"/>
              </w:rPr>
              <w:t>本文攻击</w:t>
            </w:r>
          </w:p>
        </w:tc>
        <w:tc>
          <w:tcPr>
            <w:tcW w:w="772" w:type="dxa"/>
            <w:tcBorders>
              <w:top w:val="nil"/>
              <w:left w:val="nil"/>
              <w:bottom w:val="single" w:color="auto" w:sz="12" w:space="0"/>
              <w:right w:val="nil"/>
            </w:tcBorders>
            <w:vAlign w:val="center"/>
          </w:tcPr>
          <w:p w14:paraId="07473B01">
            <w:pPr>
              <w:pStyle w:val="88"/>
              <w:bidi w:val="0"/>
            </w:pPr>
            <w:r>
              <w:rPr>
                <w:rFonts w:hint="eastAsia"/>
              </w:rPr>
              <w:t>75.2</w:t>
            </w:r>
          </w:p>
        </w:tc>
        <w:tc>
          <w:tcPr>
            <w:tcW w:w="772" w:type="dxa"/>
            <w:tcBorders>
              <w:top w:val="nil"/>
              <w:left w:val="nil"/>
              <w:bottom w:val="single" w:color="auto" w:sz="12" w:space="0"/>
              <w:right w:val="nil"/>
            </w:tcBorders>
            <w:vAlign w:val="center"/>
          </w:tcPr>
          <w:p w14:paraId="52AF4072">
            <w:pPr>
              <w:pStyle w:val="88"/>
              <w:bidi w:val="0"/>
            </w:pPr>
            <w:r>
              <w:rPr>
                <w:rFonts w:hint="eastAsia"/>
              </w:rPr>
              <w:t>77.0</w:t>
            </w:r>
          </w:p>
        </w:tc>
        <w:tc>
          <w:tcPr>
            <w:tcW w:w="772" w:type="dxa"/>
            <w:tcBorders>
              <w:top w:val="nil"/>
              <w:left w:val="nil"/>
              <w:bottom w:val="single" w:color="auto" w:sz="12" w:space="0"/>
              <w:right w:val="nil"/>
            </w:tcBorders>
            <w:vAlign w:val="center"/>
          </w:tcPr>
          <w:p w14:paraId="28484043">
            <w:pPr>
              <w:pStyle w:val="88"/>
              <w:bidi w:val="0"/>
            </w:pPr>
            <w:r>
              <w:rPr>
                <w:rFonts w:hint="eastAsia"/>
              </w:rPr>
              <w:t>79.1</w:t>
            </w:r>
          </w:p>
        </w:tc>
        <w:tc>
          <w:tcPr>
            <w:tcW w:w="772" w:type="dxa"/>
            <w:tcBorders>
              <w:top w:val="nil"/>
              <w:left w:val="nil"/>
              <w:bottom w:val="single" w:color="auto" w:sz="12" w:space="0"/>
              <w:right w:val="nil"/>
            </w:tcBorders>
            <w:vAlign w:val="center"/>
          </w:tcPr>
          <w:p w14:paraId="76D624ED">
            <w:pPr>
              <w:pStyle w:val="88"/>
              <w:bidi w:val="0"/>
            </w:pPr>
            <w:r>
              <w:rPr>
                <w:rFonts w:hint="eastAsia"/>
              </w:rPr>
              <w:t>81.3</w:t>
            </w:r>
          </w:p>
        </w:tc>
        <w:tc>
          <w:tcPr>
            <w:tcW w:w="772" w:type="dxa"/>
            <w:tcBorders>
              <w:top w:val="nil"/>
              <w:left w:val="nil"/>
              <w:bottom w:val="single" w:color="auto" w:sz="12" w:space="0"/>
              <w:right w:val="nil"/>
            </w:tcBorders>
            <w:vAlign w:val="center"/>
          </w:tcPr>
          <w:p w14:paraId="10538918">
            <w:pPr>
              <w:pStyle w:val="88"/>
              <w:bidi w:val="0"/>
            </w:pPr>
            <w:r>
              <w:rPr>
                <w:rFonts w:hint="eastAsia"/>
              </w:rPr>
              <w:t>82.0</w:t>
            </w:r>
          </w:p>
        </w:tc>
        <w:tc>
          <w:tcPr>
            <w:tcW w:w="772" w:type="dxa"/>
            <w:tcBorders>
              <w:top w:val="nil"/>
              <w:left w:val="nil"/>
              <w:bottom w:val="single" w:color="auto" w:sz="12" w:space="0"/>
              <w:right w:val="nil"/>
            </w:tcBorders>
            <w:vAlign w:val="center"/>
          </w:tcPr>
          <w:p w14:paraId="6FBF0DE5">
            <w:pPr>
              <w:pStyle w:val="88"/>
              <w:bidi w:val="0"/>
            </w:pPr>
            <w:r>
              <w:rPr>
                <w:rFonts w:hint="eastAsia"/>
              </w:rPr>
              <w:t>83.2</w:t>
            </w:r>
          </w:p>
        </w:tc>
        <w:tc>
          <w:tcPr>
            <w:tcW w:w="772" w:type="dxa"/>
            <w:tcBorders>
              <w:top w:val="nil"/>
              <w:left w:val="nil"/>
              <w:bottom w:val="single" w:color="auto" w:sz="12" w:space="0"/>
              <w:right w:val="nil"/>
            </w:tcBorders>
            <w:vAlign w:val="center"/>
          </w:tcPr>
          <w:p w14:paraId="0F850288">
            <w:pPr>
              <w:pStyle w:val="88"/>
              <w:bidi w:val="0"/>
            </w:pPr>
            <w:r>
              <w:rPr>
                <w:rFonts w:hint="eastAsia"/>
              </w:rPr>
              <w:t>93.3</w:t>
            </w:r>
          </w:p>
        </w:tc>
        <w:tc>
          <w:tcPr>
            <w:tcW w:w="772" w:type="dxa"/>
            <w:tcBorders>
              <w:top w:val="nil"/>
              <w:left w:val="nil"/>
              <w:bottom w:val="single" w:color="auto" w:sz="12" w:space="0"/>
              <w:right w:val="nil"/>
            </w:tcBorders>
            <w:vAlign w:val="center"/>
          </w:tcPr>
          <w:p w14:paraId="7CBEC417">
            <w:pPr>
              <w:pStyle w:val="88"/>
              <w:bidi w:val="0"/>
            </w:pPr>
            <w:r>
              <w:rPr>
                <w:rFonts w:hint="eastAsia"/>
              </w:rPr>
              <w:t>95.2</w:t>
            </w:r>
          </w:p>
        </w:tc>
      </w:tr>
    </w:tbl>
    <w:p w14:paraId="469E721C">
      <w:pPr>
        <w:ind w:firstLine="480"/>
        <w:rPr>
          <w:rFonts w:hint="eastAsia"/>
        </w:rPr>
      </w:pPr>
      <w:r>
        <w:t xml:space="preserve"> </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6"/>
        <w:gridCol w:w="4272"/>
      </w:tblGrid>
      <w:tr w14:paraId="47B4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tcPr>
          <w:p w14:paraId="3A1CA179">
            <w:pPr>
              <w:pStyle w:val="92"/>
              <w:widowControl w:val="0"/>
              <w:spacing w:line="240" w:lineRule="auto"/>
              <w:jc w:val="both"/>
              <w:rPr>
                <w:rFonts w:hint="eastAsia" w:eastAsia="楷体"/>
                <w:vertAlign w:val="baseline"/>
                <w:lang w:eastAsia="zh-CN"/>
              </w:rPr>
            </w:pPr>
            <w:r>
              <w:rPr>
                <w:rFonts w:hint="eastAsia" w:eastAsia="楷体"/>
                <w:vertAlign w:val="baseline"/>
                <w:lang w:eastAsia="zh-CN"/>
              </w:rPr>
              <w:drawing>
                <wp:inline distT="0" distB="0" distL="114300" distR="114300">
                  <wp:extent cx="2545715" cy="1909445"/>
                  <wp:effectExtent l="0" t="0" r="14605" b="10795"/>
                  <wp:docPr id="31" name="图片 31" descr="Figure_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igure_541"/>
                          <pic:cNvPicPr>
                            <a:picLocks noChangeAspect="1"/>
                          </pic:cNvPicPr>
                        </pic:nvPicPr>
                        <pic:blipFill>
                          <a:blip r:embed="rId63"/>
                          <a:stretch>
                            <a:fillRect/>
                          </a:stretch>
                        </pic:blipFill>
                        <pic:spPr>
                          <a:xfrm>
                            <a:off x="0" y="0"/>
                            <a:ext cx="2545715" cy="1909445"/>
                          </a:xfrm>
                          <a:prstGeom prst="rect">
                            <a:avLst/>
                          </a:prstGeom>
                        </pic:spPr>
                      </pic:pic>
                    </a:graphicData>
                  </a:graphic>
                </wp:inline>
              </w:drawing>
            </w:r>
          </w:p>
        </w:tc>
        <w:tc>
          <w:tcPr>
            <w:tcW w:w="4264" w:type="dxa"/>
            <w:tcBorders>
              <w:top w:val="nil"/>
              <w:left w:val="nil"/>
              <w:bottom w:val="nil"/>
              <w:right w:val="nil"/>
            </w:tcBorders>
          </w:tcPr>
          <w:p w14:paraId="4DE96A10">
            <w:pPr>
              <w:pStyle w:val="92"/>
              <w:widowControl w:val="0"/>
              <w:spacing w:line="240" w:lineRule="auto"/>
              <w:jc w:val="both"/>
              <w:rPr>
                <w:rFonts w:hint="eastAsia" w:eastAsia="楷体"/>
                <w:vertAlign w:val="baseline"/>
                <w:lang w:eastAsia="zh-CN"/>
              </w:rPr>
            </w:pPr>
            <w:r>
              <w:rPr>
                <w:rFonts w:hint="eastAsia" w:eastAsia="楷体"/>
                <w:vertAlign w:val="baseline"/>
                <w:lang w:eastAsia="zh-CN"/>
              </w:rPr>
              <w:drawing>
                <wp:inline distT="0" distB="0" distL="114300" distR="114300">
                  <wp:extent cx="2567940" cy="1925955"/>
                  <wp:effectExtent l="0" t="0" r="7620" b="9525"/>
                  <wp:docPr id="32" name="图片 32" descr="Figure_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igure_542"/>
                          <pic:cNvPicPr>
                            <a:picLocks noChangeAspect="1"/>
                          </pic:cNvPicPr>
                        </pic:nvPicPr>
                        <pic:blipFill>
                          <a:blip r:embed="rId64"/>
                          <a:stretch>
                            <a:fillRect/>
                          </a:stretch>
                        </pic:blipFill>
                        <pic:spPr>
                          <a:xfrm>
                            <a:off x="0" y="0"/>
                            <a:ext cx="2567940" cy="1925955"/>
                          </a:xfrm>
                          <a:prstGeom prst="rect">
                            <a:avLst/>
                          </a:prstGeom>
                        </pic:spPr>
                      </pic:pic>
                    </a:graphicData>
                  </a:graphic>
                </wp:inline>
              </w:drawing>
            </w:r>
          </w:p>
        </w:tc>
      </w:tr>
      <w:tr w14:paraId="6C7F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tcPr>
          <w:p w14:paraId="6C6B6859">
            <w:pPr>
              <w:pStyle w:val="92"/>
              <w:widowControl w:val="0"/>
              <w:jc w:val="center"/>
              <w:rPr>
                <w:rFonts w:hint="default" w:eastAsia="楷体"/>
                <w:vertAlign w:val="baseline"/>
                <w:lang w:val="en-US" w:eastAsia="zh-CN"/>
              </w:rPr>
            </w:pPr>
            <w:r>
              <w:rPr>
                <w:rFonts w:hint="eastAsia"/>
                <w:vertAlign w:val="baseline"/>
                <w:lang w:eastAsia="zh-CN"/>
              </w:rPr>
              <w:t>（</w:t>
            </w:r>
            <w:r>
              <w:rPr>
                <w:rFonts w:hint="eastAsia"/>
                <w:vertAlign w:val="baseline"/>
                <w:lang w:val="en-US" w:eastAsia="zh-CN"/>
              </w:rPr>
              <w:t>a</w:t>
            </w:r>
            <w:r>
              <w:rPr>
                <w:rFonts w:hint="eastAsia"/>
                <w:vertAlign w:val="baseline"/>
                <w:lang w:eastAsia="zh-CN"/>
              </w:rPr>
              <w:t>）</w:t>
            </w:r>
            <w:r>
              <w:rPr>
                <w:rFonts w:hint="eastAsia"/>
                <w:vertAlign w:val="baseline"/>
                <w:lang w:val="en-US" w:eastAsia="zh-CN"/>
              </w:rPr>
              <w:t>参数消融DACC结果</w:t>
            </w:r>
          </w:p>
        </w:tc>
        <w:tc>
          <w:tcPr>
            <w:tcW w:w="4264" w:type="dxa"/>
            <w:tcBorders>
              <w:top w:val="nil"/>
              <w:left w:val="nil"/>
              <w:bottom w:val="nil"/>
              <w:right w:val="nil"/>
            </w:tcBorders>
          </w:tcPr>
          <w:p w14:paraId="1FAFB0FD">
            <w:pPr>
              <w:pStyle w:val="92"/>
              <w:widowControl w:val="0"/>
              <w:jc w:val="center"/>
              <w:rPr>
                <w:rFonts w:hint="eastAsia"/>
                <w:vertAlign w:val="baseline"/>
              </w:rPr>
            </w:pPr>
            <w:r>
              <w:rPr>
                <w:rFonts w:hint="eastAsia"/>
                <w:vertAlign w:val="baseline"/>
                <w:lang w:eastAsia="zh-CN"/>
              </w:rPr>
              <w:t>（</w:t>
            </w:r>
            <w:r>
              <w:rPr>
                <w:rFonts w:hint="eastAsia"/>
                <w:vertAlign w:val="baseline"/>
                <w:lang w:val="en-US" w:eastAsia="zh-CN"/>
              </w:rPr>
              <w:t>b</w:t>
            </w:r>
            <w:r>
              <w:rPr>
                <w:rFonts w:hint="eastAsia"/>
                <w:vertAlign w:val="baseline"/>
                <w:lang w:eastAsia="zh-CN"/>
              </w:rPr>
              <w:t>）</w:t>
            </w:r>
            <w:r>
              <w:rPr>
                <w:rFonts w:hint="eastAsia"/>
                <w:vertAlign w:val="baseline"/>
                <w:lang w:val="en-US" w:eastAsia="zh-CN"/>
              </w:rPr>
              <w:t>参数消融OACC结果</w:t>
            </w:r>
          </w:p>
        </w:tc>
      </w:tr>
    </w:tbl>
    <w:p w14:paraId="39A0DD29">
      <w:pPr>
        <w:pStyle w:val="92"/>
        <w:rPr>
          <w:rFonts w:hint="eastAsia"/>
        </w:rPr>
      </w:pPr>
      <w:r>
        <w:rPr>
          <w:rFonts w:hint="eastAsia"/>
        </w:rPr>
        <w:t>图</w:t>
      </w:r>
      <w:r>
        <w:rPr>
          <w:rFonts w:hint="eastAsia"/>
          <w:lang w:val="en-US" w:eastAsia="zh-CN"/>
        </w:rPr>
        <w:t>5</w:t>
      </w:r>
      <w:r>
        <w:rPr>
          <w:rFonts w:hint="eastAsia"/>
        </w:rPr>
        <w:t>-</w:t>
      </w:r>
      <w:r>
        <w:rPr>
          <w:rFonts w:hint="eastAsia"/>
          <w:lang w:val="en-US" w:eastAsia="zh-CN"/>
        </w:rPr>
        <w:t>1</w:t>
      </w:r>
      <w:r>
        <w:rPr>
          <w:rFonts w:hint="eastAsia"/>
        </w:rPr>
        <w:t xml:space="preserve"> </w:t>
      </w:r>
      <w:r>
        <w:rPr>
          <w:rFonts w:hint="eastAsia"/>
          <w:lang w:val="en-US" w:eastAsia="zh-CN"/>
        </w:rPr>
        <w:t>NQ数据集上迁移实验结果</w:t>
      </w:r>
    </w:p>
    <w:p w14:paraId="478C74D0">
      <w:pPr>
        <w:ind w:firstLine="480"/>
      </w:pPr>
      <w:r>
        <w:rPr>
          <w:rFonts w:hint="eastAsia"/>
        </w:rPr>
        <w:t>组件消融结果如表5-2所示。总体而言，去除任一关键模块都会导致防御性能下降，说明本文所构建的检索扩展、嵌入空间异常检测、句子级困惑度异常检测以及外部护栏协同机制均具有实际贡献。其中，去掉检索扩展后，三种攻击下的 OACC 分别下降至 88.9%、87.4% 与 87.3%，较完整算法出现明显退化，说明检索扩展能够通过扩大候选集合、提升干净证据占比，为后续异常检测创造更有利的过滤条件；去掉第二阶段的嵌入空间异常检测后，DACC 与 OACC 均出现最明显下降，表明该阶段对于捕捉投毒文本在语义空间中的异常聚集模式具有核心作用，是整个检索护栏的关键检测环节；去掉第三阶段的句子级困惑度异常检测后，在三种攻击下仍出现稳定退化，说明局部语言风格断裂与困惑度跳变等细粒度统计特征能够为嵌入空间检测提供有效补充。此外，去掉输入与输出护栏后，DACC 变化不显著，但在 PIA 场景下 OACC 由 97.1% 明显下降至 84.9%，说明外部护栏虽然并不直接决定检索阶段的文本级判别精度，却能够有效抑制提示注入类攻击在生成端的放大效应。综合来看，完整算法在三类攻击下均取得了最优或接近最优的 DACC 与 OACC，验证了各模块之间具有明显的功能分工与协同增益。</w:t>
      </w:r>
    </w:p>
    <w:p w14:paraId="726A24D4">
      <w:pPr>
        <w:pStyle w:val="8"/>
        <w:keepNext/>
      </w:pPr>
      <w:r>
        <w:rPr>
          <w:rFonts w:hint="eastAsia"/>
        </w:rPr>
        <w:t>表5</w:t>
      </w:r>
      <w:r>
        <w:noBreakHyphen/>
      </w:r>
      <w:r>
        <w:rPr>
          <w:rFonts w:hint="eastAsia"/>
        </w:rPr>
        <w:t>2 防御方法与基线方法的对比实验结果</w:t>
      </w:r>
    </w:p>
    <w:tbl>
      <w:tblPr>
        <w:tblStyle w:val="31"/>
        <w:tblW w:w="8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765"/>
        <w:gridCol w:w="765"/>
        <w:gridCol w:w="765"/>
        <w:gridCol w:w="765"/>
        <w:gridCol w:w="765"/>
        <w:gridCol w:w="765"/>
        <w:gridCol w:w="765"/>
        <w:gridCol w:w="765"/>
        <w:gridCol w:w="765"/>
        <w:gridCol w:w="765"/>
      </w:tblGrid>
      <w:tr w14:paraId="2D51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restart"/>
            <w:tcBorders>
              <w:top w:val="single" w:color="auto" w:sz="12" w:space="0"/>
              <w:left w:val="nil"/>
              <w:bottom w:val="single" w:color="auto" w:sz="4" w:space="0"/>
              <w:right w:val="nil"/>
            </w:tcBorders>
            <w:vAlign w:val="center"/>
          </w:tcPr>
          <w:p w14:paraId="6D13CDFA">
            <w:pPr>
              <w:pStyle w:val="88"/>
              <w:bidi w:val="0"/>
            </w:pPr>
            <w:r>
              <w:rPr>
                <w:rFonts w:hint="eastAsia"/>
              </w:rPr>
              <w:t>攻击方法</w:t>
            </w:r>
          </w:p>
        </w:tc>
        <w:tc>
          <w:tcPr>
            <w:tcW w:w="7650" w:type="dxa"/>
            <w:gridSpan w:val="10"/>
            <w:tcBorders>
              <w:top w:val="single" w:color="auto" w:sz="12" w:space="0"/>
              <w:left w:val="nil"/>
              <w:bottom w:val="nil"/>
              <w:right w:val="nil"/>
            </w:tcBorders>
            <w:vAlign w:val="center"/>
          </w:tcPr>
          <w:p w14:paraId="2BD1DE7E">
            <w:pPr>
              <w:pStyle w:val="88"/>
              <w:bidi w:val="0"/>
            </w:pPr>
            <w:r>
              <w:rPr>
                <w:rFonts w:hint="eastAsia"/>
              </w:rPr>
              <w:t>防御方法</w:t>
            </w:r>
          </w:p>
        </w:tc>
      </w:tr>
      <w:tr w14:paraId="51D3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continue"/>
            <w:tcBorders>
              <w:top w:val="single" w:color="auto" w:sz="4" w:space="0"/>
              <w:left w:val="nil"/>
              <w:bottom w:val="nil"/>
              <w:right w:val="nil"/>
            </w:tcBorders>
            <w:vAlign w:val="center"/>
          </w:tcPr>
          <w:p w14:paraId="21FE850B">
            <w:pPr>
              <w:pStyle w:val="88"/>
              <w:bidi w:val="0"/>
            </w:pPr>
          </w:p>
        </w:tc>
        <w:tc>
          <w:tcPr>
            <w:tcW w:w="1530" w:type="dxa"/>
            <w:gridSpan w:val="2"/>
            <w:tcBorders>
              <w:top w:val="nil"/>
              <w:left w:val="nil"/>
              <w:bottom w:val="single" w:color="auto" w:sz="4" w:space="0"/>
              <w:right w:val="nil"/>
            </w:tcBorders>
            <w:vAlign w:val="center"/>
          </w:tcPr>
          <w:p w14:paraId="3C42B629">
            <w:pPr>
              <w:pStyle w:val="88"/>
              <w:bidi w:val="0"/>
            </w:pPr>
            <w:r>
              <w:rPr>
                <w:rFonts w:hint="eastAsia"/>
              </w:rPr>
              <w:t>无检索扩展</w:t>
            </w:r>
          </w:p>
        </w:tc>
        <w:tc>
          <w:tcPr>
            <w:tcW w:w="1530" w:type="dxa"/>
            <w:gridSpan w:val="2"/>
            <w:tcBorders>
              <w:top w:val="nil"/>
              <w:left w:val="nil"/>
              <w:bottom w:val="single" w:color="auto" w:sz="4" w:space="0"/>
              <w:right w:val="nil"/>
            </w:tcBorders>
            <w:vAlign w:val="center"/>
          </w:tcPr>
          <w:p w14:paraId="66532174">
            <w:pPr>
              <w:pStyle w:val="88"/>
              <w:bidi w:val="0"/>
            </w:pPr>
            <w:r>
              <w:rPr>
                <w:rFonts w:hint="eastAsia"/>
              </w:rPr>
              <w:t>无阶段2</w:t>
            </w:r>
          </w:p>
        </w:tc>
        <w:tc>
          <w:tcPr>
            <w:tcW w:w="1530" w:type="dxa"/>
            <w:gridSpan w:val="2"/>
            <w:tcBorders>
              <w:top w:val="nil"/>
              <w:left w:val="nil"/>
              <w:bottom w:val="single" w:color="auto" w:sz="4" w:space="0"/>
              <w:right w:val="nil"/>
            </w:tcBorders>
            <w:vAlign w:val="center"/>
          </w:tcPr>
          <w:p w14:paraId="1E3741D3">
            <w:pPr>
              <w:pStyle w:val="88"/>
              <w:bidi w:val="0"/>
            </w:pPr>
            <w:r>
              <w:rPr>
                <w:rFonts w:hint="eastAsia"/>
              </w:rPr>
              <w:t>无阶段3</w:t>
            </w:r>
          </w:p>
        </w:tc>
        <w:tc>
          <w:tcPr>
            <w:tcW w:w="1530" w:type="dxa"/>
            <w:gridSpan w:val="2"/>
            <w:tcBorders>
              <w:top w:val="nil"/>
              <w:left w:val="nil"/>
              <w:bottom w:val="single" w:color="auto" w:sz="4" w:space="0"/>
              <w:right w:val="nil"/>
            </w:tcBorders>
            <w:vAlign w:val="center"/>
          </w:tcPr>
          <w:p w14:paraId="48E4F798">
            <w:pPr>
              <w:pStyle w:val="88"/>
              <w:bidi w:val="0"/>
            </w:pPr>
            <w:r>
              <w:rPr>
                <w:rFonts w:hint="eastAsia"/>
              </w:rPr>
              <w:t>无外部护栏</w:t>
            </w:r>
          </w:p>
        </w:tc>
        <w:tc>
          <w:tcPr>
            <w:tcW w:w="1530" w:type="dxa"/>
            <w:gridSpan w:val="2"/>
            <w:tcBorders>
              <w:top w:val="nil"/>
              <w:left w:val="nil"/>
              <w:bottom w:val="single" w:color="auto" w:sz="4" w:space="0"/>
              <w:right w:val="nil"/>
            </w:tcBorders>
            <w:vAlign w:val="center"/>
          </w:tcPr>
          <w:p w14:paraId="12FB680D">
            <w:pPr>
              <w:pStyle w:val="88"/>
              <w:bidi w:val="0"/>
            </w:pPr>
            <w:r>
              <w:rPr>
                <w:rFonts w:hint="eastAsia"/>
              </w:rPr>
              <w:t>完整算法</w:t>
            </w:r>
          </w:p>
        </w:tc>
      </w:tr>
      <w:tr w14:paraId="2372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continue"/>
            <w:tcBorders>
              <w:top w:val="nil"/>
              <w:left w:val="nil"/>
              <w:bottom w:val="single" w:color="auto" w:sz="4" w:space="0"/>
              <w:right w:val="nil"/>
            </w:tcBorders>
            <w:vAlign w:val="center"/>
          </w:tcPr>
          <w:p w14:paraId="365A1628">
            <w:pPr>
              <w:pStyle w:val="88"/>
              <w:bidi w:val="0"/>
            </w:pPr>
          </w:p>
        </w:tc>
        <w:tc>
          <w:tcPr>
            <w:tcW w:w="765" w:type="dxa"/>
            <w:tcBorders>
              <w:top w:val="single" w:color="auto" w:sz="4" w:space="0"/>
              <w:left w:val="nil"/>
              <w:bottom w:val="single" w:color="auto" w:sz="4" w:space="0"/>
              <w:right w:val="nil"/>
            </w:tcBorders>
            <w:vAlign w:val="center"/>
          </w:tcPr>
          <w:p w14:paraId="3910E056">
            <w:pPr>
              <w:pStyle w:val="88"/>
              <w:bidi w:val="0"/>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577B1AFB">
            <w:pPr>
              <w:pStyle w:val="88"/>
              <w:bidi w:val="0"/>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28C703EC">
            <w:pPr>
              <w:pStyle w:val="88"/>
              <w:bidi w:val="0"/>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75EE4E6C">
            <w:pPr>
              <w:pStyle w:val="88"/>
              <w:bidi w:val="0"/>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52436F55">
            <w:pPr>
              <w:pStyle w:val="88"/>
              <w:bidi w:val="0"/>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0012F184">
            <w:pPr>
              <w:pStyle w:val="88"/>
              <w:bidi w:val="0"/>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71C7FC10">
            <w:pPr>
              <w:pStyle w:val="88"/>
              <w:bidi w:val="0"/>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201DEAFA">
            <w:pPr>
              <w:pStyle w:val="88"/>
              <w:bidi w:val="0"/>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36CC2EFF">
            <w:pPr>
              <w:pStyle w:val="88"/>
              <w:bidi w:val="0"/>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5233ACA0">
            <w:pPr>
              <w:pStyle w:val="88"/>
              <w:bidi w:val="0"/>
              <w:rPr>
                <w:sz w:val="18"/>
                <w:szCs w:val="21"/>
              </w:rPr>
            </w:pPr>
            <w:r>
              <w:rPr>
                <w:rFonts w:hint="eastAsia"/>
                <w:sz w:val="18"/>
                <w:szCs w:val="21"/>
              </w:rPr>
              <w:t>OACC</w:t>
            </w:r>
          </w:p>
        </w:tc>
      </w:tr>
      <w:tr w14:paraId="159A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051" w:type="dxa"/>
            <w:tcBorders>
              <w:top w:val="single" w:color="auto" w:sz="4" w:space="0"/>
              <w:left w:val="nil"/>
              <w:bottom w:val="nil"/>
              <w:right w:val="nil"/>
            </w:tcBorders>
            <w:vAlign w:val="center"/>
          </w:tcPr>
          <w:p w14:paraId="7424C062">
            <w:pPr>
              <w:pStyle w:val="88"/>
              <w:bidi w:val="0"/>
            </w:pPr>
            <w:r>
              <w:rPr>
                <w:rFonts w:hint="eastAsia"/>
              </w:rPr>
              <w:t>Poisoned</w:t>
            </w:r>
            <w:r>
              <w:rPr>
                <w:rFonts w:hint="eastAsia"/>
                <w:lang w:val="en-US" w:eastAsia="zh-CN"/>
              </w:rPr>
              <w:t>-</w:t>
            </w:r>
            <w:r>
              <w:rPr>
                <w:rFonts w:hint="eastAsia"/>
              </w:rPr>
              <w:t>RAG</w:t>
            </w:r>
          </w:p>
        </w:tc>
        <w:tc>
          <w:tcPr>
            <w:tcW w:w="765" w:type="dxa"/>
            <w:tcBorders>
              <w:top w:val="single" w:color="auto" w:sz="4" w:space="0"/>
              <w:left w:val="nil"/>
              <w:bottom w:val="nil"/>
              <w:right w:val="nil"/>
            </w:tcBorders>
            <w:vAlign w:val="center"/>
          </w:tcPr>
          <w:p w14:paraId="40F55607">
            <w:pPr>
              <w:pStyle w:val="88"/>
              <w:bidi w:val="0"/>
            </w:pPr>
            <w:r>
              <w:rPr>
                <w:rFonts w:hint="eastAsia"/>
              </w:rPr>
              <w:t>93.8</w:t>
            </w:r>
          </w:p>
        </w:tc>
        <w:tc>
          <w:tcPr>
            <w:tcW w:w="765" w:type="dxa"/>
            <w:tcBorders>
              <w:top w:val="single" w:color="auto" w:sz="4" w:space="0"/>
              <w:left w:val="nil"/>
              <w:bottom w:val="nil"/>
              <w:right w:val="nil"/>
            </w:tcBorders>
            <w:vAlign w:val="center"/>
          </w:tcPr>
          <w:p w14:paraId="1EF23013">
            <w:pPr>
              <w:pStyle w:val="88"/>
              <w:bidi w:val="0"/>
            </w:pPr>
            <w:r>
              <w:rPr>
                <w:rFonts w:hint="eastAsia"/>
              </w:rPr>
              <w:t>88.9</w:t>
            </w:r>
          </w:p>
        </w:tc>
        <w:tc>
          <w:tcPr>
            <w:tcW w:w="765" w:type="dxa"/>
            <w:tcBorders>
              <w:top w:val="single" w:color="auto" w:sz="4" w:space="0"/>
              <w:left w:val="nil"/>
              <w:bottom w:val="nil"/>
              <w:right w:val="nil"/>
            </w:tcBorders>
            <w:vAlign w:val="center"/>
          </w:tcPr>
          <w:p w14:paraId="4C2B0119">
            <w:pPr>
              <w:pStyle w:val="88"/>
              <w:bidi w:val="0"/>
            </w:pPr>
            <w:r>
              <w:rPr>
                <w:rFonts w:hint="eastAsia"/>
              </w:rPr>
              <w:t>85.3</w:t>
            </w:r>
          </w:p>
        </w:tc>
        <w:tc>
          <w:tcPr>
            <w:tcW w:w="765" w:type="dxa"/>
            <w:tcBorders>
              <w:top w:val="single" w:color="auto" w:sz="4" w:space="0"/>
              <w:left w:val="nil"/>
              <w:bottom w:val="nil"/>
              <w:right w:val="nil"/>
            </w:tcBorders>
            <w:vAlign w:val="center"/>
          </w:tcPr>
          <w:p w14:paraId="28D5FEC4">
            <w:pPr>
              <w:pStyle w:val="88"/>
              <w:bidi w:val="0"/>
            </w:pPr>
            <w:r>
              <w:rPr>
                <w:rFonts w:hint="eastAsia"/>
              </w:rPr>
              <w:t>87.4</w:t>
            </w:r>
          </w:p>
        </w:tc>
        <w:tc>
          <w:tcPr>
            <w:tcW w:w="765" w:type="dxa"/>
            <w:tcBorders>
              <w:top w:val="single" w:color="auto" w:sz="4" w:space="0"/>
              <w:left w:val="nil"/>
              <w:bottom w:val="nil"/>
              <w:right w:val="nil"/>
            </w:tcBorders>
            <w:vAlign w:val="center"/>
          </w:tcPr>
          <w:p w14:paraId="349B6126">
            <w:pPr>
              <w:pStyle w:val="88"/>
              <w:bidi w:val="0"/>
            </w:pPr>
            <w:r>
              <w:rPr>
                <w:rFonts w:hint="eastAsia"/>
              </w:rPr>
              <w:t>91.2</w:t>
            </w:r>
          </w:p>
        </w:tc>
        <w:tc>
          <w:tcPr>
            <w:tcW w:w="765" w:type="dxa"/>
            <w:tcBorders>
              <w:top w:val="single" w:color="auto" w:sz="4" w:space="0"/>
              <w:left w:val="nil"/>
              <w:bottom w:val="nil"/>
              <w:right w:val="nil"/>
            </w:tcBorders>
            <w:vAlign w:val="center"/>
          </w:tcPr>
          <w:p w14:paraId="47EAAE45">
            <w:pPr>
              <w:pStyle w:val="88"/>
              <w:bidi w:val="0"/>
            </w:pPr>
            <w:r>
              <w:rPr>
                <w:rFonts w:hint="eastAsia"/>
              </w:rPr>
              <w:t>93.7</w:t>
            </w:r>
          </w:p>
        </w:tc>
        <w:tc>
          <w:tcPr>
            <w:tcW w:w="765" w:type="dxa"/>
            <w:tcBorders>
              <w:top w:val="single" w:color="auto" w:sz="4" w:space="0"/>
              <w:left w:val="nil"/>
              <w:bottom w:val="nil"/>
              <w:right w:val="nil"/>
            </w:tcBorders>
            <w:vAlign w:val="center"/>
          </w:tcPr>
          <w:p w14:paraId="112C6124">
            <w:pPr>
              <w:pStyle w:val="88"/>
              <w:bidi w:val="0"/>
            </w:pPr>
            <w:r>
              <w:rPr>
                <w:rFonts w:hint="eastAsia"/>
              </w:rPr>
              <w:t>93.2</w:t>
            </w:r>
          </w:p>
        </w:tc>
        <w:tc>
          <w:tcPr>
            <w:tcW w:w="765" w:type="dxa"/>
            <w:tcBorders>
              <w:top w:val="single" w:color="auto" w:sz="4" w:space="0"/>
              <w:left w:val="nil"/>
              <w:bottom w:val="nil"/>
              <w:right w:val="nil"/>
            </w:tcBorders>
            <w:vAlign w:val="center"/>
          </w:tcPr>
          <w:p w14:paraId="6E974DE9">
            <w:pPr>
              <w:pStyle w:val="88"/>
              <w:bidi w:val="0"/>
            </w:pPr>
            <w:r>
              <w:rPr>
                <w:rFonts w:hint="eastAsia"/>
              </w:rPr>
              <w:t>95.0</w:t>
            </w:r>
          </w:p>
        </w:tc>
        <w:tc>
          <w:tcPr>
            <w:tcW w:w="765" w:type="dxa"/>
            <w:tcBorders>
              <w:top w:val="single" w:color="auto" w:sz="4" w:space="0"/>
              <w:left w:val="nil"/>
              <w:bottom w:val="nil"/>
              <w:right w:val="nil"/>
            </w:tcBorders>
            <w:vAlign w:val="center"/>
          </w:tcPr>
          <w:p w14:paraId="3D94C773">
            <w:pPr>
              <w:pStyle w:val="88"/>
              <w:bidi w:val="0"/>
            </w:pPr>
            <w:r>
              <w:rPr>
                <w:rFonts w:hint="eastAsia"/>
              </w:rPr>
              <w:t>95.0</w:t>
            </w:r>
          </w:p>
        </w:tc>
        <w:tc>
          <w:tcPr>
            <w:tcW w:w="765" w:type="dxa"/>
            <w:tcBorders>
              <w:top w:val="single" w:color="auto" w:sz="4" w:space="0"/>
              <w:left w:val="nil"/>
              <w:bottom w:val="nil"/>
              <w:right w:val="nil"/>
            </w:tcBorders>
            <w:vAlign w:val="center"/>
          </w:tcPr>
          <w:p w14:paraId="0FB45E86">
            <w:pPr>
              <w:pStyle w:val="88"/>
              <w:bidi w:val="0"/>
            </w:pPr>
            <w:r>
              <w:rPr>
                <w:rFonts w:hint="eastAsia"/>
              </w:rPr>
              <w:t>97.0</w:t>
            </w:r>
          </w:p>
        </w:tc>
      </w:tr>
      <w:tr w14:paraId="001A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Borders>
              <w:top w:val="nil"/>
              <w:left w:val="nil"/>
              <w:bottom w:val="nil"/>
              <w:right w:val="nil"/>
            </w:tcBorders>
            <w:vAlign w:val="center"/>
          </w:tcPr>
          <w:p w14:paraId="71F779FD">
            <w:pPr>
              <w:pStyle w:val="88"/>
              <w:bidi w:val="0"/>
            </w:pPr>
            <w:r>
              <w:rPr>
                <w:rFonts w:hint="eastAsia"/>
              </w:rPr>
              <w:t>PIA</w:t>
            </w:r>
          </w:p>
        </w:tc>
        <w:tc>
          <w:tcPr>
            <w:tcW w:w="765" w:type="dxa"/>
            <w:tcBorders>
              <w:top w:val="nil"/>
              <w:left w:val="nil"/>
              <w:bottom w:val="nil"/>
              <w:right w:val="nil"/>
            </w:tcBorders>
            <w:vAlign w:val="center"/>
          </w:tcPr>
          <w:p w14:paraId="3E0FC902">
            <w:pPr>
              <w:pStyle w:val="88"/>
              <w:bidi w:val="0"/>
            </w:pPr>
            <w:r>
              <w:rPr>
                <w:rFonts w:hint="eastAsia"/>
              </w:rPr>
              <w:t>91.7</w:t>
            </w:r>
          </w:p>
        </w:tc>
        <w:tc>
          <w:tcPr>
            <w:tcW w:w="765" w:type="dxa"/>
            <w:tcBorders>
              <w:top w:val="nil"/>
              <w:left w:val="nil"/>
              <w:bottom w:val="nil"/>
              <w:right w:val="nil"/>
            </w:tcBorders>
            <w:vAlign w:val="center"/>
          </w:tcPr>
          <w:p w14:paraId="7E9F335B">
            <w:pPr>
              <w:pStyle w:val="88"/>
              <w:bidi w:val="0"/>
            </w:pPr>
            <w:r>
              <w:rPr>
                <w:rFonts w:hint="eastAsia"/>
              </w:rPr>
              <w:t>87.4</w:t>
            </w:r>
          </w:p>
        </w:tc>
        <w:tc>
          <w:tcPr>
            <w:tcW w:w="765" w:type="dxa"/>
            <w:tcBorders>
              <w:top w:val="nil"/>
              <w:left w:val="nil"/>
              <w:bottom w:val="nil"/>
              <w:right w:val="nil"/>
            </w:tcBorders>
            <w:vAlign w:val="center"/>
          </w:tcPr>
          <w:p w14:paraId="3C821DE6">
            <w:pPr>
              <w:pStyle w:val="88"/>
              <w:bidi w:val="0"/>
            </w:pPr>
            <w:r>
              <w:rPr>
                <w:rFonts w:hint="eastAsia"/>
              </w:rPr>
              <w:t>83.9</w:t>
            </w:r>
          </w:p>
        </w:tc>
        <w:tc>
          <w:tcPr>
            <w:tcW w:w="765" w:type="dxa"/>
            <w:tcBorders>
              <w:top w:val="nil"/>
              <w:left w:val="nil"/>
              <w:bottom w:val="nil"/>
              <w:right w:val="nil"/>
            </w:tcBorders>
            <w:vAlign w:val="center"/>
          </w:tcPr>
          <w:p w14:paraId="66C1D380">
            <w:pPr>
              <w:pStyle w:val="88"/>
              <w:bidi w:val="0"/>
            </w:pPr>
            <w:r>
              <w:rPr>
                <w:rFonts w:hint="eastAsia"/>
              </w:rPr>
              <w:t>85.1</w:t>
            </w:r>
          </w:p>
        </w:tc>
        <w:tc>
          <w:tcPr>
            <w:tcW w:w="765" w:type="dxa"/>
            <w:tcBorders>
              <w:top w:val="nil"/>
              <w:left w:val="nil"/>
              <w:bottom w:val="nil"/>
              <w:right w:val="nil"/>
            </w:tcBorders>
            <w:vAlign w:val="center"/>
          </w:tcPr>
          <w:p w14:paraId="34DBB243">
            <w:pPr>
              <w:pStyle w:val="88"/>
              <w:bidi w:val="0"/>
            </w:pPr>
            <w:r>
              <w:rPr>
                <w:rFonts w:hint="eastAsia"/>
              </w:rPr>
              <w:t>90.8</w:t>
            </w:r>
          </w:p>
        </w:tc>
        <w:tc>
          <w:tcPr>
            <w:tcW w:w="765" w:type="dxa"/>
            <w:tcBorders>
              <w:top w:val="nil"/>
              <w:left w:val="nil"/>
              <w:bottom w:val="nil"/>
              <w:right w:val="nil"/>
            </w:tcBorders>
            <w:vAlign w:val="center"/>
          </w:tcPr>
          <w:p w14:paraId="6B52893B">
            <w:pPr>
              <w:pStyle w:val="88"/>
              <w:bidi w:val="0"/>
            </w:pPr>
            <w:r>
              <w:rPr>
                <w:rFonts w:hint="eastAsia"/>
              </w:rPr>
              <w:t>92.3</w:t>
            </w:r>
          </w:p>
        </w:tc>
        <w:tc>
          <w:tcPr>
            <w:tcW w:w="765" w:type="dxa"/>
            <w:tcBorders>
              <w:top w:val="nil"/>
              <w:left w:val="nil"/>
              <w:bottom w:val="nil"/>
              <w:right w:val="nil"/>
            </w:tcBorders>
            <w:vAlign w:val="center"/>
          </w:tcPr>
          <w:p w14:paraId="586794EB">
            <w:pPr>
              <w:pStyle w:val="88"/>
              <w:bidi w:val="0"/>
            </w:pPr>
            <w:r>
              <w:rPr>
                <w:rFonts w:hint="eastAsia"/>
              </w:rPr>
              <w:t>90.1</w:t>
            </w:r>
          </w:p>
        </w:tc>
        <w:tc>
          <w:tcPr>
            <w:tcW w:w="765" w:type="dxa"/>
            <w:tcBorders>
              <w:top w:val="nil"/>
              <w:left w:val="nil"/>
              <w:bottom w:val="nil"/>
              <w:right w:val="nil"/>
            </w:tcBorders>
            <w:vAlign w:val="center"/>
          </w:tcPr>
          <w:p w14:paraId="18C8D836">
            <w:pPr>
              <w:pStyle w:val="88"/>
              <w:bidi w:val="0"/>
            </w:pPr>
            <w:r>
              <w:rPr>
                <w:rFonts w:hint="eastAsia"/>
              </w:rPr>
              <w:t>84.9</w:t>
            </w:r>
          </w:p>
        </w:tc>
        <w:tc>
          <w:tcPr>
            <w:tcW w:w="765" w:type="dxa"/>
            <w:tcBorders>
              <w:top w:val="nil"/>
              <w:left w:val="nil"/>
              <w:bottom w:val="nil"/>
              <w:right w:val="nil"/>
            </w:tcBorders>
            <w:vAlign w:val="center"/>
          </w:tcPr>
          <w:p w14:paraId="6C1B451D">
            <w:pPr>
              <w:pStyle w:val="88"/>
              <w:bidi w:val="0"/>
            </w:pPr>
            <w:r>
              <w:rPr>
                <w:rFonts w:hint="eastAsia"/>
              </w:rPr>
              <w:t>93.0</w:t>
            </w:r>
          </w:p>
        </w:tc>
        <w:tc>
          <w:tcPr>
            <w:tcW w:w="765" w:type="dxa"/>
            <w:tcBorders>
              <w:top w:val="nil"/>
              <w:left w:val="nil"/>
              <w:bottom w:val="nil"/>
              <w:right w:val="nil"/>
            </w:tcBorders>
            <w:vAlign w:val="center"/>
          </w:tcPr>
          <w:p w14:paraId="6D375DE5">
            <w:pPr>
              <w:pStyle w:val="88"/>
              <w:bidi w:val="0"/>
            </w:pPr>
            <w:r>
              <w:rPr>
                <w:rFonts w:hint="eastAsia"/>
              </w:rPr>
              <w:t>97.1</w:t>
            </w:r>
          </w:p>
        </w:tc>
      </w:tr>
      <w:tr w14:paraId="1A19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Borders>
              <w:top w:val="nil"/>
              <w:left w:val="nil"/>
              <w:bottom w:val="single" w:color="auto" w:sz="12" w:space="0"/>
              <w:right w:val="nil"/>
            </w:tcBorders>
            <w:vAlign w:val="center"/>
          </w:tcPr>
          <w:p w14:paraId="04F7A07E">
            <w:pPr>
              <w:pStyle w:val="88"/>
              <w:bidi w:val="0"/>
            </w:pPr>
            <w:r>
              <w:rPr>
                <w:rFonts w:hint="eastAsia"/>
              </w:rPr>
              <w:t>本文</w:t>
            </w:r>
          </w:p>
        </w:tc>
        <w:tc>
          <w:tcPr>
            <w:tcW w:w="765" w:type="dxa"/>
            <w:tcBorders>
              <w:top w:val="nil"/>
              <w:left w:val="nil"/>
              <w:bottom w:val="single" w:color="auto" w:sz="12" w:space="0"/>
              <w:right w:val="nil"/>
            </w:tcBorders>
            <w:vAlign w:val="center"/>
          </w:tcPr>
          <w:p w14:paraId="2AD4BE05">
            <w:pPr>
              <w:pStyle w:val="88"/>
              <w:bidi w:val="0"/>
            </w:pPr>
            <w:r>
              <w:rPr>
                <w:rFonts w:hint="eastAsia"/>
              </w:rPr>
              <w:t>91.1</w:t>
            </w:r>
          </w:p>
        </w:tc>
        <w:tc>
          <w:tcPr>
            <w:tcW w:w="765" w:type="dxa"/>
            <w:tcBorders>
              <w:top w:val="nil"/>
              <w:left w:val="nil"/>
              <w:bottom w:val="single" w:color="auto" w:sz="12" w:space="0"/>
              <w:right w:val="nil"/>
            </w:tcBorders>
            <w:vAlign w:val="center"/>
          </w:tcPr>
          <w:p w14:paraId="3E8A892A">
            <w:pPr>
              <w:pStyle w:val="88"/>
              <w:bidi w:val="0"/>
            </w:pPr>
            <w:r>
              <w:rPr>
                <w:rFonts w:hint="eastAsia"/>
              </w:rPr>
              <w:t>87.3</w:t>
            </w:r>
          </w:p>
        </w:tc>
        <w:tc>
          <w:tcPr>
            <w:tcW w:w="765" w:type="dxa"/>
            <w:tcBorders>
              <w:top w:val="nil"/>
              <w:left w:val="nil"/>
              <w:bottom w:val="single" w:color="auto" w:sz="12" w:space="0"/>
              <w:right w:val="nil"/>
            </w:tcBorders>
            <w:vAlign w:val="center"/>
          </w:tcPr>
          <w:p w14:paraId="63BCDE85">
            <w:pPr>
              <w:pStyle w:val="88"/>
              <w:bidi w:val="0"/>
            </w:pPr>
            <w:r>
              <w:rPr>
                <w:rFonts w:hint="eastAsia"/>
              </w:rPr>
              <w:t>82.5</w:t>
            </w:r>
          </w:p>
        </w:tc>
        <w:tc>
          <w:tcPr>
            <w:tcW w:w="765" w:type="dxa"/>
            <w:tcBorders>
              <w:top w:val="nil"/>
              <w:left w:val="nil"/>
              <w:bottom w:val="single" w:color="auto" w:sz="12" w:space="0"/>
              <w:right w:val="nil"/>
            </w:tcBorders>
            <w:vAlign w:val="center"/>
          </w:tcPr>
          <w:p w14:paraId="5FB176C5">
            <w:pPr>
              <w:pStyle w:val="88"/>
              <w:bidi w:val="0"/>
            </w:pPr>
            <w:r>
              <w:rPr>
                <w:rFonts w:hint="eastAsia"/>
              </w:rPr>
              <w:t>84.0</w:t>
            </w:r>
          </w:p>
        </w:tc>
        <w:tc>
          <w:tcPr>
            <w:tcW w:w="765" w:type="dxa"/>
            <w:tcBorders>
              <w:top w:val="nil"/>
              <w:left w:val="nil"/>
              <w:bottom w:val="single" w:color="auto" w:sz="12" w:space="0"/>
              <w:right w:val="nil"/>
            </w:tcBorders>
            <w:vAlign w:val="center"/>
          </w:tcPr>
          <w:p w14:paraId="36265755">
            <w:pPr>
              <w:pStyle w:val="88"/>
              <w:bidi w:val="0"/>
            </w:pPr>
            <w:r>
              <w:rPr>
                <w:rFonts w:hint="eastAsia"/>
              </w:rPr>
              <w:t>90.1</w:t>
            </w:r>
          </w:p>
        </w:tc>
        <w:tc>
          <w:tcPr>
            <w:tcW w:w="765" w:type="dxa"/>
            <w:tcBorders>
              <w:top w:val="nil"/>
              <w:left w:val="nil"/>
              <w:bottom w:val="single" w:color="auto" w:sz="12" w:space="0"/>
              <w:right w:val="nil"/>
            </w:tcBorders>
            <w:vAlign w:val="center"/>
          </w:tcPr>
          <w:p w14:paraId="77F123B4">
            <w:pPr>
              <w:pStyle w:val="88"/>
              <w:bidi w:val="0"/>
            </w:pPr>
            <w:r>
              <w:rPr>
                <w:rFonts w:hint="eastAsia"/>
              </w:rPr>
              <w:t>91.9</w:t>
            </w:r>
          </w:p>
        </w:tc>
        <w:tc>
          <w:tcPr>
            <w:tcW w:w="765" w:type="dxa"/>
            <w:tcBorders>
              <w:top w:val="nil"/>
              <w:left w:val="nil"/>
              <w:bottom w:val="single" w:color="auto" w:sz="12" w:space="0"/>
              <w:right w:val="nil"/>
            </w:tcBorders>
            <w:vAlign w:val="center"/>
          </w:tcPr>
          <w:p w14:paraId="78F3A9B2">
            <w:pPr>
              <w:pStyle w:val="88"/>
              <w:bidi w:val="0"/>
            </w:pPr>
            <w:r>
              <w:rPr>
                <w:rFonts w:hint="eastAsia"/>
              </w:rPr>
              <w:t>92.1</w:t>
            </w:r>
          </w:p>
        </w:tc>
        <w:tc>
          <w:tcPr>
            <w:tcW w:w="765" w:type="dxa"/>
            <w:tcBorders>
              <w:top w:val="nil"/>
              <w:left w:val="nil"/>
              <w:bottom w:val="single" w:color="auto" w:sz="12" w:space="0"/>
              <w:right w:val="nil"/>
            </w:tcBorders>
            <w:vAlign w:val="center"/>
          </w:tcPr>
          <w:p w14:paraId="36C214DD">
            <w:pPr>
              <w:pStyle w:val="88"/>
              <w:bidi w:val="0"/>
            </w:pPr>
            <w:r>
              <w:rPr>
                <w:rFonts w:hint="eastAsia"/>
              </w:rPr>
              <w:t>93.9</w:t>
            </w:r>
          </w:p>
        </w:tc>
        <w:tc>
          <w:tcPr>
            <w:tcW w:w="765" w:type="dxa"/>
            <w:tcBorders>
              <w:top w:val="nil"/>
              <w:left w:val="nil"/>
              <w:bottom w:val="single" w:color="auto" w:sz="12" w:space="0"/>
              <w:right w:val="nil"/>
            </w:tcBorders>
            <w:vAlign w:val="center"/>
          </w:tcPr>
          <w:p w14:paraId="4EA73E39">
            <w:pPr>
              <w:pStyle w:val="88"/>
              <w:bidi w:val="0"/>
            </w:pPr>
            <w:r>
              <w:rPr>
                <w:rFonts w:hint="eastAsia"/>
              </w:rPr>
              <w:t>93.3</w:t>
            </w:r>
          </w:p>
        </w:tc>
        <w:tc>
          <w:tcPr>
            <w:tcW w:w="765" w:type="dxa"/>
            <w:tcBorders>
              <w:top w:val="nil"/>
              <w:left w:val="nil"/>
              <w:bottom w:val="single" w:color="auto" w:sz="12" w:space="0"/>
              <w:right w:val="nil"/>
            </w:tcBorders>
            <w:vAlign w:val="center"/>
          </w:tcPr>
          <w:p w14:paraId="010AE5AE">
            <w:pPr>
              <w:pStyle w:val="88"/>
              <w:bidi w:val="0"/>
            </w:pPr>
            <w:r>
              <w:rPr>
                <w:rFonts w:hint="eastAsia"/>
              </w:rPr>
              <w:t>95.2</w:t>
            </w:r>
          </w:p>
        </w:tc>
      </w:tr>
    </w:tbl>
    <w:p w14:paraId="71232DE7">
      <w:pPr>
        <w:ind w:firstLine="480"/>
      </w:pPr>
      <w:r>
        <w:t>运行时间开销实验结果如</w:t>
      </w:r>
      <w:r>
        <w:rPr>
          <w:rFonts w:hint="eastAsia"/>
        </w:rPr>
        <w:t>图</w:t>
      </w:r>
      <w:r>
        <w:t>5-</w:t>
      </w:r>
      <w:r>
        <w:rPr>
          <w:rFonts w:hint="eastAsia"/>
          <w:lang w:val="en-US" w:eastAsia="zh-CN"/>
        </w:rPr>
        <w:t>2</w:t>
      </w:r>
      <w:r>
        <w:t>所示</w:t>
      </w:r>
      <w:r>
        <w:rPr>
          <w:rFonts w:hint="eastAsia"/>
          <w:lang w:eastAsia="zh-CN"/>
        </w:rPr>
        <w:t>。</w:t>
      </w:r>
      <w:r>
        <w:rPr>
          <w:rFonts w:hint="eastAsia"/>
        </w:rPr>
        <w:t>整体来看，本文方法在三种攻击场景和三个数据集上均表现出相对更高但仍处于可接受范围内的时间开销。由于所设计的组合式检索护栏在在线推理阶段额外引入了检索扩展、嵌入空间异常检测以及句子级困惑度分析等处理步骤，增加了候选证据过滤与重排序的计算量</w:t>
      </w:r>
      <w:r>
        <w:t>。</w:t>
      </w:r>
      <w:r>
        <w:rPr>
          <w:rFonts w:hint="eastAsia"/>
        </w:rPr>
        <w:t>本文方法在全部实验设置下的时间开销始终稳定控制在 1.20–1.32 s 区间内，跨数据集与跨攻击波动较小，整体仍具备较好的运行稳定性与工程部署可行性。</w:t>
      </w:r>
    </w:p>
    <w:p w14:paraId="6DA4DEA7">
      <w:pPr>
        <w:spacing w:line="240" w:lineRule="auto"/>
        <w:ind w:firstLine="0" w:firstLineChars="0"/>
      </w:pPr>
      <w:r>
        <w:drawing>
          <wp:inline distT="0" distB="0" distL="114300" distR="114300">
            <wp:extent cx="5272405" cy="2636520"/>
            <wp:effectExtent l="0" t="0" r="635" b="0"/>
            <wp:docPr id="20" name="图片 20" descr="Figure_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543"/>
                    <pic:cNvPicPr>
                      <a:picLocks noChangeAspect="1"/>
                    </pic:cNvPicPr>
                  </pic:nvPicPr>
                  <pic:blipFill>
                    <a:blip r:embed="rId65"/>
                    <a:stretch>
                      <a:fillRect/>
                    </a:stretch>
                  </pic:blipFill>
                  <pic:spPr>
                    <a:xfrm>
                      <a:off x="0" y="0"/>
                      <a:ext cx="5272405" cy="2636520"/>
                    </a:xfrm>
                    <a:prstGeom prst="rect">
                      <a:avLst/>
                    </a:prstGeom>
                  </pic:spPr>
                </pic:pic>
              </a:graphicData>
            </a:graphic>
          </wp:inline>
        </w:drawing>
      </w:r>
    </w:p>
    <w:p w14:paraId="7F0F536C">
      <w:pPr>
        <w:pStyle w:val="92"/>
      </w:pPr>
      <w:r>
        <w:rPr>
          <w:rFonts w:hint="eastAsia"/>
        </w:rPr>
        <w:t>图</w:t>
      </w:r>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运行开销实验结果</w:t>
      </w:r>
    </w:p>
    <w:p w14:paraId="0D23B9CC">
      <w:pPr>
        <w:pStyle w:val="3"/>
        <w:spacing w:before="163" w:after="163"/>
      </w:pPr>
      <w:bookmarkStart w:id="124" w:name="_Toc12949"/>
      <w:r>
        <w:rPr>
          <w:rFonts w:hint="eastAsia"/>
        </w:rPr>
        <w:t>5</w:t>
      </w:r>
      <w:r>
        <w:t>.</w:t>
      </w:r>
      <w:r>
        <w:rPr>
          <w:rFonts w:hint="eastAsia"/>
        </w:rPr>
        <w:t>5</w:t>
      </w:r>
      <w:r>
        <w:t xml:space="preserve">  本章小结</w:t>
      </w:r>
      <w:bookmarkEnd w:id="124"/>
    </w:p>
    <w:p w14:paraId="068EFFAE">
      <w:pPr>
        <w:ind w:firstLine="480"/>
      </w:pPr>
      <w:r>
        <w:rPr>
          <w:rFonts w:hint="eastAsia"/>
        </w:rPr>
        <w:t>本章围绕电力调度场景下RAG系统面临的知识库投毒风险，设计并实现了一种面向检索阶段的组合式防御框架。该框架首先提出了由检索扩展、嵌入空间异常检测与句子级困惑度异常检测构成的检索护栏，实现对可疑支撑证据的前置识别、过滤与重排。然后在此基础上进一步结合输入护栏与输出护栏，构建了覆盖查询输入、证据检索与结果生成全过程的全链路护栏体系，从而形成对提示注入、毒化证据召回与不安全输出的分层协同防护。最后，通过跨数据集对比实验、参数消融实验、组件消融实验以及运行时间开销实验，验证了所提方法在不同攻击场景下能够在保持正常问答能力的同时显著提升检测准确率与输出准确率，并具备较好的稳定性与工程部署可行性。</w:t>
      </w:r>
    </w:p>
    <w:bookmarkEnd w:id="106"/>
    <w:bookmarkEnd w:id="107"/>
    <w:p w14:paraId="637B2A4B">
      <w:pPr>
        <w:ind w:firstLine="0" w:firstLineChars="0"/>
        <w:sectPr>
          <w:headerReference r:id="rId28" w:type="default"/>
          <w:headerReference r:id="rId29" w:type="even"/>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p>
    <w:p w14:paraId="7A168391">
      <w:pPr>
        <w:pStyle w:val="2"/>
        <w:spacing w:after="652"/>
      </w:pPr>
      <w:bookmarkStart w:id="125" w:name="_Toc21244"/>
      <w:r>
        <w:t>第</w:t>
      </w:r>
      <w:r>
        <w:rPr>
          <w:rFonts w:hint="eastAsia"/>
        </w:rPr>
        <w:t>六</w:t>
      </w:r>
      <w:r>
        <w:t xml:space="preserve">章  </w:t>
      </w:r>
      <w:r>
        <w:rPr>
          <w:rFonts w:hint="eastAsia"/>
        </w:rPr>
        <w:t>电力人工智能应用的安全靶场系统设计与实现</w:t>
      </w:r>
      <w:bookmarkEnd w:id="125"/>
    </w:p>
    <w:p w14:paraId="4CC25BB1">
      <w:pPr>
        <w:ind w:firstLine="480"/>
      </w:pPr>
      <w:r>
        <w:rPr>
          <w:rFonts w:hint="eastAsia"/>
        </w:rPr>
        <w:t>本文第三章围绕电力人工智能应用的工程化落地需求，构建并实现了基于数字孪生的AI模型训推一体可视化平台，完成了算力资源、数据资产、模型生命周期以及电力调度RAG应用流程的统一映射与可视化管理。第四章本文指出该系统电力调度决策业务RAG链路在可信性方面存在现实安全隐患，并提出了基于双目标遗传算法的BOGA-RAGP攻击方法，揭示了黑盒条件下投毒语料仍可通过强化可检索性与语义隐蔽性对生成结果造成显著误导。第五章进一步针对上述风险，提出了检索护栏，并融合输入护栏与输出护栏协同构成组合式防御框架，有效提升了系统对污染证据的识别、过滤与抑制能力。</w:t>
      </w:r>
    </w:p>
    <w:p w14:paraId="0C2EB29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将上述攻防技术研究成果进行统一集成、可操作验证与展示应用，靶场系统立足于第三章所构建的数字孪生可视化平台，以电力调度RAG应用、知识库、数据资产、模型资产与相关算力资源为核心靶标对象，将第四章的知识库毒化攻击方法与第五章的组合式防御框架进行统一集成，在其基础上进一步叠加态势感知、导调评估与复盘验证等能力，设计并实现一个面向电力人工智能应用的安全攻防演练与验证环境，支撑从攻击模拟、防御部署到效果评估的全流程闭环验证。</w:t>
      </w:r>
    </w:p>
    <w:p w14:paraId="7AC6E2F3">
      <w:pPr>
        <w:pStyle w:val="3"/>
        <w:spacing w:before="163" w:after="163"/>
      </w:pPr>
      <w:bookmarkStart w:id="126" w:name="_Toc1126"/>
      <w:r>
        <w:rPr>
          <w:rFonts w:hint="eastAsia"/>
        </w:rPr>
        <w:t>6</w:t>
      </w:r>
      <w:r>
        <w:t>.1</w:t>
      </w:r>
      <w:r>
        <w:rPr>
          <w:rFonts w:hint="eastAsia"/>
        </w:rPr>
        <w:t xml:space="preserve">  需求分析</w:t>
      </w:r>
      <w:bookmarkEnd w:id="126"/>
    </w:p>
    <w:p w14:paraId="53E88AC8">
      <w:pPr>
        <w:ind w:firstLine="480"/>
      </w:pPr>
      <w:r>
        <w:rPr>
          <w:rFonts w:hint="eastAsia"/>
        </w:rPr>
        <w:t>靶场系统需要基于五方协同机制实现从靶标构建、攻击模拟、防御部署到态势感知、预案生成、效果评估的全流程闭环验证，并进一步覆盖数据处理、模型训练、推理服务与智能体应用等</w:t>
      </w:r>
      <w:r>
        <w:rPr>
          <w:rFonts w:hint="eastAsia"/>
          <w:lang w:val="en-US" w:eastAsia="zh-CN"/>
        </w:rPr>
        <w:t>AI</w:t>
      </w:r>
      <w:r>
        <w:rPr>
          <w:rFonts w:hint="eastAsia"/>
        </w:rPr>
        <w:t>全生命周期对象。本节围绕完整攻防演练流程，对系统的功能需求与非功能需求进行系统性分析。</w:t>
      </w:r>
    </w:p>
    <w:p w14:paraId="3AFD7B57">
      <w:pPr>
        <w:pStyle w:val="4"/>
      </w:pPr>
      <w:bookmarkStart w:id="127" w:name="_Toc10364"/>
      <w:r>
        <w:rPr>
          <w:rFonts w:hint="eastAsia"/>
        </w:rPr>
        <w:t>6.1.1</w:t>
      </w:r>
      <w:r>
        <w:rPr>
          <w:rFonts w:hint="eastAsia"/>
          <w:lang w:val="en-US" w:eastAsia="zh-CN"/>
        </w:rPr>
        <w:t xml:space="preserve">  </w:t>
      </w:r>
      <w:r>
        <w:rPr>
          <w:rFonts w:hint="eastAsia"/>
        </w:rPr>
        <w:t>攻防演练流程</w:t>
      </w:r>
      <w:bookmarkEnd w:id="127"/>
    </w:p>
    <w:p w14:paraId="6906248B">
      <w:pPr>
        <w:ind w:firstLine="480"/>
      </w:pPr>
      <w:r>
        <w:rPr>
          <w:rFonts w:hint="eastAsia"/>
        </w:rPr>
        <w:t>为保证靶场演练具有清晰的组织边界与职责分工，本文类比网络靶场构建，采用黄、白、红、蓝、绿五方协同机制如图6-1所示。黄方负责演练方案制定、流程导调与结果裁定；白方负责靶标环境构建、资源保障与场景恢复；红方负责实施攻击模拟并验证攻击效果；蓝方负责部署防御策略并开展检测、阻断与处置；绿方负责全程监测感知、态势分析与效果评估。</w:t>
      </w:r>
    </w:p>
    <w:p w14:paraId="523CF21F">
      <w:pPr>
        <w:spacing w:line="240" w:lineRule="auto"/>
        <w:ind w:firstLine="0" w:firstLineChars="0"/>
      </w:pPr>
      <w:r>
        <w:drawing>
          <wp:inline distT="0" distB="0" distL="114300" distR="114300">
            <wp:extent cx="5186045" cy="2149475"/>
            <wp:effectExtent l="0" t="0" r="10795" b="14605"/>
            <wp:docPr id="15" name="图片 15" descr="fig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6-1"/>
                    <pic:cNvPicPr>
                      <a:picLocks noChangeAspect="1"/>
                    </pic:cNvPicPr>
                  </pic:nvPicPr>
                  <pic:blipFill>
                    <a:blip r:embed="rId66"/>
                    <a:stretch>
                      <a:fillRect/>
                    </a:stretch>
                  </pic:blipFill>
                  <pic:spPr>
                    <a:xfrm>
                      <a:off x="0" y="0"/>
                      <a:ext cx="5186045" cy="2149475"/>
                    </a:xfrm>
                    <a:prstGeom prst="rect">
                      <a:avLst/>
                    </a:prstGeom>
                  </pic:spPr>
                </pic:pic>
              </a:graphicData>
            </a:graphic>
          </wp:inline>
        </w:drawing>
      </w:r>
    </w:p>
    <w:p w14:paraId="6100FC54">
      <w:pPr>
        <w:pStyle w:val="92"/>
        <w:rPr>
          <w:rFonts w:hint="default" w:eastAsia="楷体"/>
          <w:lang w:val="en-US" w:eastAsia="zh-CN"/>
        </w:rPr>
      </w:pPr>
      <w:r>
        <w:rPr>
          <w:rFonts w:hint="eastAsia"/>
        </w:rPr>
        <w:t>图</w:t>
      </w:r>
      <w:r>
        <w:rPr>
          <w:rFonts w:hint="eastAsia"/>
          <w:lang w:val="en-US" w:eastAsia="zh-CN"/>
        </w:rPr>
        <w:t>6</w:t>
      </w:r>
      <w:r>
        <w:rPr>
          <w:rFonts w:hint="eastAsia"/>
        </w:rPr>
        <w:t>-</w:t>
      </w:r>
      <w:r>
        <w:rPr>
          <w:rFonts w:hint="eastAsia"/>
          <w:lang w:val="en-US" w:eastAsia="zh-CN"/>
        </w:rPr>
        <w:t>1</w:t>
      </w:r>
      <w:r>
        <w:rPr>
          <w:rFonts w:hint="eastAsia"/>
        </w:rPr>
        <w:t xml:space="preserve"> </w:t>
      </w:r>
      <w:r>
        <w:rPr>
          <w:rFonts w:hint="eastAsia"/>
          <w:lang w:val="en-US" w:eastAsia="zh-CN"/>
        </w:rPr>
        <w:t>靶场五方协同机制</w:t>
      </w:r>
    </w:p>
    <w:p w14:paraId="670FF3C0">
      <w:pPr>
        <w:ind w:firstLine="480"/>
      </w:pPr>
      <w:r>
        <w:rPr>
          <w:rFonts w:hint="eastAsia"/>
        </w:rPr>
        <w:t>在演练准备阶段，黄方首先依据预设目标制定演练方案，明确演练场景、角色权限、实施流程与评价指标；白方依托第三章构建的数字孪生可视化平台完成靶标环境装载与初始化，对知识库、RAG应用、模型资产、数据资产及相关资源进行统一配置，确保演练环境与真实业务逻辑保持一致；绿方同步完成日志采集、状态监测与可视化链路部署，为后续攻击识别、过程展示和复盘分析提供基础支撑。</w:t>
      </w:r>
    </w:p>
    <w:p w14:paraId="105BCE59">
      <w:pPr>
        <w:ind w:firstLine="480"/>
      </w:pPr>
      <w:r>
        <w:rPr>
          <w:rFonts w:hint="eastAsia"/>
        </w:rPr>
        <w:t>在攻击实施阶段，红方调用第四章提出的知识库毒化攻击方法，对目标知识库实施投毒，诱导RAG系统在检索增强生成过程中召回污染证据并输出错误调度建议。此阶段的核心在于复现知识库被污染后对检索结果、生成内容及业务决策带来的影响，使攻击路径、作用环节与风险传播过程能够在靶场中被完整呈现。</w:t>
      </w:r>
    </w:p>
    <w:p w14:paraId="4C7A554B">
      <w:pPr>
        <w:ind w:firstLine="480"/>
      </w:pPr>
      <w:r>
        <w:rPr>
          <w:rFonts w:hint="eastAsia"/>
        </w:rPr>
        <w:t>在防御响应阶段，蓝方调用第五章构建的组合式防御框架，在输入、检索与输出等关键环节实施异常检测、污染证据过滤与生成结果校验，对红方攻击进行拦截和缓解；绿方持续汇聚攻击日志、防御日志、检索结果和业务输出等多源数据，开展全过程态势感知与关联分析；黄方则根据演练进展对攻击强度、防御节奏和场景状态进行导调控制，保证演练过程既贴近实战又处于可控范围之内。</w:t>
      </w:r>
    </w:p>
    <w:p w14:paraId="1DCF911E">
      <w:pPr>
        <w:ind w:firstLine="480"/>
      </w:pPr>
      <w:r>
        <w:rPr>
          <w:rFonts w:hint="eastAsia"/>
        </w:rPr>
        <w:t>在复盘评估阶段，系统基于全过程采集数据，对攻击成功情况、防御有效性和业务影响程度进行综合评估，并结合第三章平台的时间轴回放能力，对关键攻击路径、防御决策点和结果变化过程进行可视化复现，最终形成演练报告与评估结论。</w:t>
      </w:r>
    </w:p>
    <w:p w14:paraId="06E3A53B">
      <w:pPr>
        <w:ind w:firstLine="480"/>
      </w:pPr>
      <w:r>
        <w:rPr>
          <w:rFonts w:hint="eastAsia"/>
        </w:rPr>
        <w:t>最终</w:t>
      </w:r>
      <w:r>
        <w:t>整个流程体现了</w:t>
      </w:r>
      <w:r>
        <w:rPr>
          <w:rFonts w:hint="eastAsia"/>
        </w:rPr>
        <w:t>“</w:t>
      </w:r>
      <w:r>
        <w:t>靶标仿真—攻击模拟—防御验证—态势感知—效果评估</w:t>
      </w:r>
      <w:r>
        <w:rPr>
          <w:rFonts w:hint="eastAsia"/>
        </w:rPr>
        <w:t>”</w:t>
      </w:r>
      <w:r>
        <w:t>的闭环机制</w:t>
      </w:r>
      <w:r>
        <w:rPr>
          <w:rFonts w:hint="eastAsia"/>
        </w:rPr>
        <w:t>，</w:t>
      </w:r>
      <w:r>
        <w:t>形成可操作、可验证、可评估的</w:t>
      </w:r>
      <w:r>
        <w:rPr>
          <w:rFonts w:hint="eastAsia"/>
        </w:rPr>
        <w:t>人工智能</w:t>
      </w:r>
      <w:r>
        <w:t>安全靶场</w:t>
      </w:r>
      <w:r>
        <w:rPr>
          <w:rFonts w:hint="eastAsia"/>
        </w:rPr>
        <w:t>系统</w:t>
      </w:r>
      <w:r>
        <w:t>。</w:t>
      </w:r>
    </w:p>
    <w:p w14:paraId="75C38F2D">
      <w:pPr>
        <w:pStyle w:val="4"/>
      </w:pPr>
      <w:bookmarkStart w:id="128" w:name="_Toc683"/>
      <w:r>
        <w:rPr>
          <w:rFonts w:hint="eastAsia"/>
        </w:rPr>
        <w:t>6.1.2</w:t>
      </w:r>
      <w:r>
        <w:rPr>
          <w:rFonts w:hint="eastAsia"/>
          <w:lang w:val="en-US" w:eastAsia="zh-CN"/>
        </w:rPr>
        <w:t xml:space="preserve">  </w:t>
      </w:r>
      <w:r>
        <w:rPr>
          <w:rFonts w:hint="eastAsia"/>
        </w:rPr>
        <w:t>功能性需求</w:t>
      </w:r>
      <w:bookmarkEnd w:id="128"/>
    </w:p>
    <w:p w14:paraId="7F03CAB5">
      <w:pPr>
        <w:ind w:firstLine="480"/>
      </w:pPr>
      <w:r>
        <w:rPr>
          <w:rFonts w:hint="eastAsia"/>
        </w:rPr>
        <w:t>依据上述演练流程，本文所设计系统</w:t>
      </w:r>
      <w:r>
        <w:t>系统</w:t>
      </w:r>
      <w:r>
        <w:rPr>
          <w:rFonts w:hint="eastAsia"/>
        </w:rPr>
        <w:t>应</w:t>
      </w:r>
      <w:r>
        <w:t>满足以下功能性需求</w:t>
      </w:r>
      <w:r>
        <w:rPr>
          <w:rFonts w:hint="eastAsia"/>
        </w:rPr>
        <w:t>：</w:t>
      </w:r>
    </w:p>
    <w:p w14:paraId="1A9B994D">
      <w:pPr>
        <w:numPr>
          <w:ilvl w:val="0"/>
          <w:numId w:val="4"/>
        </w:numPr>
        <w:ind w:firstLine="480"/>
      </w:pPr>
      <w:r>
        <w:t>靶标环境管理</w:t>
      </w:r>
      <w:r>
        <w:rPr>
          <w:rFonts w:hint="eastAsia"/>
        </w:rPr>
        <w:t>：</w:t>
      </w:r>
      <w:r>
        <w:t>靶标环境需具备与真实业务环境的高保真映射能力</w:t>
      </w:r>
      <w:r>
        <w:rPr>
          <w:rFonts w:hint="eastAsia"/>
        </w:rPr>
        <w:t>，</w:t>
      </w:r>
      <w:r>
        <w:t>能够对知识库、RAG应用、数据资产、模型资产及相关算力资源进行统一装载、配置与管理，支持环境初始化、版本切换、快照备份与一键恢复，为多轮攻防演练提供高保真、可复现的靶标环境。</w:t>
      </w:r>
    </w:p>
    <w:p w14:paraId="4823810A">
      <w:pPr>
        <w:numPr>
          <w:ilvl w:val="0"/>
          <w:numId w:val="4"/>
        </w:numPr>
        <w:ind w:firstLine="480"/>
      </w:pPr>
      <w:r>
        <w:rPr>
          <w:rFonts w:hint="eastAsia"/>
        </w:rPr>
        <w:t>红蓝攻防</w:t>
      </w:r>
      <w:r>
        <w:t>能力</w:t>
      </w:r>
      <w:r>
        <w:rPr>
          <w:rFonts w:hint="eastAsia"/>
        </w:rPr>
        <w:t>：</w:t>
      </w:r>
      <w:r>
        <w:rPr>
          <w:rFonts w:ascii="宋体" w:hAnsi="宋体" w:cs="宋体"/>
        </w:rPr>
        <w:t>系统应集成第四章提出的知识库毒化攻击方法与第五章提出的组合式防御框架，支持红方开展攻击目标配置、毒化文档生成与攻击执行，支持蓝方开展输入护栏、检索护栏和输出护栏的部署、调整与联动验证，从而形成完整的攻防对抗能力。</w:t>
      </w:r>
    </w:p>
    <w:p w14:paraId="6DD15E11">
      <w:pPr>
        <w:numPr>
          <w:ilvl w:val="0"/>
          <w:numId w:val="4"/>
        </w:numPr>
        <w:ind w:firstLine="480"/>
      </w:pPr>
      <w:r>
        <w:rPr>
          <w:rFonts w:hint="eastAsia" w:ascii="宋体" w:hAnsi="宋体" w:cs="宋体"/>
        </w:rPr>
        <w:t>态势感知与预案生成：</w:t>
      </w:r>
      <w:r>
        <w:t>系统需构建覆盖攻防全链路的态势感知体系</w:t>
      </w:r>
      <w:r>
        <w:rPr>
          <w:rFonts w:hint="eastAsia"/>
        </w:rPr>
        <w:t>，</w:t>
      </w:r>
      <w:r>
        <w:rPr>
          <w:rFonts w:hint="eastAsia" w:ascii="宋体" w:hAnsi="宋体" w:cs="宋体"/>
        </w:rPr>
        <w:t>对知识库访问、检索召回、模型推理、防御动作和业务输出等关键环节进行全过程数据采集与可视化展示，支持攻击路径分析、异常关联定位和风险态势感知，并能够结合攻防过程生成相应的处置建议与预案支撑信息。</w:t>
      </w:r>
    </w:p>
    <w:p w14:paraId="1AF85898">
      <w:pPr>
        <w:numPr>
          <w:ilvl w:val="0"/>
          <w:numId w:val="4"/>
        </w:numPr>
        <w:ind w:firstLine="480"/>
      </w:pPr>
      <w:r>
        <w:rPr>
          <w:rFonts w:hint="eastAsia"/>
        </w:rPr>
        <w:t>演练导调与评估：</w:t>
      </w:r>
      <w:r>
        <w:rPr>
          <w:rFonts w:ascii="宋体" w:hAnsi="宋体" w:cs="宋体"/>
        </w:rPr>
        <w:t>系统应支持演练方案配置、角色管理、流程控制与异常干预，并能够围绕攻击成功率、防御有效性、业务影响度等指标开展量化评估，自动生成演练报告，同时支持基于时间轴的过程回放与复盘分析。</w:t>
      </w:r>
    </w:p>
    <w:p w14:paraId="4CD50A04">
      <w:pPr>
        <w:pStyle w:val="4"/>
      </w:pPr>
      <w:bookmarkStart w:id="129" w:name="_Toc4730"/>
      <w:r>
        <w:rPr>
          <w:rFonts w:hint="eastAsia"/>
        </w:rPr>
        <w:t>6.1.3</w:t>
      </w:r>
      <w:r>
        <w:rPr>
          <w:rFonts w:hint="eastAsia"/>
          <w:lang w:val="en-US" w:eastAsia="zh-CN"/>
        </w:rPr>
        <w:t xml:space="preserve">  </w:t>
      </w:r>
      <w:r>
        <w:rPr>
          <w:rFonts w:hint="eastAsia"/>
        </w:rPr>
        <w:t>非功能性需求</w:t>
      </w:r>
      <w:bookmarkEnd w:id="129"/>
    </w:p>
    <w:p w14:paraId="283706E4">
      <w:pPr>
        <w:ind w:firstLine="480"/>
      </w:pPr>
      <w:r>
        <w:rPr>
          <w:rFonts w:hint="eastAsia"/>
        </w:rPr>
        <w:t>除功能性需求外，系统还需满足性能、可靠性、可扩展性与安全性等非功能性需求。</w:t>
      </w:r>
    </w:p>
    <w:p w14:paraId="51622BC8">
      <w:pPr>
        <w:ind w:firstLine="480"/>
      </w:pPr>
      <w:r>
        <w:rPr>
          <w:rFonts w:hint="eastAsia"/>
        </w:rPr>
        <w:t>（1） 性能需求：系统应具备较好的交互响应与过程展示能力，以保证攻防演练的连续性与可观测性。对于场景切换、策略下发、日志查询等一般交互操作，系统响应时间应控制在 2s 以内；对于攻击告警、检索异常、防御动作触发等关键事件，态势界面更新延迟应控制在 3s 以内；对于一次完整的攻击执行结果展示或防御策略生效反馈，其可视化呈现时间原则上不超过 5s。通过上述约束，保证演练过程具备较好的实时感知能力。</w:t>
      </w:r>
    </w:p>
    <w:p w14:paraId="5A903618">
      <w:pPr>
        <w:ind w:firstLine="480"/>
      </w:pPr>
      <w:r>
        <w:rPr>
          <w:rFonts w:hint="eastAsia"/>
        </w:rPr>
        <w:t>（2）可靠性需求：系统应能够支持多轮次演练任务稳定运行，并具备环境恢复与异常容错能力。对于演练过程中产生的关键日志、攻击记录、防御记录和评估结果，系统应保证完整保存，避免因中断导致数据丢失；对于靶标环境异常或演练终止等情况，系统应支持基于快照的快速恢复，环境重置时间应控制在 60 s 以内，从而保证后续演练能够连续开展。</w:t>
      </w:r>
    </w:p>
    <w:p w14:paraId="5F6AC58F">
      <w:pPr>
        <w:ind w:firstLine="480"/>
      </w:pPr>
      <w:r>
        <w:rPr>
          <w:rFonts w:hint="eastAsia"/>
        </w:rPr>
        <w:t>（3）可扩展性需求：系统应采用模块化设计思路，使攻击方法、防御策略、监测规则和评估指标能够独立接入与灵活替换。后续若新增新的攻击算法、防御组件或业务场景，应尽量通过接口扩展与参数配置完成，而不对系统整体架构进行大幅修改，以保证靶场平台具备持续演进能力。</w:t>
      </w:r>
    </w:p>
    <w:p w14:paraId="3B198946">
      <w:pPr>
        <w:ind w:firstLine="480"/>
      </w:pPr>
      <w:r>
        <w:rPr>
          <w:rFonts w:hint="eastAsia"/>
        </w:rPr>
        <w:t>（4）安全性需求：系统应与真实业务环境保持隔离运行，确保所有攻击行为均限定在受控靶场范围内，避免演练过程对实际业务造成影响。同时，系统应具备基于角色的访问控制能力，对黄、白、红、蓝、绿不同角色分配差异化权限，并对关键操作进行审计记录；对于演练中涉及的数据、知识库内容和模型配置等信息，也应采取必要的脱敏和保护措施，防止因靶场运行引入新的安全风险。</w:t>
      </w:r>
    </w:p>
    <w:p w14:paraId="2D380E98">
      <w:pPr>
        <w:pStyle w:val="3"/>
        <w:spacing w:before="163" w:after="163"/>
      </w:pPr>
      <w:bookmarkStart w:id="130" w:name="_Toc29411"/>
      <w:r>
        <w:rPr>
          <w:rFonts w:hint="eastAsia"/>
        </w:rPr>
        <w:t>6</w:t>
      </w:r>
      <w:r>
        <w:t>.</w:t>
      </w:r>
      <w:r>
        <w:rPr>
          <w:rFonts w:hint="eastAsia"/>
        </w:rPr>
        <w:t>2  系统概要设计</w:t>
      </w:r>
      <w:bookmarkEnd w:id="130"/>
    </w:p>
    <w:p w14:paraId="25C02069">
      <w:pPr>
        <w:pStyle w:val="4"/>
      </w:pPr>
      <w:bookmarkStart w:id="131" w:name="_Toc8534"/>
      <w:r>
        <w:rPr>
          <w:rFonts w:hint="eastAsia"/>
        </w:rPr>
        <w:t>6.2.1</w:t>
      </w:r>
      <w:r>
        <w:rPr>
          <w:rFonts w:hint="eastAsia"/>
          <w:lang w:val="en-US" w:eastAsia="zh-CN"/>
        </w:rPr>
        <w:t xml:space="preserve">  </w:t>
      </w:r>
      <w:r>
        <w:rPr>
          <w:rFonts w:hint="eastAsia"/>
        </w:rPr>
        <w:t>架构设计</w:t>
      </w:r>
      <w:bookmarkEnd w:id="131"/>
    </w:p>
    <w:p w14:paraId="744CF087">
      <w:pPr>
        <w:ind w:firstLine="480"/>
      </w:pPr>
      <w:r>
        <w:rPr>
          <w:rFonts w:hint="eastAsia"/>
        </w:rPr>
        <w:t>本文将系统总体架构设计为由资源层、数据层、逻辑层、管控层以及交互层构成的五层架构，如图6-</w:t>
      </w:r>
      <w:r>
        <w:rPr>
          <w:rFonts w:hint="eastAsia"/>
          <w:lang w:val="en-US" w:eastAsia="zh-CN"/>
        </w:rPr>
        <w:t>2</w:t>
      </w:r>
      <w:r>
        <w:rPr>
          <w:rFonts w:hint="eastAsia"/>
        </w:rPr>
        <w:t>所示。</w:t>
      </w:r>
    </w:p>
    <w:p w14:paraId="0FAE5E70">
      <w:pPr>
        <w:spacing w:line="240" w:lineRule="auto"/>
        <w:ind w:firstLine="0" w:firstLineChars="0"/>
      </w:pPr>
      <w:r>
        <w:rPr>
          <w:rFonts w:hint="eastAsia"/>
        </w:rPr>
        <w:drawing>
          <wp:inline distT="0" distB="0" distL="114300" distR="114300">
            <wp:extent cx="5233035" cy="3420745"/>
            <wp:effectExtent l="0" t="0" r="9525" b="8255"/>
            <wp:docPr id="17" name="图片 17" descr="fig6-2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6-2new"/>
                    <pic:cNvPicPr>
                      <a:picLocks noChangeAspect="1"/>
                    </pic:cNvPicPr>
                  </pic:nvPicPr>
                  <pic:blipFill>
                    <a:blip r:embed="rId67"/>
                    <a:stretch>
                      <a:fillRect/>
                    </a:stretch>
                  </pic:blipFill>
                  <pic:spPr>
                    <a:xfrm>
                      <a:off x="0" y="0"/>
                      <a:ext cx="5233035" cy="3420745"/>
                    </a:xfrm>
                    <a:prstGeom prst="rect">
                      <a:avLst/>
                    </a:prstGeom>
                  </pic:spPr>
                </pic:pic>
              </a:graphicData>
            </a:graphic>
          </wp:inline>
        </w:drawing>
      </w:r>
    </w:p>
    <w:p w14:paraId="39752980">
      <w:pPr>
        <w:pStyle w:val="92"/>
        <w:rPr>
          <w:rFonts w:hint="default"/>
          <w:lang w:val="en-US"/>
        </w:rPr>
      </w:pPr>
      <w:r>
        <w:rPr>
          <w:rFonts w:hint="eastAsia"/>
        </w:rPr>
        <w:t>图</w:t>
      </w:r>
      <w:r>
        <w:rPr>
          <w:rFonts w:hint="eastAsia"/>
          <w:lang w:val="en-US" w:eastAsia="zh-CN"/>
        </w:rPr>
        <w:t>6</w:t>
      </w:r>
      <w:r>
        <w:rPr>
          <w:rFonts w:hint="eastAsia"/>
        </w:rPr>
        <w:t>-</w:t>
      </w:r>
      <w:r>
        <w:rPr>
          <w:rFonts w:hint="eastAsia"/>
          <w:lang w:val="en-US" w:eastAsia="zh-CN"/>
        </w:rPr>
        <w:t>2 靶场系统总体架构</w:t>
      </w:r>
    </w:p>
    <w:p w14:paraId="1BB1E4E4">
      <w:pPr>
        <w:ind w:firstLine="480"/>
      </w:pPr>
      <w:r>
        <w:rPr>
          <w:rFonts w:hint="eastAsia"/>
        </w:rPr>
        <w:t>资源层是系统运行的底层基础，主要包括算力资源、存储资源、网络资源以及虚拟化工具等基础设施能力。该层为靶场中各类模型服务、知识库服务与攻防任务提供必要的运行环境与资源保障，也是安全演练过程中各类业务实例得以部署、启动与回收的基础支撑。</w:t>
      </w:r>
    </w:p>
    <w:p w14:paraId="6315F43A">
      <w:pPr>
        <w:ind w:firstLine="480"/>
      </w:pPr>
      <w:r>
        <w:rPr>
          <w:rFonts w:hint="eastAsia"/>
        </w:rPr>
        <w:t>数据层负责对靶场中的核心数据对象及其映射关系进行组织与管理，主要包括数据资产、知识资产、数据管理、知识库构建、数字孪生映射和靶标孪生仿真等内容。该层在继承数据与知识管理能力的基础上，进一步面向安全靶场场景对业务数据、知识片段、模型状态、运行记录和孪生对象进行统一汇聚与管理，实现从底层资源到上层靶标环境的数字化映射与状态承载，为后续攻防行为追踪、态势分析和演练评估提供可靠的数据基础。</w:t>
      </w:r>
    </w:p>
    <w:p w14:paraId="706F2BA4">
      <w:pPr>
        <w:ind w:firstLine="480"/>
      </w:pPr>
      <w:r>
        <w:rPr>
          <w:rFonts w:hint="eastAsia"/>
        </w:rPr>
        <w:t>逻辑层是系统的核心能力实现层，负责承载安全靶场中的主要业务逻辑与攻防功能。其中，红方攻击模块负责完成目标配置、核心算法调用、对抗内容生成与执行监控；蓝方防御模块负责承载检索护栏、其他护栏、阻断处置与执行监控等能力；态势感知模块负责对演练过程中的关键事件进行采集、汇聚与分析评估；预案生成模块则基于案例匹配与建议生成，为防御响应和导调决策提供辅助支持。通过逻辑层的统一组织，系统能够将第四章与第五章提出的攻击、防御方法以及态势分析能力转化为可执行、可联动、可验证的工程化功能。</w:t>
      </w:r>
    </w:p>
    <w:p w14:paraId="7D419CD9">
      <w:pPr>
        <w:ind w:firstLine="480"/>
      </w:pPr>
      <w:r>
        <w:rPr>
          <w:rFonts w:hint="eastAsia"/>
        </w:rPr>
        <w:t>管控层负责对整个靶场系统的运行过程进行组织、控制与保障，主要包括导调控制、评估引擎、资源调度以及审计与日志等功能。该层既承担演练流程编排、资源协调和过程干预等管理职责，又负责对攻防结果、系统状态和关键指标进行统一评估与记录。通过管控层的设置，系统能够实现从攻防执行到过程监管、再到结果评估的闭环控制。</w:t>
      </w:r>
    </w:p>
    <w:p w14:paraId="1A172026">
      <w:pPr>
        <w:ind w:firstLine="480"/>
      </w:pPr>
      <w:r>
        <w:rPr>
          <w:rFonts w:hint="eastAsia"/>
        </w:rPr>
        <w:t>交互层是系统面向用户的统一展示与操作入口，主要以可视化交互界面的形式为黄、白、红、蓝、绿五方提供相应的功能支撑。该层将下层输出的环境状态、攻击过程、防御结果、态势信息和评估结论进行可视化呈现，并支持用户完成演练配置、过程监控、态势查看、告警展示、结果分析和复盘回放等操作，将复杂的攻防演练过程以直观、清晰的方式呈现给不同角色用户。</w:t>
      </w:r>
    </w:p>
    <w:p w14:paraId="1B555482">
      <w:pPr>
        <w:ind w:firstLine="480"/>
      </w:pPr>
      <w:r>
        <w:rPr>
          <w:rFonts w:hint="eastAsia"/>
        </w:rPr>
        <w:t>综上，资源层与数据层主要继承并扩展第三章平台能力，构成安全靶场的基础运行底座；逻辑层与管控层则集中体现攻防演练、态势分析与过程控制等核心能力；交互层面向不同角色用户提供统一的可视化操作入口，最终自下而上形成一个集资源承载、数据支撑、攻防执行、过程管控与结果展示于一体的完整系统架构，为本章靶场系统的攻防演练、态势感知和效果评估提供架构基础。</w:t>
      </w:r>
    </w:p>
    <w:p w14:paraId="5DE07CE2">
      <w:pPr>
        <w:pStyle w:val="4"/>
      </w:pPr>
      <w:bookmarkStart w:id="132" w:name="_Toc26980"/>
      <w:r>
        <w:rPr>
          <w:rFonts w:hint="eastAsia"/>
        </w:rPr>
        <w:t>6.2.2</w:t>
      </w:r>
      <w:r>
        <w:rPr>
          <w:rFonts w:hint="eastAsia"/>
          <w:lang w:val="en-US" w:eastAsia="zh-CN"/>
        </w:rPr>
        <w:t xml:space="preserve">  </w:t>
      </w:r>
      <w:r>
        <w:rPr>
          <w:rFonts w:hint="eastAsia"/>
        </w:rPr>
        <w:t>功能模块设计</w:t>
      </w:r>
      <w:bookmarkEnd w:id="132"/>
    </w:p>
    <w:p w14:paraId="75CB1443">
      <w:pPr>
        <w:ind w:firstLine="480"/>
      </w:pPr>
      <w:r>
        <w:rPr>
          <w:rFonts w:hint="eastAsia"/>
        </w:rPr>
        <w:t>依照上述总体架构，本文将系统功能划分为靶标环境管理、红方攻击、蓝方防御、态势感知与预案生成、演练导调与评估五个核心功能模块。</w:t>
      </w:r>
    </w:p>
    <w:p w14:paraId="3B490374">
      <w:pPr>
        <w:ind w:firstLine="480"/>
      </w:pPr>
      <w:r>
        <w:rPr>
          <w:rFonts w:hint="eastAsia"/>
        </w:rPr>
        <w:t>靶标环境管理模块对应白方核心职责，是整个安全靶场的运行基础。该模块负责对第三章平台中的知识库、数据集、模型版本、提示模板、推理服务及底层资源进行统一装载、配置、启停与恢复，并提供环境快照、版本切换、场景编排和资源调度等能力。其目标在于为红蓝对抗提供高保真、可重复、可恢复的演练环境，并保证靶标状态能够与数字孪生对象持续同步。</w:t>
      </w:r>
    </w:p>
    <w:p w14:paraId="1E56210F">
      <w:pPr>
        <w:ind w:firstLine="480"/>
      </w:pPr>
      <w:r>
        <w:rPr>
          <w:rFonts w:hint="eastAsia"/>
        </w:rPr>
        <w:t>红方攻击模块对应第四章研究成果的工程化落地。该模块负责将 BOGA-RAGP 等攻击能力封装为可执行组件，支持攻击目标配置、毒化语料生成、知识库注入、攻击过程跟踪与结果记录等功能。模块既要体现攻击链的完整性，也要兼顾参数化配置与场景适配能力，使红方能够围绕不同查询目标、不同业务任务和不同攻击强度开展多样化实战模拟。</w:t>
      </w:r>
    </w:p>
    <w:p w14:paraId="5A69EA6A">
      <w:pPr>
        <w:ind w:firstLine="480"/>
      </w:pPr>
      <w:r>
        <w:rPr>
          <w:rFonts w:hint="eastAsia"/>
        </w:rPr>
        <w:t>蓝方防御模块对应第五章研究成果的系统化实现。该模块对输入护栏、检索护栏和输出护栏进行统一管理与协同编排，支持防御策略配置、规则更新、阈值调节、异常拦截、证据替换和响应联动等功能。通过该模块，蓝方可以在演练中实时观察防御效果，并根据绿方态势分析结果动态优化策略，从而体现电力 人工智能应用“纵深防御、协同处置”的安全思路。</w:t>
      </w:r>
    </w:p>
    <w:p w14:paraId="3F0CC020">
      <w:pPr>
        <w:ind w:firstLine="480"/>
      </w:pPr>
      <w:r>
        <w:rPr>
          <w:rFonts w:hint="eastAsia"/>
        </w:rPr>
        <w:t>态势感知与预案生成模块是系统的分析中枢，对应绿方核心职责。该模块负责汇聚知识入库日志、检索命中记录、模型输入输出摘要、防御动作日志、资源状态指标，构建覆盖数据、知识、模型、应用和资源的全链路态势视图。在此基础上，模块进一步实现事件关联、攻击链重建、风险评估、影响分析和关键节点定位，并结合规则库、案例库和预案模板自动生成防御建议与处置预案，最终实现从可见到可判、再到可用的能力跃迁。</w:t>
      </w:r>
    </w:p>
    <w:p w14:paraId="7531AA69">
      <w:pPr>
        <w:ind w:firstLine="480"/>
      </w:pPr>
      <w:r>
        <w:rPr>
          <w:rFonts w:hint="eastAsia"/>
        </w:rPr>
        <w:t>演练导调与评估模块对应黄方核心职责，负责将整个靶场系统组织成可控的演练流程。该模块支持演练方案制定、角色分配、规则约束、流程控制、人工干预、过程记录、指标计算、报告生成与过程回放等功能。特别是在评估层面，该模块可综合各项指标形成结构化的量化报告，从而把攻防算法实验指标与系统级验证统一到同一评估框架之下。</w:t>
      </w:r>
    </w:p>
    <w:p w14:paraId="72BEB2F9">
      <w:pPr>
        <w:pStyle w:val="3"/>
        <w:spacing w:before="163" w:after="163"/>
      </w:pPr>
      <w:bookmarkStart w:id="133" w:name="_Toc4024"/>
      <w:r>
        <w:rPr>
          <w:rFonts w:hint="eastAsia"/>
        </w:rPr>
        <w:t>6</w:t>
      </w:r>
      <w:r>
        <w:t>.</w:t>
      </w:r>
      <w:r>
        <w:rPr>
          <w:rFonts w:hint="eastAsia"/>
        </w:rPr>
        <w:t>3  系统详细设计与实现</w:t>
      </w:r>
      <w:bookmarkEnd w:id="133"/>
    </w:p>
    <w:p w14:paraId="230AC0E3">
      <w:pPr>
        <w:ind w:firstLine="480"/>
      </w:pPr>
      <w:r>
        <w:rPr>
          <w:rFonts w:hint="eastAsia"/>
        </w:rPr>
        <w:t>本文系统整体采用前后端分离的工程化实现方式，前端采用 Vue 3 框架构建，结合 Element Plus 完成场景配置、策略管理、任务控制和表单交互页面，利用 ECharts 实现资源态势、统计指标和评估结果的图表展示。后端采用 FastAPI 构建统一的 RESTful 接口服务，并通过 Uvicorn 完成服务部署。此外，系统以 MySQL 实现演练任务、策略配置、攻击防御日志等结构化数据的持久化存储，以 Redis 缓存运行态、告警信息和阶段性中间结果，并通过 WebSocket 将关键状态变化实时推送至前端界面。</w:t>
      </w:r>
    </w:p>
    <w:p w14:paraId="2804A345">
      <w:pPr>
        <w:ind w:firstLine="480"/>
      </w:pPr>
      <w:r>
        <w:rPr>
          <w:rFonts w:hint="eastAsia"/>
        </w:rPr>
        <w:t>接下来，本节面向具体功能模块，围绕模块职责、核心组成、交互流程与实现方法进一步对靶场系统的核心功能进行详细设计与实现。</w:t>
      </w:r>
    </w:p>
    <w:p w14:paraId="064C0268">
      <w:pPr>
        <w:pStyle w:val="4"/>
      </w:pPr>
      <w:bookmarkStart w:id="134" w:name="_Toc30518"/>
      <w:r>
        <w:rPr>
          <w:rFonts w:hint="eastAsia"/>
        </w:rPr>
        <w:t>6.3.1  靶标环境管理</w:t>
      </w:r>
      <w:bookmarkEnd w:id="134"/>
    </w:p>
    <w:p w14:paraId="18E999DE">
      <w:pPr>
        <w:ind w:firstLine="480"/>
      </w:pPr>
      <w:r>
        <w:rPr>
          <w:rFonts w:hint="eastAsia"/>
        </w:rPr>
        <w:t>靶标环境管理模块是整个安全靶场系统运行的基础，主要负责对电力调度 RAG 应用、知识库、模型服务以及底层算力资源进行统一装载、配置、启停与恢复，为后续红蓝攻防演练提供高保真、可重复的靶标环境。通过该模块，系统可将不同演练场景抽象为标准化环境实例，从而支撑多轮次演练的快速切换与稳定复现。</w:t>
      </w:r>
    </w:p>
    <w:p w14:paraId="18509BCD">
      <w:pPr>
        <w:ind w:firstLine="480"/>
      </w:pPr>
      <w:r>
        <w:rPr>
          <w:rFonts w:hint="eastAsia"/>
        </w:rPr>
        <w:t>该模块的核心类图如图6-4所示，类图主要包括 EnvironmentController、AssetRegistry、ResourceMonitor、SnapshotManager 和 TwinSyncService 五个核心类。其中，EnvironmentController 负责接收环境初始化、切换与回滚请求；AssetRegistry 负责维护知识库版本、模型版本和服务配置等环境元数据；ResourceMonitor 负责采集检索服务、生成服务及 CPU、GPU、内存等资源状态；SnapshotManager 负责保存和恢复环境快照；TwinSyncService 负责将环境状态同步至数字孪生可视平台。整体类图结构较为简洁，能够反映环境管理模块“控制—采集—恢复—同步”的基本实现逻辑。</w:t>
      </w:r>
    </w:p>
    <w:p w14:paraId="74AD5797">
      <w:pPr>
        <w:ind w:firstLine="480"/>
      </w:pPr>
      <w:r>
        <w:rPr>
          <w:rFonts w:hint="eastAsia"/>
        </w:rPr>
        <w:t>该模块时序图如图6-5所示。当黄方在场景配置页面选择演练模板并提交初始化请求后，前端通过 Vue 3 页面调用后端 FastAPI 接口，EnvironmentController 根据场景编号从 AssetRegistry 中读取对应的知识库版本、模型参数和防御基线，随后完成知识库挂载、向量索引绑定和模型装载。环境启动完成后，ResourceMonitor 对关键服务和底层资源进行健康检查，并由 TwinSyncService 通过 WebSocket 将状态变化实时推送到可视化界面；当演练结束或环境异常时，EnvironmentController 调用 SnapshotManager 执行环境回滚与恢复。</w:t>
      </w:r>
    </w:p>
    <w:p w14:paraId="0C142AC4">
      <w:pPr>
        <w:ind w:firstLine="480"/>
      </w:pPr>
      <w:r>
        <w:rPr>
          <w:rFonts w:hint="eastAsia"/>
        </w:rPr>
        <w:t>该模块的场景配置界面和环境状态界面分别如图6-6、图6-7所示，前者用于完成演练模板选择与参数配置，后者用于展示环境实例、服务状态及资源占用情况</w:t>
      </w:r>
      <w:r>
        <w:t>。</w:t>
      </w:r>
    </w:p>
    <w:p w14:paraId="787FF056">
      <w:pPr>
        <w:pStyle w:val="4"/>
      </w:pPr>
      <w:bookmarkStart w:id="135" w:name="_Toc28542"/>
      <w:r>
        <w:rPr>
          <w:rFonts w:hint="eastAsia"/>
        </w:rPr>
        <w:t>6.3.2  红方攻击</w:t>
      </w:r>
      <w:bookmarkEnd w:id="135"/>
    </w:p>
    <w:p w14:paraId="338D5C62">
      <w:pPr>
        <w:ind w:firstLine="480"/>
      </w:pPr>
      <w:r>
        <w:rPr>
          <w:rFonts w:hint="eastAsia"/>
        </w:rPr>
        <w:t>红方攻击模块是靶场系统中红方能力的工程化实现部分，核心功能在于将第四章提出的知识库投毒攻击方法封装为可执行、可配置、可记录的攻击流程。该模块能够完成攻击任务创建、目标配置、毒化文本生成、知识注入、攻击触发以及结果判定等全过程操作，从而支撑不同场景下的攻击复现与效果验证。</w:t>
      </w:r>
    </w:p>
    <w:p w14:paraId="710F0712">
      <w:pPr>
        <w:ind w:firstLine="480"/>
      </w:pPr>
      <w:r>
        <w:t>该模块的核心类图如图6-8所示，主要包括 AttackController、AttackTask、PoisonGenerator、KnowledgeInjector 和 AttackEvaluator 五个核心类。其中，AttackController 负责攻击任务的创建、调度与生命周期管理；AttackTask 负责维护目标问题、误导方向、注入数量和攻击强度等任务参数；PoisonGenerator 封装第四章提出的 BOGA-RAGP 算法，用于生成毒化文档；KnowledgeInjector 负责调用知识入库接口并触发向量索引更新；AttackEvaluator 负责在攻击执行后完成结果判定与日志记录。通过上述类之间的协同，可较为完整地表达红方攻击模块“生成—注入—验证”的实现链路。</w:t>
      </w:r>
    </w:p>
    <w:p w14:paraId="6794555F">
      <w:pPr>
        <w:ind w:firstLine="480"/>
      </w:pPr>
      <w:r>
        <w:t>该模块的交互图如图6-9所示。黄方或红方首先在攻击任务配置界面中填写目标问题、攻击强度和注入策略，前端提交请求后由 AttackController 创建攻击任务并驱动 PoisonGenerator 生成毒化文本；随后 KnowledgeInjector 将毒化内容写入知识库并完成索引刷新，AttackEvaluator 再自动发起目标查询，对回答内容、召回位置和误导程度进行综合判定，最终将攻击结果写入 MySQL。红方攻击模块采用“异步执行+注入后验证+全过程留痕”的实现方式，既保证了攻击链条的完整性，也增强了攻击任务的可复盘性。</w:t>
      </w:r>
    </w:p>
    <w:p w14:paraId="3B68B65A">
      <w:pPr>
        <w:ind w:firstLine="480"/>
      </w:pPr>
      <w:r>
        <w:t>攻击任务配置界面和毒化文本预览界面分别如图6-10</w:t>
      </w:r>
      <w:r>
        <w:rPr>
          <w:rFonts w:hint="eastAsia"/>
        </w:rPr>
        <w:t>、图</w:t>
      </w:r>
      <w:r>
        <w:t>6-11所示，前者用于完成攻击参数配置，后者用于展示生成的毒化内容及其注入状态</w:t>
      </w:r>
      <w:r>
        <w:rPr>
          <w:rFonts w:hint="eastAsia"/>
        </w:rPr>
        <w:t>。</w:t>
      </w:r>
    </w:p>
    <w:p w14:paraId="51BCEFA0">
      <w:pPr>
        <w:pStyle w:val="4"/>
      </w:pPr>
      <w:bookmarkStart w:id="136" w:name="_Toc32718"/>
      <w:r>
        <w:rPr>
          <w:rFonts w:hint="eastAsia"/>
        </w:rPr>
        <w:t>6.3.3  蓝方防御</w:t>
      </w:r>
      <w:bookmarkEnd w:id="136"/>
    </w:p>
    <w:p w14:paraId="0208757E">
      <w:pPr>
        <w:ind w:firstLine="480"/>
      </w:pPr>
      <w:r>
        <w:rPr>
          <w:rFonts w:hint="eastAsia"/>
        </w:rPr>
        <w:t>蓝方防御模块是靶场系统中负责安全防护与联动响应的核心模块。该模块将输入护栏、检索护栏和输出护栏嵌入同一条 RAG 查询链路中，对查询输入、候选证据和最终生成结果进行分层防护，实现对知识库毒化攻击的检测、过滤与抑制。</w:t>
      </w:r>
    </w:p>
    <w:p w14:paraId="28922E18">
      <w:pPr>
        <w:ind w:firstLine="480"/>
      </w:pPr>
      <w:r>
        <w:rPr>
          <w:rFonts w:hint="eastAsia"/>
        </w:rPr>
        <w:t>该模块的核心类图如图6-1</w:t>
      </w:r>
      <w:r>
        <w:rPr>
          <w:rFonts w:hint="eastAsia"/>
          <w:lang w:val="en-US" w:eastAsia="zh-CN"/>
        </w:rPr>
        <w:t>2</w:t>
      </w:r>
      <w:r>
        <w:rPr>
          <w:rFonts w:hint="eastAsia"/>
        </w:rPr>
        <w:t>所示，主要包括 DefenseCoordinator、InputGuard、RetrievalGuard、OutputGuard 和 StrategyManager 五个核心类。其中，DefenseCoordinator 负责组织一次查询在各护栏中的执行顺序；InputGuard 负责完成提示注入、异常查询和高风险输入识别；RetrievalGuard 封装检索扩展、嵌入空间异常检测和句子级困惑度异常检测等方法，对候选证据进行过滤与重排；OutputGuard 负责对生成答案执行证据一致性校验和业务规则约束；StrategyManager 负责维护防御模板、阈值参数及响应策略。该类图用较少的核心类概括了蓝方防御模块的主要实现结构，突出其协同编排与分层过滤的特点。</w:t>
      </w:r>
    </w:p>
    <w:p w14:paraId="635A02BF">
      <w:pPr>
        <w:ind w:firstLine="480"/>
      </w:pPr>
      <w:r>
        <w:t>该模块的交互图如图6-1</w:t>
      </w:r>
      <w:r>
        <w:rPr>
          <w:rFonts w:hint="eastAsia"/>
          <w:lang w:val="en-US" w:eastAsia="zh-CN"/>
        </w:rPr>
        <w:t>3</w:t>
      </w:r>
      <w:r>
        <w:t>所示。当用户提交查询后，DefenseCoordinator 首先调用 InputGuard 对输入内容进行风险检测；若输入通过校验，则进入检索阶段，由 RetrievalGuard 对召回证据进行扩检索、异常筛除与可信重排；随后生成服务依据过滤后的证据生成回答，并由 OutputGuard 完成一致性校验与规则约束；最后，StrategyManager 根据检测结果执行拦截、重试、替换回答或告警上报等动作，并将执行日志写入 MySQL、运行状态写入 Redis。该模块保证了不同护栏能够在同一路径内协同工作，同时也支持策略独立启停与参数调节。</w:t>
      </w:r>
    </w:p>
    <w:p w14:paraId="1E19F3E5">
      <w:pPr>
        <w:ind w:firstLine="480"/>
      </w:pPr>
      <w:r>
        <w:t>防御策略配置界面和证据审查界面分别如图6-1</w:t>
      </w:r>
      <w:r>
        <w:rPr>
          <w:rFonts w:hint="eastAsia"/>
          <w:lang w:val="en-US" w:eastAsia="zh-CN"/>
        </w:rPr>
        <w:t>4</w:t>
      </w:r>
      <w:r>
        <w:rPr>
          <w:rFonts w:hint="eastAsia"/>
        </w:rPr>
        <w:t>、</w:t>
      </w:r>
      <w:r>
        <w:t>图6-1</w:t>
      </w:r>
      <w:r>
        <w:rPr>
          <w:rFonts w:hint="eastAsia"/>
          <w:lang w:val="en-US" w:eastAsia="zh-CN"/>
        </w:rPr>
        <w:t>5</w:t>
      </w:r>
      <w:r>
        <w:t>所示，前者用于设置护栏启停和阈值参数，后者用于查看证据过滤结果及防御判定依据。</w:t>
      </w:r>
    </w:p>
    <w:p w14:paraId="2AFD0BBD">
      <w:pPr>
        <w:pStyle w:val="4"/>
      </w:pPr>
      <w:bookmarkStart w:id="137" w:name="_Toc4885"/>
      <w:r>
        <w:rPr>
          <w:rFonts w:hint="eastAsia"/>
        </w:rPr>
        <w:t>6.3.4  态势感知与预案生成</w:t>
      </w:r>
      <w:bookmarkEnd w:id="137"/>
    </w:p>
    <w:p w14:paraId="39020151">
      <w:pPr>
        <w:ind w:firstLine="480"/>
      </w:pPr>
      <w:r>
        <w:rPr>
          <w:rFonts w:hint="eastAsia"/>
        </w:rPr>
        <w:t>态势感知与预案生成模块是整个靶场系统的分析中枢。该模块对演练全过程中的多源事件进行统一采集、关联分析、风险评估和处置建议生成，使系统具备从日志展示到态势研判、再到预案辅助的能力。</w:t>
      </w:r>
    </w:p>
    <w:p w14:paraId="082DF133">
      <w:pPr>
        <w:ind w:firstLine="480"/>
      </w:pPr>
      <w:r>
        <w:rPr>
          <w:rFonts w:hint="eastAsia"/>
        </w:rPr>
        <w:t>该模块的核心类图如图6-1</w:t>
      </w:r>
      <w:r>
        <w:rPr>
          <w:rFonts w:hint="eastAsia"/>
          <w:lang w:val="en-US" w:eastAsia="zh-CN"/>
        </w:rPr>
        <w:t>6</w:t>
      </w:r>
      <w:r>
        <w:rPr>
          <w:rFonts w:hint="eastAsia"/>
        </w:rPr>
        <w:t>所示，主要包括 EventCollector、EventNormalizer、CorrelationEngine、RiskEvaluator 和 PlanGenerator 五个核心类。其中，EventCollector 负责从知识入库、检索服务、生成服务、防御服务和资源监控链路持续采集原始事件；EventNormalizer 负责统一时间戳、任务编号、对象标识和事件类型；CorrelationEngine 负责将离散事件关联为完整的攻击链和响应链；RiskEvaluator 负责根据影响范围、严重程度和业务敏感等级计算风险水平；PlanGenerator 结合规则模板与历史案例生成处置建议。</w:t>
      </w:r>
    </w:p>
    <w:p w14:paraId="4E880444">
      <w:pPr>
        <w:ind w:firstLine="480"/>
      </w:pPr>
      <w:r>
        <w:rPr>
          <w:rFonts w:hint="eastAsia"/>
        </w:rPr>
        <w:t>该模块的交互图如图6-1</w:t>
      </w:r>
      <w:r>
        <w:rPr>
          <w:rFonts w:hint="eastAsia"/>
          <w:lang w:val="en-US" w:eastAsia="zh-CN"/>
        </w:rPr>
        <w:t>7</w:t>
      </w:r>
      <w:r>
        <w:rPr>
          <w:rFonts w:hint="eastAsia"/>
        </w:rPr>
        <w:t>所示。系统首先对演练过程中产生的多源日志和运行状态进行汇聚，随后由 CorrelationEngine 按任务编号和时间顺序将“毒化文档注入—异常召回—结果偏移—防御触发”等关键事件串联为同一条攻击链或响应链；在此基础上，RiskEvaluator 计算当前风险等级，PlanGenerator 结合案例库和预案模板生成处置建议，并通过 WebSocket 将分析结果推送到态势展示页面与预案推荐页面，最终实现从多源数据展示到风险研判、再到预案辅助的完整闭环。</w:t>
      </w:r>
    </w:p>
    <w:p w14:paraId="78268BB9">
      <w:pPr>
        <w:ind w:firstLine="480"/>
      </w:pPr>
      <w:r>
        <w:t>态势总览界面和预案生成界面分别如图6-1</w:t>
      </w:r>
      <w:r>
        <w:rPr>
          <w:rFonts w:hint="eastAsia"/>
          <w:lang w:val="en-US" w:eastAsia="zh-CN"/>
        </w:rPr>
        <w:t>8</w:t>
      </w:r>
      <w:r>
        <w:rPr>
          <w:rFonts w:hint="eastAsia"/>
        </w:rPr>
        <w:t>、</w:t>
      </w:r>
      <w:r>
        <w:t>图6-</w:t>
      </w:r>
      <w:r>
        <w:rPr>
          <w:rFonts w:hint="eastAsia"/>
          <w:lang w:val="en-US" w:eastAsia="zh-CN"/>
        </w:rPr>
        <w:t>19</w:t>
      </w:r>
      <w:r>
        <w:t>所示，前者重点展示攻击链路、风险分布和资源状态，后者重点展示推荐处置策略及其触发依据。</w:t>
      </w:r>
    </w:p>
    <w:p w14:paraId="26D8700D">
      <w:pPr>
        <w:pStyle w:val="4"/>
      </w:pPr>
      <w:bookmarkStart w:id="138" w:name="_Toc15755"/>
      <w:r>
        <w:rPr>
          <w:rFonts w:hint="eastAsia"/>
        </w:rPr>
        <w:t>6.3.5  演练导调与评估</w:t>
      </w:r>
      <w:bookmarkEnd w:id="138"/>
    </w:p>
    <w:p w14:paraId="596D7F79">
      <w:pPr>
        <w:ind w:firstLine="480"/>
      </w:pPr>
      <w:r>
        <w:rPr>
          <w:rFonts w:hint="eastAsia"/>
        </w:rPr>
        <w:t>演练导调与评估模块是整个安全靶场系统的组织与控制中心，将前述攻防、感知等能力编排为一套可创建、可启动、可干预、可评估、可回放的完整演练流程。</w:t>
      </w:r>
    </w:p>
    <w:p w14:paraId="68384428">
      <w:pPr>
        <w:ind w:firstLine="480"/>
      </w:pPr>
      <w:r>
        <w:rPr>
          <w:rFonts w:hint="eastAsia"/>
        </w:rPr>
        <w:t>该模块的核心类图如图6-2</w:t>
      </w:r>
      <w:r>
        <w:rPr>
          <w:rFonts w:hint="eastAsia"/>
          <w:lang w:val="en-US" w:eastAsia="zh-CN"/>
        </w:rPr>
        <w:t>0</w:t>
      </w:r>
      <w:r>
        <w:rPr>
          <w:rFonts w:hint="eastAsia"/>
        </w:rPr>
        <w:t>所示，主要包括 DrillController、ScriptManager、ProcessScheduler、EvaluationEngine 和 ReplayManager 五个核心类。其中，DrillController 负责演练任务的创建、启动、暂停、恢复和结束；ScriptManager 负责根据场景模板、攻击方式、防御基线和评价指标生成演练脚本；ProcessScheduler 负责按照脚本顺序调用环境管理、攻击、防御和态势分析等服务；EvaluationEngine 负责汇总攻击日志、防御日志、态势事件和资源状态，计算攻击成功率、防御有效性、业务影响程度、响应时延和资源开销等指标；ReplayManager 负责按时间顺序组织关键事件并生成回放时间轴。通过上述核心类的协同，可以较完整地支撑演练组织与评估分析的实现需求。</w:t>
      </w:r>
    </w:p>
    <w:p w14:paraId="057826AF">
      <w:pPr>
        <w:ind w:firstLine="480"/>
      </w:pPr>
      <w:r>
        <w:rPr>
          <w:rFonts w:hint="eastAsia"/>
        </w:rPr>
        <w:t>该模块的交互图如图6-2</w:t>
      </w:r>
      <w:r>
        <w:rPr>
          <w:rFonts w:hint="eastAsia"/>
          <w:lang w:val="en-US" w:eastAsia="zh-CN"/>
        </w:rPr>
        <w:t>1</w:t>
      </w:r>
      <w:r>
        <w:rPr>
          <w:rFonts w:hint="eastAsia"/>
        </w:rPr>
        <w:t>所示。黄方首先在演练编排页面中创建演练任务并配置场景参数，DrillController 接收请求后调用 ScriptManager 生成任务脚本，再由 ProcessScheduler 按顺序驱动靶标环境初始化、攻击执行、防御响应和态势分析；在演练过程中，黄方可根据实时态势结果执行暂停、恢复、切换场景、调整攻击强度或强制结束等导调操作；演练结束后，EvaluationEngine 自动生成量化评估报告，ReplayManager 则将关键过程重构为可回放时间轴。</w:t>
      </w:r>
    </w:p>
    <w:p w14:paraId="2A55005C">
      <w:pPr>
        <w:ind w:firstLine="480"/>
      </w:pPr>
      <w:r>
        <w:t>该模块的实时导调界面和演练评估界面分别如图6-2</w:t>
      </w:r>
      <w:r>
        <w:rPr>
          <w:rFonts w:hint="eastAsia"/>
          <w:lang w:val="en-US" w:eastAsia="zh-CN"/>
        </w:rPr>
        <w:t>2</w:t>
      </w:r>
      <w:r>
        <w:rPr>
          <w:rFonts w:hint="eastAsia"/>
        </w:rPr>
        <w:t>、</w:t>
      </w:r>
      <w:r>
        <w:t>图6-2</w:t>
      </w:r>
      <w:r>
        <w:rPr>
          <w:rFonts w:hint="eastAsia"/>
          <w:lang w:val="en-US" w:eastAsia="zh-CN"/>
        </w:rPr>
        <w:t>3</w:t>
      </w:r>
      <w:r>
        <w:t>所示，前者用于展示任务执行状态与人工干预入口，后者用于展示核心评估指标、过程统计结果及演练回放信息。</w:t>
      </w:r>
    </w:p>
    <w:p w14:paraId="2A054B18">
      <w:pPr>
        <w:pStyle w:val="3"/>
        <w:spacing w:before="163" w:after="163"/>
      </w:pPr>
      <w:bookmarkStart w:id="139" w:name="_Toc15996"/>
      <w:r>
        <w:rPr>
          <w:rFonts w:hint="eastAsia"/>
        </w:rPr>
        <w:t>6</w:t>
      </w:r>
      <w:r>
        <w:t>.</w:t>
      </w:r>
      <w:r>
        <w:rPr>
          <w:rFonts w:hint="eastAsia"/>
        </w:rPr>
        <w:t>4  系统部署与测试</w:t>
      </w:r>
      <w:bookmarkEnd w:id="139"/>
    </w:p>
    <w:p w14:paraId="61C3BB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验证所设计电力人工智能应用安全靶场系统的可部署性、功能完整性与运行稳定性，本节从部署环境与部署方式、功能测试以及性能测试三个方面对系统进行说明。本文系统面向红、蓝、黄、绿多方协同演练场景，既要保证攻击、防御、感知和评估等核心能力能够在统一环境中协同运行，又要满足演练过程对实时性、可靠性和可恢复性的要求。因此，有必要在完成系统设计与实现后，对其工程部署方式和实际运行效果进行进一步验证。</w:t>
      </w:r>
    </w:p>
    <w:p w14:paraId="2498F4AC">
      <w:pPr>
        <w:pStyle w:val="4"/>
      </w:pPr>
      <w:bookmarkStart w:id="140" w:name="_Toc29469"/>
      <w:r>
        <w:rPr>
          <w:rFonts w:hint="eastAsia"/>
        </w:rPr>
        <w:t>6.4.1</w:t>
      </w:r>
      <w:r>
        <w:rPr>
          <w:rFonts w:hint="eastAsia"/>
          <w:lang w:val="en-US" w:eastAsia="zh-CN"/>
        </w:rPr>
        <w:t xml:space="preserve">  </w:t>
      </w:r>
      <w:r>
        <w:rPr>
          <w:rFonts w:hint="eastAsia"/>
        </w:rPr>
        <w:t>系统测试环境</w:t>
      </w:r>
      <w:bookmarkEnd w:id="140"/>
    </w:p>
    <w:p w14:paraId="70CEA140">
      <w:pPr>
        <w:ind w:firstLine="480"/>
      </w:pPr>
      <w:r>
        <w:rPr>
          <w:rFonts w:hint="eastAsia"/>
        </w:rPr>
        <w:t>本安全靶场系统采用的部署和测试环境如下表6-1所示：</w:t>
      </w:r>
    </w:p>
    <w:p w14:paraId="4693AC00">
      <w:pPr>
        <w:pStyle w:val="8"/>
        <w:bidi w:val="0"/>
      </w:pPr>
      <w:r>
        <w:rPr>
          <w:rFonts w:hint="eastAsia"/>
        </w:rPr>
        <w:t>表6-1 资源名称与配置使用</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004D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single" w:color="auto" w:sz="12" w:space="0"/>
              <w:left w:val="nil"/>
              <w:bottom w:val="single" w:color="auto" w:sz="4" w:space="0"/>
              <w:right w:val="nil"/>
            </w:tcBorders>
            <w:vAlign w:val="center"/>
          </w:tcPr>
          <w:p w14:paraId="11496655">
            <w:pPr>
              <w:pStyle w:val="88"/>
              <w:bidi w:val="0"/>
            </w:pPr>
            <w:r>
              <w:rPr>
                <w:rFonts w:hint="eastAsia"/>
              </w:rPr>
              <w:t>资源名称</w:t>
            </w:r>
          </w:p>
        </w:tc>
        <w:tc>
          <w:tcPr>
            <w:tcW w:w="4264" w:type="dxa"/>
            <w:tcBorders>
              <w:top w:val="single" w:color="auto" w:sz="12" w:space="0"/>
              <w:left w:val="nil"/>
              <w:bottom w:val="single" w:color="auto" w:sz="4" w:space="0"/>
              <w:right w:val="nil"/>
            </w:tcBorders>
            <w:vAlign w:val="center"/>
          </w:tcPr>
          <w:p w14:paraId="0B4A4653">
            <w:pPr>
              <w:pStyle w:val="88"/>
              <w:bidi w:val="0"/>
            </w:pPr>
            <w:r>
              <w:rPr>
                <w:rFonts w:hint="eastAsia"/>
              </w:rPr>
              <w:t>配置</w:t>
            </w:r>
          </w:p>
        </w:tc>
      </w:tr>
      <w:tr w14:paraId="09DE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single" w:color="auto" w:sz="4" w:space="0"/>
              <w:left w:val="nil"/>
              <w:bottom w:val="nil"/>
              <w:right w:val="nil"/>
            </w:tcBorders>
            <w:vAlign w:val="center"/>
          </w:tcPr>
          <w:p w14:paraId="1F3C0EEC">
            <w:pPr>
              <w:pStyle w:val="84"/>
              <w:widowControl w:val="0"/>
            </w:pPr>
            <w:r>
              <w:rPr>
                <w:rFonts w:hint="eastAsia"/>
              </w:rPr>
              <w:t>服务器GPU</w:t>
            </w:r>
          </w:p>
        </w:tc>
        <w:tc>
          <w:tcPr>
            <w:tcW w:w="4264" w:type="dxa"/>
            <w:tcBorders>
              <w:top w:val="single" w:color="auto" w:sz="4" w:space="0"/>
              <w:left w:val="nil"/>
              <w:bottom w:val="nil"/>
              <w:right w:val="nil"/>
            </w:tcBorders>
            <w:vAlign w:val="center"/>
          </w:tcPr>
          <w:p w14:paraId="000B4093">
            <w:pPr>
              <w:pStyle w:val="84"/>
              <w:widowControl w:val="0"/>
            </w:pPr>
            <w:r>
              <w:rPr>
                <w:rFonts w:hint="eastAsia"/>
              </w:rPr>
              <w:t>NVIDIA GeForce RTX 4090</w:t>
            </w:r>
          </w:p>
        </w:tc>
      </w:tr>
      <w:tr w14:paraId="273E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2779BB3C">
            <w:pPr>
              <w:pStyle w:val="84"/>
              <w:widowControl w:val="0"/>
            </w:pPr>
            <w:r>
              <w:rPr>
                <w:rFonts w:hint="eastAsia"/>
              </w:rPr>
              <w:t>服务器CPU</w:t>
            </w:r>
          </w:p>
        </w:tc>
        <w:tc>
          <w:tcPr>
            <w:tcW w:w="4264" w:type="dxa"/>
            <w:tcBorders>
              <w:top w:val="nil"/>
              <w:left w:val="nil"/>
              <w:bottom w:val="nil"/>
              <w:right w:val="nil"/>
            </w:tcBorders>
            <w:vAlign w:val="center"/>
          </w:tcPr>
          <w:p w14:paraId="62CF50BF">
            <w:pPr>
              <w:pStyle w:val="84"/>
              <w:widowControl w:val="0"/>
            </w:pPr>
            <w:r>
              <w:rPr>
                <w:rFonts w:hint="eastAsia"/>
              </w:rPr>
              <w:t>Intel(R) Xeon(R) Platinum 8352V CPU @ 2.10GHz</w:t>
            </w:r>
          </w:p>
        </w:tc>
      </w:tr>
      <w:tr w14:paraId="54EC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5A8E1B86">
            <w:pPr>
              <w:pStyle w:val="84"/>
              <w:widowControl w:val="0"/>
            </w:pPr>
            <w:r>
              <w:rPr>
                <w:rFonts w:hint="eastAsia"/>
              </w:rPr>
              <w:t>服务器操作系统</w:t>
            </w:r>
          </w:p>
        </w:tc>
        <w:tc>
          <w:tcPr>
            <w:tcW w:w="4264" w:type="dxa"/>
            <w:tcBorders>
              <w:top w:val="nil"/>
              <w:left w:val="nil"/>
              <w:bottom w:val="nil"/>
              <w:right w:val="nil"/>
            </w:tcBorders>
            <w:vAlign w:val="center"/>
          </w:tcPr>
          <w:p w14:paraId="557ECFEB">
            <w:pPr>
              <w:pStyle w:val="84"/>
              <w:widowControl w:val="0"/>
            </w:pPr>
            <w:r>
              <w:rPr>
                <w:rFonts w:hint="eastAsia"/>
              </w:rPr>
              <w:t>Ubuntu20.04</w:t>
            </w:r>
          </w:p>
        </w:tc>
      </w:tr>
      <w:tr w14:paraId="418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5B5FEB20">
            <w:pPr>
              <w:pStyle w:val="84"/>
              <w:widowControl w:val="0"/>
            </w:pPr>
            <w:r>
              <w:rPr>
                <w:rFonts w:hint="eastAsia"/>
              </w:rPr>
              <w:t>客户端GPU</w:t>
            </w:r>
          </w:p>
        </w:tc>
        <w:tc>
          <w:tcPr>
            <w:tcW w:w="4264" w:type="dxa"/>
            <w:tcBorders>
              <w:top w:val="nil"/>
              <w:left w:val="nil"/>
              <w:bottom w:val="nil"/>
              <w:right w:val="nil"/>
            </w:tcBorders>
            <w:vAlign w:val="center"/>
          </w:tcPr>
          <w:p w14:paraId="4D4700E4">
            <w:pPr>
              <w:pStyle w:val="84"/>
              <w:widowControl w:val="0"/>
            </w:pPr>
            <w:r>
              <w:rPr>
                <w:rFonts w:hint="eastAsia"/>
              </w:rPr>
              <w:t>NVIDIA GeForce RTX 1650</w:t>
            </w:r>
          </w:p>
        </w:tc>
      </w:tr>
      <w:tr w14:paraId="281C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3129D8D6">
            <w:pPr>
              <w:pStyle w:val="84"/>
              <w:widowControl w:val="0"/>
            </w:pPr>
            <w:r>
              <w:rPr>
                <w:rFonts w:hint="eastAsia"/>
              </w:rPr>
              <w:t>客户端CPU</w:t>
            </w:r>
          </w:p>
        </w:tc>
        <w:tc>
          <w:tcPr>
            <w:tcW w:w="4264" w:type="dxa"/>
            <w:tcBorders>
              <w:top w:val="nil"/>
              <w:left w:val="nil"/>
              <w:bottom w:val="nil"/>
              <w:right w:val="nil"/>
            </w:tcBorders>
            <w:vAlign w:val="center"/>
          </w:tcPr>
          <w:p w14:paraId="20EA57DC">
            <w:pPr>
              <w:pStyle w:val="84"/>
              <w:widowControl w:val="0"/>
            </w:pPr>
            <w:r>
              <w:t>Intel(R) Core(TM) i5-9300H CPU@ 2.40GHz</w:t>
            </w:r>
          </w:p>
        </w:tc>
      </w:tr>
      <w:tr w14:paraId="3283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3C572E6B">
            <w:pPr>
              <w:pStyle w:val="84"/>
              <w:widowControl w:val="0"/>
            </w:pPr>
            <w:r>
              <w:rPr>
                <w:rFonts w:hint="eastAsia"/>
              </w:rPr>
              <w:t>操作系统</w:t>
            </w:r>
          </w:p>
        </w:tc>
        <w:tc>
          <w:tcPr>
            <w:tcW w:w="4264" w:type="dxa"/>
            <w:tcBorders>
              <w:top w:val="nil"/>
              <w:left w:val="nil"/>
              <w:bottom w:val="nil"/>
              <w:right w:val="nil"/>
            </w:tcBorders>
            <w:vAlign w:val="center"/>
          </w:tcPr>
          <w:p w14:paraId="756E66CD">
            <w:pPr>
              <w:pStyle w:val="84"/>
              <w:widowControl w:val="0"/>
            </w:pPr>
            <w:r>
              <w:rPr>
                <w:rFonts w:hint="eastAsia"/>
              </w:rPr>
              <w:t>Windows11</w:t>
            </w:r>
          </w:p>
        </w:tc>
      </w:tr>
      <w:tr w14:paraId="77AF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single" w:color="auto" w:sz="12" w:space="0"/>
              <w:right w:val="nil"/>
            </w:tcBorders>
            <w:vAlign w:val="center"/>
          </w:tcPr>
          <w:p w14:paraId="4DB415BD">
            <w:pPr>
              <w:pStyle w:val="84"/>
              <w:widowControl w:val="0"/>
            </w:pPr>
            <w:r>
              <w:rPr>
                <w:rFonts w:hint="eastAsia"/>
              </w:rPr>
              <w:t>浏览器</w:t>
            </w:r>
          </w:p>
        </w:tc>
        <w:tc>
          <w:tcPr>
            <w:tcW w:w="4264" w:type="dxa"/>
            <w:tcBorders>
              <w:top w:val="nil"/>
              <w:left w:val="nil"/>
              <w:bottom w:val="single" w:color="auto" w:sz="12" w:space="0"/>
              <w:right w:val="nil"/>
            </w:tcBorders>
            <w:vAlign w:val="center"/>
          </w:tcPr>
          <w:p w14:paraId="640AA8D9">
            <w:pPr>
              <w:pStyle w:val="84"/>
              <w:widowControl w:val="0"/>
            </w:pPr>
            <w:r>
              <w:rPr>
                <w:rFonts w:hint="eastAsia"/>
              </w:rPr>
              <w:t>Chrome</w:t>
            </w:r>
          </w:p>
        </w:tc>
      </w:tr>
    </w:tbl>
    <w:p w14:paraId="283C35C8">
      <w:pPr>
        <w:pStyle w:val="4"/>
      </w:pPr>
      <w:bookmarkStart w:id="141" w:name="_Toc17801"/>
      <w:r>
        <w:rPr>
          <w:rFonts w:hint="eastAsia"/>
        </w:rPr>
        <w:t>6.4.2</w:t>
      </w:r>
      <w:r>
        <w:rPr>
          <w:rFonts w:hint="eastAsia"/>
          <w:lang w:val="en-US" w:eastAsia="zh-CN"/>
        </w:rPr>
        <w:t xml:space="preserve">  </w:t>
      </w:r>
      <w:r>
        <w:rPr>
          <w:rFonts w:hint="eastAsia"/>
        </w:rPr>
        <w:t>功能测试</w:t>
      </w:r>
      <w:bookmarkEnd w:id="141"/>
    </w:p>
    <w:p w14:paraId="3EB282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为验证电力人工智能应用安全靶场系统各核心模块能够按照设计要求稳定运行，本节对系统核心功能进行逐项测试。</w:t>
      </w:r>
    </w:p>
    <w:p w14:paraId="0EB379F2">
      <w:pPr>
        <w:pStyle w:val="8"/>
        <w:bidi w:val="0"/>
      </w:pPr>
      <w:r>
        <w:rPr>
          <w:rFonts w:hint="eastAsia"/>
        </w:rPr>
        <w:t>表6-2 环境管理与场景配置功能测试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7165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880D5A8">
            <w:pPr>
              <w:ind w:firstLine="0" w:firstLineChars="0"/>
              <w:rPr>
                <w:sz w:val="21"/>
                <w:szCs w:val="21"/>
              </w:rPr>
            </w:pPr>
            <w:r>
              <w:rPr>
                <w:rFonts w:hint="eastAsia"/>
                <w:b/>
                <w:bCs/>
                <w:sz w:val="21"/>
                <w:szCs w:val="21"/>
              </w:rPr>
              <w:t>测试名称：</w:t>
            </w:r>
            <w:r>
              <w:rPr>
                <w:rFonts w:hint="eastAsia"/>
                <w:sz w:val="21"/>
                <w:szCs w:val="21"/>
              </w:rPr>
              <w:t>环境管理与场景配置</w:t>
            </w:r>
          </w:p>
        </w:tc>
      </w:tr>
      <w:tr w14:paraId="5439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D176334">
            <w:pPr>
              <w:ind w:firstLine="0" w:firstLineChars="0"/>
              <w:rPr>
                <w:b/>
                <w:bCs/>
                <w:sz w:val="21"/>
                <w:szCs w:val="21"/>
              </w:rPr>
            </w:pPr>
            <w:r>
              <w:rPr>
                <w:rFonts w:hint="eastAsia"/>
                <w:b/>
                <w:bCs/>
                <w:sz w:val="21"/>
                <w:szCs w:val="21"/>
              </w:rPr>
              <w:t>测试步骤：</w:t>
            </w:r>
          </w:p>
          <w:p w14:paraId="096D0B2F">
            <w:pPr>
              <w:ind w:firstLine="0" w:firstLineChars="0"/>
              <w:rPr>
                <w:rFonts w:hint="eastAsia" w:ascii="宋体" w:hAnsi="宋体" w:cs="宋体"/>
                <w:sz w:val="21"/>
                <w:szCs w:val="21"/>
              </w:rPr>
            </w:pPr>
            <w:r>
              <w:rPr>
                <w:rFonts w:ascii="宋体" w:hAnsi="宋体" w:cs="宋体"/>
                <w:sz w:val="21"/>
                <w:szCs w:val="21"/>
              </w:rPr>
              <w:t>进入场景配置页面，选择</w:t>
            </w:r>
            <w:r>
              <w:rPr>
                <w:rFonts w:hint="eastAsia" w:ascii="宋体" w:hAnsi="宋体" w:cs="宋体"/>
                <w:sz w:val="21"/>
                <w:szCs w:val="21"/>
              </w:rPr>
              <w:t>配置信息与知识库，提交初始化请求。</w:t>
            </w:r>
          </w:p>
        </w:tc>
      </w:tr>
      <w:tr w14:paraId="48E7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94151C8">
            <w:pPr>
              <w:ind w:firstLine="0" w:firstLineChars="0"/>
              <w:rPr>
                <w:sz w:val="21"/>
                <w:szCs w:val="21"/>
              </w:rPr>
            </w:pPr>
            <w:r>
              <w:rPr>
                <w:rFonts w:hint="eastAsia"/>
                <w:b/>
                <w:bCs/>
                <w:sz w:val="21"/>
                <w:szCs w:val="21"/>
              </w:rPr>
              <w:t>预期结果：</w:t>
            </w:r>
            <w:r>
              <w:rPr>
                <w:rFonts w:hint="eastAsia"/>
                <w:sz w:val="21"/>
                <w:szCs w:val="21"/>
              </w:rPr>
              <w:t>系统能够根据所选配置完成知识库挂载，环境状态正确。</w:t>
            </w:r>
          </w:p>
        </w:tc>
      </w:tr>
      <w:tr w14:paraId="0A56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415B732D">
            <w:pPr>
              <w:ind w:firstLine="0" w:firstLineChars="0"/>
              <w:rPr>
                <w:sz w:val="21"/>
                <w:szCs w:val="21"/>
              </w:rPr>
            </w:pPr>
            <w:r>
              <w:rPr>
                <w:rFonts w:hint="eastAsia"/>
                <w:b/>
                <w:bCs/>
                <w:sz w:val="21"/>
                <w:szCs w:val="21"/>
              </w:rPr>
              <w:t>测试结果：</w:t>
            </w:r>
            <w:r>
              <w:rPr>
                <w:rFonts w:hint="eastAsia"/>
                <w:sz w:val="21"/>
                <w:szCs w:val="21"/>
              </w:rPr>
              <w:t>系统完成演练环境初始化</w:t>
            </w:r>
          </w:p>
        </w:tc>
      </w:tr>
      <w:tr w14:paraId="735F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B8C180A">
            <w:pPr>
              <w:ind w:firstLine="0" w:firstLineChars="0"/>
              <w:rPr>
                <w:sz w:val="21"/>
                <w:szCs w:val="21"/>
              </w:rPr>
            </w:pPr>
            <w:r>
              <w:rPr>
                <w:rFonts w:hint="eastAsia"/>
                <w:b/>
                <w:bCs/>
                <w:sz w:val="21"/>
                <w:szCs w:val="21"/>
              </w:rPr>
              <w:t>是否通过：</w:t>
            </w:r>
            <w:r>
              <w:rPr>
                <w:rFonts w:hint="eastAsia"/>
                <w:sz w:val="21"/>
                <w:szCs w:val="21"/>
              </w:rPr>
              <w:t>测试通过</w:t>
            </w:r>
          </w:p>
        </w:tc>
      </w:tr>
    </w:tbl>
    <w:p w14:paraId="2934E993">
      <w:pPr>
        <w:pStyle w:val="8"/>
        <w:bidi w:val="0"/>
        <w:rPr>
          <w:rFonts w:hint="eastAsia"/>
        </w:rPr>
      </w:pPr>
      <w:r>
        <w:rPr>
          <w:rFonts w:hint="eastAsia"/>
        </w:rPr>
        <w:t>表6-3 红方攻击功能测试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154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CA12318">
            <w:pPr>
              <w:ind w:firstLine="0" w:firstLineChars="0"/>
              <w:rPr>
                <w:sz w:val="21"/>
                <w:szCs w:val="21"/>
              </w:rPr>
            </w:pPr>
            <w:r>
              <w:rPr>
                <w:rFonts w:hint="eastAsia"/>
                <w:b/>
                <w:bCs/>
                <w:sz w:val="21"/>
                <w:szCs w:val="21"/>
              </w:rPr>
              <w:t>测试名称：</w:t>
            </w:r>
            <w:r>
              <w:rPr>
                <w:rFonts w:hint="eastAsia"/>
                <w:sz w:val="21"/>
                <w:szCs w:val="21"/>
              </w:rPr>
              <w:t>红方攻击能力测试</w:t>
            </w:r>
          </w:p>
        </w:tc>
      </w:tr>
      <w:tr w14:paraId="2585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B9B6C19">
            <w:pPr>
              <w:ind w:firstLine="0" w:firstLineChars="0"/>
              <w:rPr>
                <w:b/>
                <w:bCs/>
                <w:sz w:val="21"/>
                <w:szCs w:val="21"/>
              </w:rPr>
            </w:pPr>
            <w:r>
              <w:rPr>
                <w:rFonts w:hint="eastAsia"/>
                <w:b/>
                <w:bCs/>
                <w:sz w:val="21"/>
                <w:szCs w:val="21"/>
              </w:rPr>
              <w:t>测试步骤：</w:t>
            </w:r>
          </w:p>
          <w:p w14:paraId="6030F545">
            <w:pPr>
              <w:ind w:firstLine="0" w:firstLineChars="0"/>
              <w:rPr>
                <w:rFonts w:hint="eastAsia" w:ascii="宋体" w:hAnsi="宋体" w:cs="宋体"/>
                <w:sz w:val="21"/>
                <w:szCs w:val="21"/>
              </w:rPr>
            </w:pPr>
            <w:r>
              <w:rPr>
                <w:rFonts w:ascii="宋体" w:hAnsi="宋体" w:cs="宋体"/>
                <w:sz w:val="21"/>
                <w:szCs w:val="21"/>
              </w:rPr>
              <w:t>进入</w:t>
            </w:r>
            <w:r>
              <w:rPr>
                <w:rFonts w:hint="eastAsia" w:ascii="宋体" w:hAnsi="宋体" w:cs="宋体"/>
                <w:sz w:val="21"/>
                <w:szCs w:val="21"/>
              </w:rPr>
              <w:t>攻击配置</w:t>
            </w:r>
            <w:r>
              <w:rPr>
                <w:rFonts w:ascii="宋体" w:hAnsi="宋体" w:cs="宋体"/>
                <w:sz w:val="21"/>
                <w:szCs w:val="21"/>
              </w:rPr>
              <w:t>页面，</w:t>
            </w:r>
            <w:r>
              <w:rPr>
                <w:rFonts w:hint="eastAsia" w:ascii="宋体" w:hAnsi="宋体" w:cs="宋体"/>
                <w:sz w:val="21"/>
                <w:szCs w:val="21"/>
              </w:rPr>
              <w:t>输入目标问题及对抗内容、注入数量。</w:t>
            </w:r>
          </w:p>
          <w:p w14:paraId="3A1F0C10">
            <w:pPr>
              <w:ind w:firstLine="0" w:firstLineChars="0"/>
              <w:rPr>
                <w:rFonts w:hint="eastAsia" w:ascii="宋体" w:hAnsi="宋体" w:cs="宋体"/>
                <w:sz w:val="21"/>
                <w:szCs w:val="21"/>
              </w:rPr>
            </w:pPr>
            <w:r>
              <w:rPr>
                <w:rFonts w:hint="eastAsia" w:ascii="宋体" w:hAnsi="宋体" w:cs="宋体"/>
                <w:sz w:val="21"/>
                <w:szCs w:val="21"/>
              </w:rPr>
              <w:t>提交并生成对抗段落。</w:t>
            </w:r>
          </w:p>
          <w:p w14:paraId="2466539C">
            <w:pPr>
              <w:ind w:firstLine="0" w:firstLineChars="0"/>
              <w:rPr>
                <w:rFonts w:hint="eastAsia" w:ascii="宋体" w:hAnsi="宋体" w:cs="宋体"/>
                <w:sz w:val="21"/>
                <w:szCs w:val="21"/>
              </w:rPr>
            </w:pPr>
            <w:r>
              <w:rPr>
                <w:rFonts w:hint="eastAsia" w:ascii="宋体" w:hAnsi="宋体" w:cs="宋体"/>
                <w:sz w:val="21"/>
                <w:szCs w:val="21"/>
              </w:rPr>
              <w:t>预览对抗段落后确认注入。</w:t>
            </w:r>
          </w:p>
        </w:tc>
      </w:tr>
      <w:tr w14:paraId="4587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07593EC">
            <w:pPr>
              <w:ind w:firstLine="0" w:firstLineChars="0"/>
              <w:rPr>
                <w:sz w:val="21"/>
                <w:szCs w:val="21"/>
              </w:rPr>
            </w:pPr>
            <w:r>
              <w:rPr>
                <w:rFonts w:hint="eastAsia"/>
                <w:b/>
                <w:bCs/>
                <w:sz w:val="21"/>
                <w:szCs w:val="21"/>
              </w:rPr>
              <w:t>预期结果：</w:t>
            </w:r>
            <w:r>
              <w:rPr>
                <w:rFonts w:hint="eastAsia"/>
                <w:sz w:val="21"/>
                <w:szCs w:val="21"/>
              </w:rPr>
              <w:t>系统能够成功生成相应对抗段落并存入知识库。</w:t>
            </w:r>
          </w:p>
        </w:tc>
      </w:tr>
      <w:tr w14:paraId="3BA8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0711D43">
            <w:pPr>
              <w:ind w:firstLine="0" w:firstLineChars="0"/>
              <w:rPr>
                <w:sz w:val="21"/>
                <w:szCs w:val="21"/>
              </w:rPr>
            </w:pPr>
            <w:r>
              <w:rPr>
                <w:rFonts w:hint="eastAsia"/>
                <w:b/>
                <w:bCs/>
                <w:sz w:val="21"/>
                <w:szCs w:val="21"/>
              </w:rPr>
              <w:t>测试结果：</w:t>
            </w:r>
            <w:r>
              <w:rPr>
                <w:rFonts w:hint="eastAsia"/>
                <w:sz w:val="21"/>
                <w:szCs w:val="21"/>
              </w:rPr>
              <w:t>系统完成攻击任务创建，按预期生成对抗段落。</w:t>
            </w:r>
          </w:p>
        </w:tc>
      </w:tr>
      <w:tr w14:paraId="0691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7E776B2">
            <w:pPr>
              <w:ind w:firstLine="0" w:firstLineChars="0"/>
              <w:rPr>
                <w:sz w:val="21"/>
                <w:szCs w:val="21"/>
              </w:rPr>
            </w:pPr>
            <w:r>
              <w:rPr>
                <w:rFonts w:hint="eastAsia"/>
                <w:b/>
                <w:bCs/>
                <w:sz w:val="21"/>
                <w:szCs w:val="21"/>
              </w:rPr>
              <w:t>是否通过：</w:t>
            </w:r>
            <w:r>
              <w:rPr>
                <w:rFonts w:hint="eastAsia"/>
                <w:sz w:val="21"/>
                <w:szCs w:val="21"/>
              </w:rPr>
              <w:t>测试通过</w:t>
            </w:r>
          </w:p>
        </w:tc>
      </w:tr>
    </w:tbl>
    <w:p w14:paraId="18289259">
      <w:pPr>
        <w:pStyle w:val="8"/>
        <w:bidi w:val="0"/>
        <w:rPr>
          <w:rFonts w:hint="eastAsia"/>
        </w:rPr>
      </w:pPr>
      <w:r>
        <w:rPr>
          <w:rFonts w:hint="eastAsia"/>
        </w:rPr>
        <w:t>表6-4 蓝方防御功能测试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3F92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16BA24E">
            <w:pPr>
              <w:ind w:firstLine="0" w:firstLineChars="0"/>
              <w:rPr>
                <w:sz w:val="21"/>
                <w:szCs w:val="21"/>
              </w:rPr>
            </w:pPr>
            <w:r>
              <w:rPr>
                <w:rFonts w:hint="eastAsia"/>
                <w:b/>
                <w:bCs/>
                <w:sz w:val="21"/>
                <w:szCs w:val="21"/>
              </w:rPr>
              <w:t>测试名称：</w:t>
            </w:r>
            <w:r>
              <w:rPr>
                <w:rFonts w:hint="eastAsia"/>
                <w:sz w:val="21"/>
                <w:szCs w:val="21"/>
              </w:rPr>
              <w:t>蓝方防御功能测试</w:t>
            </w:r>
          </w:p>
        </w:tc>
      </w:tr>
      <w:tr w14:paraId="0312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AE6D94B">
            <w:pPr>
              <w:ind w:firstLine="0" w:firstLineChars="0"/>
              <w:rPr>
                <w:b/>
                <w:bCs/>
                <w:sz w:val="21"/>
                <w:szCs w:val="21"/>
              </w:rPr>
            </w:pPr>
            <w:r>
              <w:rPr>
                <w:rFonts w:hint="eastAsia"/>
                <w:b/>
                <w:bCs/>
                <w:sz w:val="21"/>
                <w:szCs w:val="21"/>
              </w:rPr>
              <w:t>测试步骤：</w:t>
            </w:r>
          </w:p>
          <w:p w14:paraId="1A2BBCA6">
            <w:pPr>
              <w:ind w:firstLine="0" w:firstLineChars="0"/>
              <w:rPr>
                <w:rFonts w:hint="eastAsia" w:ascii="宋体" w:hAnsi="宋体" w:cs="宋体"/>
                <w:sz w:val="21"/>
                <w:szCs w:val="21"/>
              </w:rPr>
            </w:pPr>
            <w:r>
              <w:rPr>
                <w:rFonts w:hint="eastAsia" w:ascii="宋体" w:hAnsi="宋体" w:cs="宋体"/>
                <w:sz w:val="21"/>
                <w:szCs w:val="21"/>
              </w:rPr>
              <w:t>进入防御配置页面，启用</w:t>
            </w:r>
            <w:r>
              <w:rPr>
                <w:rFonts w:ascii="宋体" w:hAnsi="宋体" w:cs="宋体"/>
                <w:sz w:val="21"/>
                <w:szCs w:val="21"/>
              </w:rPr>
              <w:t>输入护栏、检索护栏和输出护栏</w:t>
            </w:r>
            <w:r>
              <w:rPr>
                <w:rFonts w:hint="eastAsia" w:ascii="宋体" w:hAnsi="宋体" w:cs="宋体"/>
                <w:sz w:val="21"/>
                <w:szCs w:val="21"/>
              </w:rPr>
              <w:t>。</w:t>
            </w:r>
          </w:p>
          <w:p w14:paraId="42E2F493">
            <w:pPr>
              <w:ind w:firstLine="0" w:firstLineChars="0"/>
              <w:rPr>
                <w:rFonts w:hint="eastAsia" w:ascii="宋体" w:hAnsi="宋体" w:cs="宋体"/>
                <w:sz w:val="21"/>
                <w:szCs w:val="21"/>
              </w:rPr>
            </w:pPr>
            <w:r>
              <w:rPr>
                <w:rFonts w:hint="eastAsia" w:ascii="宋体" w:hAnsi="宋体" w:cs="宋体"/>
                <w:sz w:val="21"/>
                <w:szCs w:val="21"/>
              </w:rPr>
              <w:t>设置检索扩展比例、异常检测阈值与输出约束规则。</w:t>
            </w:r>
          </w:p>
        </w:tc>
      </w:tr>
      <w:tr w14:paraId="0E75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FB4D5EA">
            <w:pPr>
              <w:ind w:firstLine="0" w:firstLineChars="0"/>
              <w:rPr>
                <w:sz w:val="21"/>
                <w:szCs w:val="21"/>
              </w:rPr>
            </w:pPr>
            <w:r>
              <w:rPr>
                <w:rFonts w:hint="eastAsia"/>
                <w:b/>
                <w:bCs/>
                <w:sz w:val="21"/>
                <w:szCs w:val="21"/>
              </w:rPr>
              <w:t>预期结果：</w:t>
            </w:r>
            <w:r>
              <w:rPr>
                <w:rFonts w:hint="eastAsia"/>
                <w:sz w:val="21"/>
                <w:szCs w:val="21"/>
              </w:rPr>
              <w:t>系统能够根据配置对输入、检索候选以及输出依次检测。</w:t>
            </w:r>
          </w:p>
        </w:tc>
      </w:tr>
      <w:tr w14:paraId="5769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AE870B6">
            <w:pPr>
              <w:ind w:firstLine="0" w:firstLineChars="0"/>
              <w:rPr>
                <w:sz w:val="21"/>
                <w:szCs w:val="21"/>
              </w:rPr>
            </w:pPr>
            <w:r>
              <w:rPr>
                <w:rFonts w:hint="eastAsia"/>
                <w:b/>
                <w:bCs/>
                <w:sz w:val="21"/>
                <w:szCs w:val="21"/>
              </w:rPr>
              <w:t>测试结果：</w:t>
            </w:r>
            <w:r>
              <w:rPr>
                <w:rFonts w:hint="eastAsia"/>
                <w:sz w:val="21"/>
                <w:szCs w:val="21"/>
              </w:rPr>
              <w:t>系统实现异常检测与过滤，完成防御任务。</w:t>
            </w:r>
          </w:p>
        </w:tc>
      </w:tr>
      <w:tr w14:paraId="5606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8" w:type="dxa"/>
          </w:tcPr>
          <w:p w14:paraId="633C2109">
            <w:pPr>
              <w:ind w:firstLine="0" w:firstLineChars="0"/>
              <w:rPr>
                <w:sz w:val="21"/>
                <w:szCs w:val="21"/>
              </w:rPr>
            </w:pPr>
            <w:r>
              <w:rPr>
                <w:rFonts w:hint="eastAsia"/>
                <w:b/>
                <w:bCs/>
                <w:sz w:val="21"/>
                <w:szCs w:val="21"/>
              </w:rPr>
              <w:t>是否通过：</w:t>
            </w:r>
            <w:r>
              <w:rPr>
                <w:rFonts w:hint="eastAsia"/>
                <w:sz w:val="21"/>
                <w:szCs w:val="21"/>
              </w:rPr>
              <w:t>测试通过</w:t>
            </w:r>
          </w:p>
        </w:tc>
      </w:tr>
    </w:tbl>
    <w:p w14:paraId="17775800">
      <w:pPr>
        <w:pStyle w:val="8"/>
        <w:bidi w:val="0"/>
        <w:rPr>
          <w:rFonts w:hint="eastAsia"/>
        </w:rPr>
      </w:pPr>
      <w:r>
        <w:rPr>
          <w:rFonts w:hint="eastAsia"/>
        </w:rPr>
        <w:t>表6-5 态势感知与预案生成功能测试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F44D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A2585F2">
            <w:pPr>
              <w:ind w:firstLine="0" w:firstLineChars="0"/>
              <w:rPr>
                <w:sz w:val="21"/>
                <w:szCs w:val="21"/>
              </w:rPr>
            </w:pPr>
            <w:r>
              <w:rPr>
                <w:rFonts w:hint="eastAsia"/>
                <w:b/>
                <w:bCs/>
                <w:sz w:val="21"/>
                <w:szCs w:val="21"/>
              </w:rPr>
              <w:t>测试名称：</w:t>
            </w:r>
            <w:r>
              <w:rPr>
                <w:rFonts w:hint="eastAsia"/>
                <w:sz w:val="21"/>
                <w:szCs w:val="21"/>
              </w:rPr>
              <w:t>态势感知与预案生成</w:t>
            </w:r>
          </w:p>
        </w:tc>
      </w:tr>
      <w:tr w14:paraId="7A20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E4CC03F">
            <w:pPr>
              <w:ind w:firstLine="0" w:firstLineChars="0"/>
              <w:rPr>
                <w:b/>
                <w:bCs/>
                <w:sz w:val="21"/>
                <w:szCs w:val="21"/>
              </w:rPr>
            </w:pPr>
            <w:r>
              <w:rPr>
                <w:rFonts w:hint="eastAsia"/>
                <w:b/>
                <w:bCs/>
                <w:sz w:val="21"/>
                <w:szCs w:val="21"/>
              </w:rPr>
              <w:t>测试步骤：</w:t>
            </w:r>
          </w:p>
          <w:p w14:paraId="11C9B2EE">
            <w:pPr>
              <w:ind w:firstLine="0" w:firstLineChars="0"/>
              <w:rPr>
                <w:rFonts w:hint="eastAsia" w:ascii="宋体" w:hAnsi="宋体" w:cs="宋体"/>
                <w:sz w:val="21"/>
                <w:szCs w:val="21"/>
              </w:rPr>
            </w:pPr>
            <w:r>
              <w:rPr>
                <w:rFonts w:hint="eastAsia" w:ascii="宋体" w:hAnsi="宋体" w:cs="宋体"/>
                <w:sz w:val="21"/>
                <w:szCs w:val="21"/>
              </w:rPr>
              <w:t>查看知识入库日志、检索命中记录以及资源状态。</w:t>
            </w:r>
          </w:p>
          <w:p w14:paraId="5E55C972">
            <w:pPr>
              <w:ind w:firstLine="0" w:firstLineChars="0"/>
              <w:rPr>
                <w:rFonts w:hint="eastAsia" w:ascii="宋体" w:hAnsi="宋体" w:cs="宋体"/>
                <w:sz w:val="21"/>
                <w:szCs w:val="21"/>
              </w:rPr>
            </w:pPr>
            <w:r>
              <w:rPr>
                <w:rFonts w:hint="eastAsia" w:ascii="宋体" w:hAnsi="宋体" w:cs="宋体"/>
                <w:sz w:val="21"/>
                <w:szCs w:val="21"/>
              </w:rPr>
              <w:t>进入预案生成页面，查看推荐处置建议。</w:t>
            </w:r>
          </w:p>
        </w:tc>
      </w:tr>
      <w:tr w14:paraId="4C2B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935F65E">
            <w:pPr>
              <w:ind w:firstLine="0" w:firstLineChars="0"/>
              <w:rPr>
                <w:sz w:val="21"/>
                <w:szCs w:val="21"/>
              </w:rPr>
            </w:pPr>
            <w:r>
              <w:rPr>
                <w:rFonts w:hint="eastAsia"/>
                <w:b/>
                <w:bCs/>
                <w:sz w:val="21"/>
                <w:szCs w:val="21"/>
              </w:rPr>
              <w:t>预期结果：</w:t>
            </w:r>
            <w:r>
              <w:rPr>
                <w:rFonts w:hint="eastAsia"/>
                <w:sz w:val="21"/>
                <w:szCs w:val="21"/>
              </w:rPr>
              <w:t>系统能够对演练事件整体分析并给出预案。</w:t>
            </w:r>
          </w:p>
        </w:tc>
      </w:tr>
      <w:tr w14:paraId="6B6F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99DDC37">
            <w:pPr>
              <w:ind w:firstLine="0" w:firstLineChars="0"/>
              <w:rPr>
                <w:sz w:val="21"/>
                <w:szCs w:val="21"/>
              </w:rPr>
            </w:pPr>
            <w:r>
              <w:rPr>
                <w:rFonts w:hint="eastAsia"/>
                <w:b/>
                <w:bCs/>
                <w:sz w:val="21"/>
                <w:szCs w:val="21"/>
              </w:rPr>
              <w:t>测试结果：</w:t>
            </w:r>
            <w:r>
              <w:rPr>
                <w:rFonts w:hint="eastAsia"/>
                <w:sz w:val="21"/>
                <w:szCs w:val="21"/>
              </w:rPr>
              <w:t>系统可展示评估报告，并提供预案。</w:t>
            </w:r>
          </w:p>
        </w:tc>
      </w:tr>
      <w:tr w14:paraId="39379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8" w:type="dxa"/>
          </w:tcPr>
          <w:p w14:paraId="67FFAC23">
            <w:pPr>
              <w:ind w:firstLine="0" w:firstLineChars="0"/>
              <w:rPr>
                <w:sz w:val="21"/>
                <w:szCs w:val="21"/>
              </w:rPr>
            </w:pPr>
            <w:r>
              <w:rPr>
                <w:rFonts w:hint="eastAsia"/>
                <w:b/>
                <w:bCs/>
                <w:sz w:val="21"/>
                <w:szCs w:val="21"/>
              </w:rPr>
              <w:t>是否通过：</w:t>
            </w:r>
            <w:r>
              <w:rPr>
                <w:rFonts w:hint="eastAsia"/>
                <w:sz w:val="21"/>
                <w:szCs w:val="21"/>
              </w:rPr>
              <w:t>测试通过</w:t>
            </w:r>
          </w:p>
        </w:tc>
      </w:tr>
    </w:tbl>
    <w:p w14:paraId="1668ABD6">
      <w:pPr>
        <w:pStyle w:val="4"/>
      </w:pPr>
      <w:bookmarkStart w:id="142" w:name="_Toc31051"/>
      <w:r>
        <w:rPr>
          <w:rFonts w:hint="eastAsia"/>
        </w:rPr>
        <w:t>6.4.3</w:t>
      </w:r>
      <w:r>
        <w:rPr>
          <w:rFonts w:hint="eastAsia"/>
          <w:lang w:val="en-US" w:eastAsia="zh-CN"/>
        </w:rPr>
        <w:t xml:space="preserve">  </w:t>
      </w:r>
      <w:r>
        <w:rPr>
          <w:rFonts w:hint="eastAsia"/>
        </w:rPr>
        <w:t>性能测试</w:t>
      </w:r>
      <w:bookmarkEnd w:id="142"/>
    </w:p>
    <w:p w14:paraId="30388E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验证电力人工智能应用安全靶场系统在实际攻防演练过程中的响应效率与运行稳定性，本文从核心业务链路平均响应时间和系统资源占用情况两个方面开展性能测试。测试过程中，对环境配置与场景切换、攻击任务执行、防御任务执行、告警触发和评估报告生成等典型操作分别重复执行20次，并取平均值作为最终结果；同时选取完整演练链路持续运行场景，对服务器内存、显存和硬盘占用情况进行监测，统计其平均值与峰值。</w:t>
      </w:r>
    </w:p>
    <w:p w14:paraId="4A53938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由表6-</w:t>
      </w:r>
      <w:r>
        <w:rPr>
          <w:rFonts w:hint="eastAsia"/>
          <w:lang w:val="en-US" w:eastAsia="zh-CN"/>
        </w:rPr>
        <w:t>6</w:t>
      </w:r>
      <w:r>
        <w:rPr>
          <w:rFonts w:hint="eastAsia"/>
        </w:rPr>
        <w:t>可知，系统在核心业务链路上的平均响应时间均满足前述性能需求。其中环境配置与场景切换控制在2 s以内，告警触发控制在3 s以内，攻击、防御和报告生成等复杂操作均控制在5 s以内，说明系统能够较好支撑攻防演练过程中的实时交互与结果反馈。</w:t>
      </w:r>
    </w:p>
    <w:p w14:paraId="13559B35">
      <w:pPr>
        <w:pStyle w:val="8"/>
        <w:bidi w:val="0"/>
      </w:pPr>
      <w:r>
        <w:rPr>
          <w:rFonts w:hint="eastAsia"/>
        </w:rPr>
        <w:t>表6-6 核心业务链路性能测试结果</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1568"/>
        <w:gridCol w:w="1568"/>
        <w:gridCol w:w="1568"/>
      </w:tblGrid>
      <w:tr w14:paraId="3FC187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bottom w:val="single" w:color="auto" w:sz="6" w:space="0"/>
            </w:tcBorders>
          </w:tcPr>
          <w:p w14:paraId="214C6B9C">
            <w:pPr>
              <w:pStyle w:val="84"/>
            </w:pPr>
            <w:r>
              <w:rPr>
                <w:rFonts w:hint="eastAsia"/>
              </w:rPr>
              <w:t>测试内容</w:t>
            </w:r>
          </w:p>
        </w:tc>
        <w:tc>
          <w:tcPr>
            <w:tcW w:w="1568" w:type="dxa"/>
            <w:tcBorders>
              <w:bottom w:val="single" w:color="auto" w:sz="6" w:space="0"/>
            </w:tcBorders>
          </w:tcPr>
          <w:p w14:paraId="191B432F">
            <w:pPr>
              <w:pStyle w:val="84"/>
            </w:pPr>
            <w:r>
              <w:rPr>
                <w:rFonts w:hint="eastAsia"/>
              </w:rPr>
              <w:t>性能要求</w:t>
            </w:r>
          </w:p>
        </w:tc>
        <w:tc>
          <w:tcPr>
            <w:tcW w:w="1568" w:type="dxa"/>
            <w:tcBorders>
              <w:bottom w:val="single" w:color="auto" w:sz="6" w:space="0"/>
            </w:tcBorders>
          </w:tcPr>
          <w:p w14:paraId="4DC195B5">
            <w:pPr>
              <w:pStyle w:val="84"/>
            </w:pPr>
            <w:r>
              <w:rPr>
                <w:rFonts w:hint="eastAsia"/>
              </w:rPr>
              <w:t>平均耗时</w:t>
            </w:r>
          </w:p>
        </w:tc>
        <w:tc>
          <w:tcPr>
            <w:tcW w:w="1568" w:type="dxa"/>
            <w:tcBorders>
              <w:bottom w:val="single" w:color="auto" w:sz="6" w:space="0"/>
            </w:tcBorders>
          </w:tcPr>
          <w:p w14:paraId="52393669">
            <w:pPr>
              <w:pStyle w:val="84"/>
            </w:pPr>
            <w:r>
              <w:rPr>
                <w:rFonts w:hint="eastAsia"/>
              </w:rPr>
              <w:t>测试结论</w:t>
            </w:r>
          </w:p>
        </w:tc>
      </w:tr>
      <w:tr w14:paraId="56F9E6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top w:val="single" w:color="auto" w:sz="6" w:space="0"/>
            </w:tcBorders>
          </w:tcPr>
          <w:p w14:paraId="2770D044">
            <w:pPr>
              <w:pStyle w:val="84"/>
            </w:pPr>
            <w:r>
              <w:rPr>
                <w:rFonts w:hint="eastAsia"/>
              </w:rPr>
              <w:t>环境配置与场景切换</w:t>
            </w:r>
          </w:p>
        </w:tc>
        <w:tc>
          <w:tcPr>
            <w:tcW w:w="1568" w:type="dxa"/>
            <w:tcBorders>
              <w:top w:val="single" w:color="auto" w:sz="6" w:space="0"/>
            </w:tcBorders>
          </w:tcPr>
          <w:p w14:paraId="6E3CD51D">
            <w:pPr>
              <w:pStyle w:val="84"/>
            </w:pPr>
            <w:r>
              <w:rPr>
                <w:rFonts w:hint="eastAsia" w:ascii="Arial" w:hAnsi="Arial" w:cs="Arial"/>
              </w:rPr>
              <w:t>≤</w:t>
            </w:r>
            <w:r>
              <w:t>2 s</w:t>
            </w:r>
          </w:p>
        </w:tc>
        <w:tc>
          <w:tcPr>
            <w:tcW w:w="1568" w:type="dxa"/>
            <w:tcBorders>
              <w:top w:val="single" w:color="auto" w:sz="6" w:space="0"/>
            </w:tcBorders>
          </w:tcPr>
          <w:p w14:paraId="17DBC51F">
            <w:pPr>
              <w:pStyle w:val="84"/>
            </w:pPr>
            <w:r>
              <w:rPr>
                <w:rFonts w:hint="eastAsia"/>
              </w:rPr>
              <w:t>1.36s</w:t>
            </w:r>
          </w:p>
        </w:tc>
        <w:tc>
          <w:tcPr>
            <w:tcW w:w="1568" w:type="dxa"/>
            <w:tcBorders>
              <w:top w:val="single" w:color="auto" w:sz="6" w:space="0"/>
            </w:tcBorders>
          </w:tcPr>
          <w:p w14:paraId="4CC41B12">
            <w:pPr>
              <w:pStyle w:val="84"/>
            </w:pPr>
            <w:r>
              <w:rPr>
                <w:rFonts w:hint="eastAsia"/>
              </w:rPr>
              <w:t>满足要求</w:t>
            </w:r>
          </w:p>
        </w:tc>
      </w:tr>
      <w:tr w14:paraId="595A3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534CB695">
            <w:pPr>
              <w:pStyle w:val="84"/>
            </w:pPr>
            <w:r>
              <w:rPr>
                <w:rFonts w:hint="eastAsia"/>
              </w:rPr>
              <w:t>攻击任务执行</w:t>
            </w:r>
          </w:p>
        </w:tc>
        <w:tc>
          <w:tcPr>
            <w:tcW w:w="1568" w:type="dxa"/>
          </w:tcPr>
          <w:p w14:paraId="75F02463">
            <w:pPr>
              <w:pStyle w:val="84"/>
            </w:pPr>
            <w:r>
              <w:rPr>
                <w:rFonts w:hint="eastAsia" w:ascii="Arial" w:hAnsi="Arial" w:cs="Arial"/>
              </w:rPr>
              <w:t>≤</w:t>
            </w:r>
            <w:r>
              <w:rPr>
                <w:rFonts w:hint="eastAsia"/>
              </w:rPr>
              <w:t>5</w:t>
            </w:r>
            <w:r>
              <w:t xml:space="preserve"> s</w:t>
            </w:r>
          </w:p>
        </w:tc>
        <w:tc>
          <w:tcPr>
            <w:tcW w:w="1568" w:type="dxa"/>
          </w:tcPr>
          <w:p w14:paraId="3C16D4B3">
            <w:pPr>
              <w:pStyle w:val="84"/>
            </w:pPr>
            <w:r>
              <w:rPr>
                <w:rFonts w:hint="eastAsia"/>
              </w:rPr>
              <w:t>4.23s</w:t>
            </w:r>
          </w:p>
        </w:tc>
        <w:tc>
          <w:tcPr>
            <w:tcW w:w="1568" w:type="dxa"/>
          </w:tcPr>
          <w:p w14:paraId="32EE91AC">
            <w:pPr>
              <w:pStyle w:val="84"/>
            </w:pPr>
            <w:r>
              <w:rPr>
                <w:rFonts w:hint="eastAsia"/>
              </w:rPr>
              <w:t>满足要求</w:t>
            </w:r>
          </w:p>
        </w:tc>
      </w:tr>
      <w:tr w14:paraId="0A49A7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7C1484D3">
            <w:pPr>
              <w:pStyle w:val="84"/>
            </w:pPr>
            <w:r>
              <w:rPr>
                <w:rFonts w:hint="eastAsia"/>
              </w:rPr>
              <w:t>防御任务执行</w:t>
            </w:r>
          </w:p>
        </w:tc>
        <w:tc>
          <w:tcPr>
            <w:tcW w:w="1568" w:type="dxa"/>
          </w:tcPr>
          <w:p w14:paraId="45CDED2E">
            <w:pPr>
              <w:pStyle w:val="84"/>
            </w:pPr>
            <w:r>
              <w:rPr>
                <w:rFonts w:hint="eastAsia" w:ascii="Arial" w:hAnsi="Arial" w:cs="Arial"/>
              </w:rPr>
              <w:t>≤</w:t>
            </w:r>
            <w:r>
              <w:rPr>
                <w:rFonts w:hint="eastAsia"/>
              </w:rPr>
              <w:t>5</w:t>
            </w:r>
            <w:r>
              <w:t xml:space="preserve"> s</w:t>
            </w:r>
          </w:p>
        </w:tc>
        <w:tc>
          <w:tcPr>
            <w:tcW w:w="1568" w:type="dxa"/>
          </w:tcPr>
          <w:p w14:paraId="4B8B379B">
            <w:pPr>
              <w:pStyle w:val="84"/>
            </w:pPr>
            <w:r>
              <w:rPr>
                <w:rFonts w:hint="eastAsia"/>
              </w:rPr>
              <w:t>2.81s</w:t>
            </w:r>
          </w:p>
        </w:tc>
        <w:tc>
          <w:tcPr>
            <w:tcW w:w="1568" w:type="dxa"/>
          </w:tcPr>
          <w:p w14:paraId="733D195C">
            <w:pPr>
              <w:pStyle w:val="84"/>
            </w:pPr>
            <w:r>
              <w:rPr>
                <w:rFonts w:hint="eastAsia"/>
              </w:rPr>
              <w:t>满足要求</w:t>
            </w:r>
          </w:p>
        </w:tc>
      </w:tr>
      <w:tr w14:paraId="484A0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157D4FBF">
            <w:pPr>
              <w:pStyle w:val="84"/>
            </w:pPr>
            <w:r>
              <w:rPr>
                <w:rFonts w:hint="eastAsia"/>
              </w:rPr>
              <w:t>告警触发</w:t>
            </w:r>
          </w:p>
        </w:tc>
        <w:tc>
          <w:tcPr>
            <w:tcW w:w="1568" w:type="dxa"/>
          </w:tcPr>
          <w:p w14:paraId="4310CB7A">
            <w:pPr>
              <w:pStyle w:val="84"/>
            </w:pPr>
            <w:r>
              <w:rPr>
                <w:rFonts w:hint="eastAsia" w:ascii="Arial" w:hAnsi="Arial" w:cs="Arial"/>
              </w:rPr>
              <w:t>≤</w:t>
            </w:r>
            <w:r>
              <w:rPr>
                <w:rFonts w:hint="eastAsia"/>
              </w:rPr>
              <w:t>3</w:t>
            </w:r>
            <w:r>
              <w:t xml:space="preserve"> s</w:t>
            </w:r>
          </w:p>
        </w:tc>
        <w:tc>
          <w:tcPr>
            <w:tcW w:w="1568" w:type="dxa"/>
          </w:tcPr>
          <w:p w14:paraId="1874F8FC">
            <w:pPr>
              <w:pStyle w:val="84"/>
            </w:pPr>
            <w:r>
              <w:rPr>
                <w:rFonts w:hint="eastAsia"/>
              </w:rPr>
              <w:t>2.17s</w:t>
            </w:r>
          </w:p>
        </w:tc>
        <w:tc>
          <w:tcPr>
            <w:tcW w:w="1568" w:type="dxa"/>
          </w:tcPr>
          <w:p w14:paraId="16EF654B">
            <w:pPr>
              <w:pStyle w:val="84"/>
            </w:pPr>
            <w:r>
              <w:rPr>
                <w:rFonts w:hint="eastAsia"/>
              </w:rPr>
              <w:t>满足要求</w:t>
            </w:r>
          </w:p>
        </w:tc>
      </w:tr>
      <w:tr w14:paraId="03564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5A667331">
            <w:pPr>
              <w:pStyle w:val="84"/>
            </w:pPr>
            <w:r>
              <w:rPr>
                <w:rFonts w:hint="eastAsia"/>
              </w:rPr>
              <w:t>评估报告生成</w:t>
            </w:r>
          </w:p>
        </w:tc>
        <w:tc>
          <w:tcPr>
            <w:tcW w:w="1568" w:type="dxa"/>
          </w:tcPr>
          <w:p w14:paraId="60616D30">
            <w:pPr>
              <w:pStyle w:val="84"/>
            </w:pPr>
            <w:r>
              <w:rPr>
                <w:rFonts w:hint="eastAsia" w:ascii="Arial" w:hAnsi="Arial" w:cs="Arial"/>
              </w:rPr>
              <w:t>≤</w:t>
            </w:r>
            <w:r>
              <w:rPr>
                <w:rFonts w:hint="eastAsia"/>
              </w:rPr>
              <w:t>5</w:t>
            </w:r>
            <w:r>
              <w:t xml:space="preserve"> s</w:t>
            </w:r>
          </w:p>
        </w:tc>
        <w:tc>
          <w:tcPr>
            <w:tcW w:w="1568" w:type="dxa"/>
          </w:tcPr>
          <w:p w14:paraId="5C5D483B">
            <w:pPr>
              <w:pStyle w:val="84"/>
            </w:pPr>
            <w:r>
              <w:rPr>
                <w:rFonts w:hint="eastAsia"/>
              </w:rPr>
              <w:t>4.58s</w:t>
            </w:r>
          </w:p>
        </w:tc>
        <w:tc>
          <w:tcPr>
            <w:tcW w:w="1568" w:type="dxa"/>
          </w:tcPr>
          <w:p w14:paraId="0D9D60DA">
            <w:pPr>
              <w:pStyle w:val="84"/>
            </w:pPr>
            <w:r>
              <w:rPr>
                <w:rFonts w:hint="eastAsia"/>
              </w:rPr>
              <w:t>满足要求</w:t>
            </w:r>
          </w:p>
        </w:tc>
      </w:tr>
    </w:tbl>
    <w:p w14:paraId="543352E3">
      <w:pPr>
        <w:ind w:firstLine="480"/>
      </w:pPr>
      <w:r>
        <w:rPr>
          <w:rFonts w:hint="eastAsia"/>
        </w:rPr>
        <w:t>由表6-</w:t>
      </w:r>
      <w:r>
        <w:rPr>
          <w:rFonts w:hint="eastAsia"/>
          <w:lang w:val="en-US" w:eastAsia="zh-CN"/>
        </w:rPr>
        <w:t>7</w:t>
      </w:r>
      <w:r>
        <w:rPr>
          <w:rFonts w:hint="eastAsia"/>
        </w:rPr>
        <w:t>可知，在完整演练链路持续运行条件下，服务器内存、显存和硬盘占用均保持在较稳定范围内，未出现资源耗尽或明显波动现象。说明当前部署环境能够满足系统各功能模块协同运行需求，具备一定的连续演练能力和工程部署可行性。</w:t>
      </w:r>
    </w:p>
    <w:p w14:paraId="653E8D2E">
      <w:pPr>
        <w:pStyle w:val="8"/>
        <w:bidi w:val="0"/>
        <w:rPr>
          <w:rFonts w:hint="eastAsia"/>
        </w:rPr>
      </w:pPr>
      <w:r>
        <w:rPr>
          <w:rFonts w:hint="eastAsia"/>
        </w:rPr>
        <w:t>表6-7 系统资源占用情况</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1568"/>
        <w:gridCol w:w="1568"/>
        <w:gridCol w:w="1568"/>
      </w:tblGrid>
      <w:tr w14:paraId="724615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bottom w:val="single" w:color="auto" w:sz="6" w:space="0"/>
            </w:tcBorders>
          </w:tcPr>
          <w:p w14:paraId="34F4855E">
            <w:pPr>
              <w:pStyle w:val="84"/>
            </w:pPr>
            <w:r>
              <w:rPr>
                <w:rFonts w:hint="eastAsia"/>
              </w:rPr>
              <w:t>测试内容</w:t>
            </w:r>
          </w:p>
        </w:tc>
        <w:tc>
          <w:tcPr>
            <w:tcW w:w="1568" w:type="dxa"/>
            <w:tcBorders>
              <w:bottom w:val="single" w:color="auto" w:sz="6" w:space="0"/>
            </w:tcBorders>
          </w:tcPr>
          <w:p w14:paraId="3A162DD6">
            <w:pPr>
              <w:pStyle w:val="84"/>
            </w:pPr>
            <w:r>
              <w:rPr>
                <w:rFonts w:hint="eastAsia"/>
              </w:rPr>
              <w:t>平均值</w:t>
            </w:r>
          </w:p>
        </w:tc>
        <w:tc>
          <w:tcPr>
            <w:tcW w:w="1568" w:type="dxa"/>
            <w:tcBorders>
              <w:bottom w:val="single" w:color="auto" w:sz="6" w:space="0"/>
            </w:tcBorders>
          </w:tcPr>
          <w:p w14:paraId="35F02329">
            <w:pPr>
              <w:pStyle w:val="84"/>
            </w:pPr>
            <w:r>
              <w:rPr>
                <w:rFonts w:hint="eastAsia"/>
              </w:rPr>
              <w:t>峰值</w:t>
            </w:r>
          </w:p>
        </w:tc>
        <w:tc>
          <w:tcPr>
            <w:tcW w:w="1568" w:type="dxa"/>
            <w:tcBorders>
              <w:bottom w:val="single" w:color="auto" w:sz="6" w:space="0"/>
            </w:tcBorders>
          </w:tcPr>
          <w:p w14:paraId="1882867D">
            <w:pPr>
              <w:pStyle w:val="84"/>
            </w:pPr>
            <w:r>
              <w:rPr>
                <w:rFonts w:hint="eastAsia"/>
              </w:rPr>
              <w:t>测试结论</w:t>
            </w:r>
          </w:p>
        </w:tc>
      </w:tr>
      <w:tr w14:paraId="6111E9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top w:val="single" w:color="auto" w:sz="6" w:space="0"/>
            </w:tcBorders>
          </w:tcPr>
          <w:p w14:paraId="565114CC">
            <w:pPr>
              <w:pStyle w:val="84"/>
            </w:pPr>
            <w:r>
              <w:rPr>
                <w:rFonts w:hint="eastAsia"/>
              </w:rPr>
              <w:t>服务器内存占用</w:t>
            </w:r>
          </w:p>
        </w:tc>
        <w:tc>
          <w:tcPr>
            <w:tcW w:w="1568" w:type="dxa"/>
            <w:tcBorders>
              <w:top w:val="single" w:color="auto" w:sz="6" w:space="0"/>
            </w:tcBorders>
          </w:tcPr>
          <w:p w14:paraId="50CF2B80">
            <w:pPr>
              <w:pStyle w:val="84"/>
            </w:pPr>
            <w:r>
              <w:rPr>
                <w:rFonts w:hint="eastAsia"/>
              </w:rPr>
              <w:t>6.24GB</w:t>
            </w:r>
          </w:p>
        </w:tc>
        <w:tc>
          <w:tcPr>
            <w:tcW w:w="1568" w:type="dxa"/>
            <w:tcBorders>
              <w:top w:val="single" w:color="auto" w:sz="6" w:space="0"/>
            </w:tcBorders>
          </w:tcPr>
          <w:p w14:paraId="4FCEB6EF">
            <w:pPr>
              <w:pStyle w:val="84"/>
            </w:pPr>
            <w:r>
              <w:rPr>
                <w:rFonts w:hint="eastAsia"/>
              </w:rPr>
              <w:t>8.41GB</w:t>
            </w:r>
          </w:p>
        </w:tc>
        <w:tc>
          <w:tcPr>
            <w:tcW w:w="1568" w:type="dxa"/>
            <w:tcBorders>
              <w:top w:val="single" w:color="auto" w:sz="6" w:space="0"/>
            </w:tcBorders>
          </w:tcPr>
          <w:p w14:paraId="6875D07D">
            <w:pPr>
              <w:pStyle w:val="84"/>
            </w:pPr>
            <w:r>
              <w:rPr>
                <w:rFonts w:hint="eastAsia"/>
              </w:rPr>
              <w:t>满足要求</w:t>
            </w:r>
          </w:p>
        </w:tc>
      </w:tr>
      <w:tr w14:paraId="4C0FE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78646A36">
            <w:pPr>
              <w:pStyle w:val="84"/>
            </w:pPr>
            <w:r>
              <w:rPr>
                <w:rFonts w:hint="eastAsia"/>
              </w:rPr>
              <w:t>服务器显存占用</w:t>
            </w:r>
          </w:p>
        </w:tc>
        <w:tc>
          <w:tcPr>
            <w:tcW w:w="1568" w:type="dxa"/>
          </w:tcPr>
          <w:p w14:paraId="35573EAD">
            <w:pPr>
              <w:pStyle w:val="84"/>
            </w:pPr>
            <w:r>
              <w:rPr>
                <w:rFonts w:hint="eastAsia"/>
              </w:rPr>
              <w:t>7.53GB</w:t>
            </w:r>
          </w:p>
        </w:tc>
        <w:tc>
          <w:tcPr>
            <w:tcW w:w="1568" w:type="dxa"/>
          </w:tcPr>
          <w:p w14:paraId="35474149">
            <w:pPr>
              <w:pStyle w:val="84"/>
            </w:pPr>
            <w:r>
              <w:rPr>
                <w:rFonts w:hint="eastAsia"/>
              </w:rPr>
              <w:t>10.87GB</w:t>
            </w:r>
          </w:p>
        </w:tc>
        <w:tc>
          <w:tcPr>
            <w:tcW w:w="1568" w:type="dxa"/>
          </w:tcPr>
          <w:p w14:paraId="7039DAC0">
            <w:pPr>
              <w:pStyle w:val="84"/>
            </w:pPr>
            <w:r>
              <w:rPr>
                <w:rFonts w:hint="eastAsia"/>
              </w:rPr>
              <w:t>满足要求</w:t>
            </w:r>
          </w:p>
        </w:tc>
      </w:tr>
      <w:tr w14:paraId="502CDE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5A12DECA">
            <w:pPr>
              <w:pStyle w:val="84"/>
            </w:pPr>
            <w:r>
              <w:rPr>
                <w:rFonts w:hint="eastAsia"/>
              </w:rPr>
              <w:t>硬盘</w:t>
            </w:r>
          </w:p>
        </w:tc>
        <w:tc>
          <w:tcPr>
            <w:tcW w:w="1568" w:type="dxa"/>
          </w:tcPr>
          <w:p w14:paraId="5E6B13DA">
            <w:pPr>
              <w:pStyle w:val="84"/>
            </w:pPr>
            <w:r>
              <w:rPr>
                <w:rFonts w:hint="eastAsia"/>
              </w:rPr>
              <w:t>42.8%</w:t>
            </w:r>
          </w:p>
        </w:tc>
        <w:tc>
          <w:tcPr>
            <w:tcW w:w="1568" w:type="dxa"/>
          </w:tcPr>
          <w:p w14:paraId="5339A8EC">
            <w:pPr>
              <w:pStyle w:val="84"/>
            </w:pPr>
            <w:r>
              <w:rPr>
                <w:rFonts w:hint="eastAsia"/>
              </w:rPr>
              <w:t>45.1%</w:t>
            </w:r>
          </w:p>
        </w:tc>
        <w:tc>
          <w:tcPr>
            <w:tcW w:w="1568" w:type="dxa"/>
          </w:tcPr>
          <w:p w14:paraId="3049E659">
            <w:pPr>
              <w:pStyle w:val="84"/>
            </w:pPr>
            <w:r>
              <w:rPr>
                <w:rFonts w:hint="eastAsia"/>
              </w:rPr>
              <w:t>满足要求</w:t>
            </w:r>
          </w:p>
        </w:tc>
      </w:tr>
    </w:tbl>
    <w:p w14:paraId="2CC5C254">
      <w:pPr>
        <w:pStyle w:val="3"/>
        <w:spacing w:before="163" w:after="163"/>
      </w:pPr>
      <w:bookmarkStart w:id="143" w:name="_Toc10531"/>
      <w:r>
        <w:rPr>
          <w:rFonts w:hint="eastAsia"/>
        </w:rPr>
        <w:t xml:space="preserve">6.5 </w:t>
      </w:r>
      <w:r>
        <w:rPr>
          <w:rFonts w:hint="eastAsia"/>
          <w:lang w:val="en-US" w:eastAsia="zh-CN"/>
        </w:rPr>
        <w:t xml:space="preserve"> </w:t>
      </w:r>
      <w:r>
        <w:rPr>
          <w:rFonts w:hint="eastAsia"/>
        </w:rPr>
        <w:t>本章小结</w:t>
      </w:r>
      <w:bookmarkEnd w:id="143"/>
    </w:p>
    <w:p w14:paraId="1E4B89E3">
      <w:pPr>
        <w:ind w:firstLine="480"/>
      </w:pPr>
      <w:r>
        <w:t>本章</w:t>
      </w:r>
      <w:r>
        <w:rPr>
          <w:rFonts w:hint="eastAsia"/>
        </w:rPr>
        <w:t>设计并实现了</w:t>
      </w:r>
      <w:r>
        <w:t>电力人工智能应用安全靶场系统。</w:t>
      </w:r>
      <w:r>
        <w:rPr>
          <w:rFonts w:hint="eastAsia"/>
        </w:rPr>
        <w:t>本章首先</w:t>
      </w:r>
      <w:r>
        <w:t>在前述攻防方法研究成果的基础上，完成了系统的需求分析、总体架构设计以及功能模块划分。其次，结合前后端分离的实现方案，</w:t>
      </w:r>
      <w:r>
        <w:rPr>
          <w:rFonts w:hint="eastAsia"/>
        </w:rPr>
        <w:t>完成了对各模块功能的详细设计与实现</w:t>
      </w:r>
      <w:r>
        <w:t>。最后，通过系统部署、功能测试与性能测试对平台进行了验证。测试结果表明，该系统能够较好地满足预期设计要求，具备较好的可用性、稳定性和响应效率，可为电力人工智能应用的安全攻防演练与效果评估提供支撑。</w:t>
      </w:r>
    </w:p>
    <w:p w14:paraId="194226D0">
      <w:pPr>
        <w:ind w:firstLine="480"/>
      </w:pPr>
    </w:p>
    <w:p w14:paraId="2D5CC8CC">
      <w:pPr>
        <w:ind w:firstLine="480"/>
      </w:pPr>
    </w:p>
    <w:p w14:paraId="1BC8AE85">
      <w:pPr>
        <w:ind w:firstLine="480"/>
        <w:sectPr>
          <w:headerReference r:id="rId30" w:type="default"/>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p>
    <w:p w14:paraId="2C24D5AB">
      <w:pPr>
        <w:pStyle w:val="2"/>
        <w:spacing w:after="652"/>
        <w:rPr>
          <w:rFonts w:hint="default" w:eastAsia="黑体"/>
          <w:lang w:val="en-US" w:eastAsia="zh-CN"/>
        </w:rPr>
      </w:pPr>
      <w:bookmarkStart w:id="144" w:name="_Toc5035"/>
      <w:r>
        <w:rPr>
          <w:rFonts w:hint="eastAsia"/>
        </w:rPr>
        <w:t>第</w:t>
      </w:r>
      <w:r>
        <w:rPr>
          <w:rFonts w:hint="eastAsia"/>
          <w:lang w:val="en-US" w:eastAsia="zh-CN"/>
        </w:rPr>
        <w:t>七</w:t>
      </w:r>
      <w:r>
        <w:rPr>
          <w:rFonts w:hint="eastAsia"/>
        </w:rPr>
        <w:t xml:space="preserve">章  </w:t>
      </w:r>
      <w:r>
        <w:rPr>
          <w:rFonts w:hint="eastAsia"/>
          <w:lang w:val="en-US" w:eastAsia="zh-CN"/>
        </w:rPr>
        <w:t>总结与展望</w:t>
      </w:r>
      <w:bookmarkEnd w:id="144"/>
    </w:p>
    <w:p w14:paraId="4387DFA0">
      <w:pPr>
        <w:ind w:firstLine="480"/>
      </w:pPr>
      <w:r>
        <w:rPr>
          <w:rFonts w:hint="eastAsia"/>
        </w:rPr>
        <w:t>本章围绕本文研究所涉及的关键理论</w:t>
      </w:r>
      <w:r>
        <w:rPr>
          <w:rFonts w:hint="eastAsia"/>
          <w:highlight w:val="none"/>
        </w:rPr>
        <w:t>与技术基础展开，首先介绍数字孪生理论及其在AI训推场景中的应用，其次阐述大语言模型与检索增强生成的基本原理，然后分析多目标遗传优化方法，最后介</w:t>
      </w:r>
      <w:r>
        <w:rPr>
          <w:rFonts w:hint="eastAsia"/>
        </w:rPr>
        <w:t>绍RAG知识库投毒攻防相关技术。</w:t>
      </w:r>
    </w:p>
    <w:p w14:paraId="1654D06E">
      <w:pPr>
        <w:pStyle w:val="3"/>
        <w:spacing w:before="163" w:after="163"/>
        <w:rPr>
          <w:rFonts w:hint="eastAsia"/>
          <w:lang w:val="en-US" w:eastAsia="zh-CN"/>
        </w:rPr>
      </w:pPr>
      <w:bookmarkStart w:id="145" w:name="_Toc5013"/>
      <w:r>
        <w:rPr>
          <w:rFonts w:hint="eastAsia"/>
          <w:lang w:val="en-US" w:eastAsia="zh-CN"/>
        </w:rPr>
        <w:t>7</w:t>
      </w:r>
      <w:r>
        <w:t>.</w:t>
      </w:r>
      <w:r>
        <w:rPr>
          <w:rFonts w:hint="eastAsia"/>
        </w:rPr>
        <w:t xml:space="preserve">1  </w:t>
      </w:r>
      <w:r>
        <w:rPr>
          <w:rFonts w:hint="eastAsia"/>
          <w:lang w:val="en-US" w:eastAsia="zh-CN"/>
        </w:rPr>
        <w:t>全文总结</w:t>
      </w:r>
      <w:bookmarkEnd w:id="145"/>
    </w:p>
    <w:p w14:paraId="57757857">
      <w:pPr>
        <w:rPr>
          <w:rFonts w:hint="eastAsia"/>
          <w:lang w:val="en-US" w:eastAsia="zh-CN"/>
        </w:rPr>
      </w:pPr>
      <w:r>
        <w:rPr>
          <w:rFonts w:hint="eastAsia"/>
          <w:lang w:val="en-US" w:eastAsia="zh-CN"/>
        </w:rPr>
        <w:t>本文的主要工作总结如下：</w:t>
      </w:r>
    </w:p>
    <w:p w14:paraId="1B88498C">
      <w:pPr>
        <w:rPr>
          <w:rFonts w:hint="default"/>
          <w:lang w:val="en-US" w:eastAsia="zh-CN"/>
        </w:rPr>
      </w:pPr>
      <w:r>
        <w:rPr>
          <w:rFonts w:hint="default"/>
          <w:lang w:val="en-US" w:eastAsia="zh-CN"/>
        </w:rPr>
        <w:t>（1）构建了基于数字孪生的 AI 模型训推一体可视化平台，为后续攻防研究提供了统一实验载体。本文面向电力人工智能应用场景，完成了平台总体架构设计、物理—数字虚实映射以及实时同步机制设计，并进一步实现了数据资产管理、数据集与标注管理、知识库构建与管理、AI 模型训推可视化监控以及电力调度 RAG 应用系统。通过上述工作，本文构建了一个可对算力资源、数据资产、模型资产和业务流程进行统一映射与可视化管理的平台环境，并明确了电力调度 RAG 链路中的知识库投毒安全隐患，为后续攻击机理分析与防御方法验证奠定了基础。</w:t>
      </w:r>
    </w:p>
    <w:p w14:paraId="234A058F">
      <w:pPr>
        <w:rPr>
          <w:rFonts w:hint="default"/>
          <w:lang w:val="en-US" w:eastAsia="zh-CN"/>
        </w:rPr>
      </w:pPr>
      <w:r>
        <w:rPr>
          <w:rFonts w:hint="default"/>
          <w:lang w:val="en-US" w:eastAsia="zh-CN"/>
        </w:rPr>
        <w:t>（2）提出了基于双目标遗传优化的 RAG 系统知识库毒化攻击方法。针对现有部分投毒方法依赖白盒信息、固定触发词或较强先验假设的问题，本文在黑盒威胁模型下，将毒化文档生成建模为兼顾“检索命中能力”与“语义隐蔽性”的双目标优化问题，并设计了包含种群初始化、交叉算子、动态重要性引导变异以及种群选择与更新在内的完整攻击算法。实验结果表明，所提方法在多个数据集和不同 RAG 组件配置下均具有较好的攻击效果与迁移能力，能够较为真实地刻画开放知识接入条件下 RAG 系统面临的投毒威胁。</w:t>
      </w:r>
    </w:p>
    <w:p w14:paraId="266D3B71">
      <w:pPr>
        <w:rPr>
          <w:rFonts w:hint="default"/>
          <w:lang w:val="en-US" w:eastAsia="zh-CN"/>
        </w:rPr>
      </w:pPr>
      <w:r>
        <w:rPr>
          <w:rFonts w:hint="default"/>
          <w:lang w:val="en-US" w:eastAsia="zh-CN"/>
        </w:rPr>
        <w:t>（3）提出了面向电力场景的组合式投毒防御框架。针对知识库投毒攻击中污染证据易在检索阶段进入增强上下文的问题，本文将防护能力前移至检索侧，设计了由检索扩展、嵌入空间异常检测和句子级困惑度异常检测构成的检索护栏，并进一步结合输入护栏与输出护栏，构建了覆盖查询输入、证据检索与结果生成全过程的全链路护栏体系。实验结果表明，所提方法在不同攻击场景下能够有效提升检测准确率与输出准确率，同时兼顾一定的正常问答能力和工程部署可行性。</w:t>
      </w:r>
    </w:p>
    <w:p w14:paraId="7C50C946">
      <w:pPr>
        <w:rPr>
          <w:rFonts w:hint="default"/>
          <w:lang w:val="en-US" w:eastAsia="zh-CN"/>
        </w:rPr>
      </w:pPr>
      <w:r>
        <w:rPr>
          <w:rFonts w:hint="default"/>
          <w:lang w:val="en-US" w:eastAsia="zh-CN"/>
        </w:rPr>
        <w:t>（4）设计并实现了电力人工智能应用安全靶场系统。为将前述攻防研究成果进行统一集成与工程化验证，本文在数字孪生平台基础上，面向电力人工智能应用安全攻防演练需求，完成了系统的需求分析、概要设计、详细设计、部署与测试，形成了包含靶标环境管理、红方攻击、蓝方防御、态势感知与预案生成、演练导调与评估等功能在内的安全靶场系统。测试结果表明，该系统能够较好地支撑知识库投毒攻击模拟、防御策略验证以及演练过程评估，具备较好的可用性、稳定性与展示验证能力。</w:t>
      </w:r>
    </w:p>
    <w:p w14:paraId="1ECB75B7">
      <w:pPr>
        <w:pStyle w:val="3"/>
        <w:spacing w:before="163" w:after="163"/>
        <w:rPr>
          <w:rFonts w:hint="default"/>
          <w:lang w:val="en-US" w:eastAsia="zh-CN"/>
        </w:rPr>
      </w:pPr>
      <w:bookmarkStart w:id="146" w:name="_Toc3140"/>
      <w:r>
        <w:rPr>
          <w:rFonts w:hint="eastAsia"/>
          <w:lang w:val="en-US" w:eastAsia="zh-CN"/>
        </w:rPr>
        <w:t>7</w:t>
      </w:r>
      <w:r>
        <w:t>.</w:t>
      </w:r>
      <w:r>
        <w:rPr>
          <w:rFonts w:hint="eastAsia"/>
          <w:lang w:val="en-US" w:eastAsia="zh-CN"/>
        </w:rPr>
        <w:t>2</w:t>
      </w:r>
      <w:r>
        <w:rPr>
          <w:rFonts w:hint="eastAsia"/>
        </w:rPr>
        <w:t xml:space="preserve">  </w:t>
      </w:r>
      <w:r>
        <w:rPr>
          <w:rFonts w:hint="eastAsia"/>
          <w:lang w:val="en-US" w:eastAsia="zh-CN"/>
        </w:rPr>
        <w:t>后续工作展望</w:t>
      </w:r>
      <w:bookmarkEnd w:id="146"/>
    </w:p>
    <w:p w14:paraId="4B198378">
      <w:pPr>
        <w:ind w:firstLine="480"/>
        <w:rPr>
          <w:rFonts w:hint="eastAsia"/>
        </w:rPr>
      </w:pPr>
      <w:r>
        <w:rPr>
          <w:rFonts w:hint="eastAsia"/>
        </w:rPr>
        <w:t>尽管本文围绕电力场景下RAG系统知识库投毒问题开展了较为系统的研究，并取得了一定成果，但仍然存在一些值得继续深入研究的方向：</w:t>
      </w:r>
    </w:p>
    <w:p w14:paraId="17F49C94">
      <w:pPr>
        <w:numPr>
          <w:ilvl w:val="0"/>
          <w:numId w:val="5"/>
        </w:numPr>
        <w:ind w:firstLine="480"/>
        <w:rPr>
          <w:rFonts w:hint="eastAsia"/>
        </w:rPr>
      </w:pPr>
      <w:r>
        <w:rPr>
          <w:rFonts w:hint="eastAsia"/>
        </w:rPr>
        <w:t>面向更复杂攻击面的投毒攻防研究。本文</w:t>
      </w:r>
      <w:r>
        <w:rPr>
          <w:rFonts w:hint="eastAsia"/>
          <w:lang w:val="en-US" w:eastAsia="zh-CN"/>
        </w:rPr>
        <w:t>主要在电力业务场景中探讨</w:t>
      </w:r>
      <w:r>
        <w:rPr>
          <w:rFonts w:hint="eastAsia"/>
        </w:rPr>
        <w:t>文本知识库场景下的RAG投毒问题</w:t>
      </w:r>
      <w:r>
        <w:rPr>
          <w:rFonts w:hint="eastAsia"/>
          <w:lang w:eastAsia="zh-CN"/>
        </w:rPr>
        <w:t>，</w:t>
      </w:r>
      <w:r>
        <w:rPr>
          <w:rFonts w:hint="eastAsia"/>
        </w:rPr>
        <w:t>随着大模型应用形态不断演进，未来RAG系统可能进一步与多模态知识、工具调用、智能体规划和外部工作流深度结合，相应的攻击面也将更加复杂。后续可围绕多文档协同投毒、多模态知识污染以及面向</w:t>
      </w:r>
      <w:r>
        <w:rPr>
          <w:rFonts w:hint="eastAsia"/>
          <w:lang w:val="en-US" w:eastAsia="zh-CN"/>
        </w:rPr>
        <w:t>智能体</w:t>
      </w:r>
      <w:r>
        <w:rPr>
          <w:rFonts w:hint="eastAsia"/>
        </w:rPr>
        <w:t>场景的间接投毒等问题开展进一步研究，并据此探索更具通用性和鲁棒性的安全防护机制。</w:t>
      </w:r>
    </w:p>
    <w:p w14:paraId="16AF373D">
      <w:pPr>
        <w:numPr>
          <w:ilvl w:val="0"/>
          <w:numId w:val="5"/>
        </w:numPr>
        <w:ind w:firstLine="480"/>
        <w:rPr>
          <w:rFonts w:hint="eastAsia"/>
        </w:rPr>
      </w:pPr>
      <w:r>
        <w:rPr>
          <w:rFonts w:ascii="宋体" w:hAnsi="宋体" w:eastAsia="宋体" w:cs="宋体"/>
          <w:sz w:val="24"/>
          <w:szCs w:val="24"/>
        </w:rPr>
        <w:t>面向在线部署的轻量化与自适应防御。本文提出的</w:t>
      </w:r>
      <w:r>
        <w:rPr>
          <w:rFonts w:hint="eastAsia" w:ascii="宋体" w:hAnsi="宋体" w:cs="宋体"/>
          <w:sz w:val="24"/>
          <w:szCs w:val="24"/>
          <w:lang w:val="en-US" w:eastAsia="zh-CN"/>
        </w:rPr>
        <w:t>组合式护栏</w:t>
      </w:r>
      <w:r>
        <w:rPr>
          <w:rFonts w:ascii="宋体" w:hAnsi="宋体" w:eastAsia="宋体" w:cs="宋体"/>
          <w:sz w:val="24"/>
          <w:szCs w:val="24"/>
        </w:rPr>
        <w:t>在准确性与工程可用性之间取得了较好平衡，但在实际在线场景中，系统仍需进一步兼顾响应时延、资源开销与阈值适配能力。后续可在轻量化异常检测、动态阈值调节、基于反馈的在线学习以及多策略协同调度等方面继续优化，使防御机制能够根据知识库状态、查询类型和风险等级进行自适应调整，从而进一步提升其实时性与部署灵活性。</w:t>
      </w:r>
    </w:p>
    <w:p w14:paraId="5A27B648">
      <w:pPr>
        <w:numPr>
          <w:ilvl w:val="0"/>
          <w:numId w:val="5"/>
        </w:numPr>
        <w:ind w:firstLine="480"/>
        <w:rPr>
          <w:rFonts w:hint="eastAsia"/>
        </w:rPr>
      </w:pPr>
      <w:r>
        <w:rPr>
          <w:rFonts w:ascii="宋体" w:hAnsi="宋体" w:eastAsia="宋体" w:cs="宋体"/>
          <w:sz w:val="24"/>
          <w:szCs w:val="24"/>
        </w:rPr>
        <w:t>安全靶场与真实业务环境的深度融合。本文实现的安全靶场系统已经能够支撑知识库投毒攻防演练与效果验证，但当前仍偏重于研究验证和原型展示。后续可进一步增强靶场系统与真实业务系统之间的联动能力，完善演练场景编排、指标评估体系、自动化复盘分析与闭环处置机制，并探索与企业安全运营平台、模型服务平台和知识治理平台的对接方式，从而提升靶场系统在实际业务中的应用价值。</w:t>
      </w:r>
    </w:p>
    <w:p w14:paraId="63977B7E">
      <w:pPr>
        <w:snapToGrid w:val="0"/>
        <w:spacing w:after="652" w:afterLines="200"/>
        <w:ind w:firstLine="0" w:firstLineChars="0"/>
        <w:outlineLvl w:val="0"/>
        <w:rPr>
          <w:rFonts w:eastAsia="黑体"/>
          <w:snapToGrid w:val="0"/>
          <w:color w:val="000000"/>
          <w:sz w:val="32"/>
          <w:szCs w:val="32"/>
          <w:shd w:val="clear" w:color="auto" w:fill="FFFFFF"/>
        </w:rPr>
        <w:sectPr>
          <w:headerReference r:id="rId31" w:type="default"/>
          <w:headerReference r:id="rId32" w:type="even"/>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bookmarkStart w:id="147" w:name="_Toc13600"/>
      <w:bookmarkStart w:id="148" w:name="_Toc9629"/>
      <w:bookmarkStart w:id="149" w:name="_Toc11652"/>
      <w:bookmarkStart w:id="150" w:name="_Toc2218"/>
      <w:bookmarkStart w:id="151" w:name="_Toc25420"/>
      <w:bookmarkStart w:id="152" w:name="_Toc26992"/>
    </w:p>
    <w:p w14:paraId="41A34379">
      <w:pPr>
        <w:pStyle w:val="89"/>
        <w:bidi w:val="0"/>
      </w:pPr>
      <w:bookmarkStart w:id="153" w:name="_Toc21538"/>
      <w:r>
        <w:rPr>
          <w:rFonts w:hint="eastAsia"/>
        </w:rPr>
        <w:t>参考文献</w:t>
      </w:r>
      <w:bookmarkEnd w:id="147"/>
      <w:bookmarkEnd w:id="153"/>
    </w:p>
    <w:p w14:paraId="4D7DC6BF">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Raza M, Jahangir Z, Riaz M B, et al. Industrial applications of large language models[J]. Scientific Reports, 2025, 15(1): 13755.</w:t>
      </w:r>
    </w:p>
    <w:p w14:paraId="6D3E74EF">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rPr>
          <w:rFonts w:hint="eastAsia"/>
        </w:rPr>
        <w:t>李湘,韩丽,李瑞琪.人工智能在智能制造典型场景的应用研究[J].智能制造,2024,(06):22-26.</w:t>
      </w:r>
    </w:p>
    <w:p w14:paraId="1018F614">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Brehme L, Dornauer B, Ströhle T, et al. Retrieval-Augmented Generation in Industry: An Interview Study on Use Cases, Requirements, Challenges, and Evaluation[J]. arXiv preprint arXiv:2508.14066, 2025.</w:t>
      </w:r>
    </w:p>
    <w:p w14:paraId="28A51D7B">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Chen L C, Pardeshi M S, Liao Y X, et al. Application of retrieval-augmented generation for interactive industrial knowledge management via a large language model[J]. Computer Standards &amp; Interfaces, 2025, 94: 103995.</w:t>
      </w:r>
    </w:p>
    <w:p w14:paraId="7BC241C7">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rPr>
          <w:rFonts w:hint="eastAsia"/>
        </w:rPr>
        <w:t>Xue J, Zheng M, Hu Y, et al. Badrag: Identifying vulnerabilities in retrieval augmented generation of large language models[J]. arXiv preprint arXiv:2406.00083, 2024</w:t>
      </w:r>
      <w:r>
        <w:t>.</w:t>
      </w:r>
    </w:p>
    <w:p w14:paraId="6662708B">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Greshake K, Abdelnabi S, Mishra S, et al. Not what you've signed up for: Compromising real-world llm-integrated applications with indirect prompt injection[C]//Proceedings of the 16th ACM workshop on artificial intelligence and security. 2023: 79-90.</w:t>
      </w:r>
    </w:p>
    <w:p w14:paraId="69846B12">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Zhang B, Xin H, Li J, et al. Benchmarking Poisoning Attacks against Retrieval-Augmented Generation[J]. arXiv preprint arXiv:2505.18543, 2025.</w:t>
      </w:r>
    </w:p>
    <w:p w14:paraId="12436CF1">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Vonderhaar L, Machado D, Ochoa O. Surveying the RAG Attack Surface and Defenses: Protecting Sensitive Company Data[C]//2025 IEEE International Conference on Artificial Intelligence Testing (AITest). IEEE, 2025: 69-76.</w:t>
      </w:r>
    </w:p>
    <w:p w14:paraId="604EA816">
      <w:pPr>
        <w:pStyle w:val="90"/>
        <w:keepNext w:val="0"/>
        <w:keepLines w:val="0"/>
        <w:pageBreakBefore w:val="0"/>
        <w:widowControl/>
        <w:numPr>
          <w:ilvl w:val="0"/>
          <w:numId w:val="6"/>
        </w:numPr>
        <w:kinsoku/>
        <w:wordWrap/>
        <w:overflowPunct/>
        <w:topLinePunct w:val="0"/>
        <w:autoSpaceDE/>
        <w:autoSpaceDN/>
        <w:bidi w:val="0"/>
        <w:adjustRightInd w:val="0"/>
        <w:snapToGrid w:val="0"/>
        <w:ind w:left="340" w:hanging="340"/>
        <w:textAlignment w:val="auto"/>
      </w:pPr>
      <w:r>
        <w:t>Zhang B, Xin H, Fang M, et al. Traceback of Poisoning Attacks to Retrieval-Augmented Generation[C]//Proceedings of the ACM Web Conference 2025. New York: ACM, 2025: 2085-2097.</w:t>
      </w:r>
    </w:p>
    <w:p w14:paraId="43793DB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Cheng Z, Sun J, Gao A, et al. Secure Retrieval-Augmented Generation against Poisoning Attacks[J]. arXiv preprint arXiv:2510.25025, 2025.</w:t>
      </w:r>
    </w:p>
    <w:p w14:paraId="33546DD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Lewis P, Perez E, Piktus A, et al. Retrieval-augmented generation for knowledge-intensive nlp tasks[J]. Advances in neural information processing systems, 2020, 33: 9459-9474.</w:t>
      </w:r>
    </w:p>
    <w:p w14:paraId="490585C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Karpukhin V, Oguz B, Min S, et al. Dense Passage Retrieval for Open-Domain Question Answering[C]//EMNLP (1). 2020: 6769-6781.</w:t>
      </w:r>
    </w:p>
    <w:p w14:paraId="73E8F1A3">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Shen M, Umar M, Maeng K, et al. Towards understanding systems trade-offs in retrieval-augmented generation model inference[J]. arXiv preprint arXiv:2412.11854, 2024.</w:t>
      </w:r>
    </w:p>
    <w:p w14:paraId="4A8AE0B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Buffa M, Ferrara A, Picascia S, et al. Enhancing legal document building with Retrieval-Augmented Generation[J]. Computer Law &amp; Security Review, 2025, 59: 106229.</w:t>
      </w:r>
    </w:p>
    <w:p w14:paraId="4CDBB8E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Park T, Lee G, Kim M S. MobileRAG: A Fast, Memory-Efficient, and Energy-Efficient Method for On-Device RAG[J]. arXiv preprint arXiv:2507.01079, 2025.</w:t>
      </w:r>
    </w:p>
    <w:p w14:paraId="24514964">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Chen Z, Xiang Z, Xiao C, et al. Agentpoison: Red-teaming llm agents via poisoning memory or knowledge bases[J]. Advances in Neural Information Processing Systems, 2024, 37: 130185-130213.</w:t>
      </w:r>
    </w:p>
    <w:p w14:paraId="5D794224">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Rando J, Tramèr F. Universal jailbreak backdoors from poisoned human feedback[J]. arXiv preprint arXiv:2311.14455, 2023.</w:t>
      </w:r>
    </w:p>
    <w:p w14:paraId="0FEB3D7E">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Chaudhari H, Severi G, Abascal J, et al. Phantom: General Backdoor Attacks on Retrieval Augmented Language Generation[J]. arXiv preprint arXiv:2405.20485, 2024.</w:t>
      </w:r>
    </w:p>
    <w:p w14:paraId="4EA2B92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Zou W, Geng R, Wang B, et al. PoisonedRAG: Knowledge corruption attacks to {Retrieval-Augmented} generation of large language models[C]//34th USENIX Security Symposium (USENIX Security 25). 2025: 3827-3844.</w:t>
      </w:r>
    </w:p>
    <w:p w14:paraId="53A5F7B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Tan Z, Zhao C, Moraffah R, et al. " Glue pizza and eat rocks"--Exploiting Vulnerabilities in Retrieval-Augmented Generative Models[J]. arXiv preprint arXiv:2406.19417, 2024</w:t>
      </w:r>
      <w:r>
        <w:rPr>
          <w:rFonts w:hint="eastAsia"/>
          <w:lang w:val="en-US" w:eastAsia="zh-CN"/>
        </w:rPr>
        <w:t>.</w:t>
      </w:r>
    </w:p>
    <w:p w14:paraId="211D0C9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Wang H, Zhang R, Wang J, et al. Joint-GCG: Unified Gradient-Based Poisoning Attacks on Retrieval-Augmented Generation Systems[J]. arXiv preprint arXiv:2506.06151, 2025.</w:t>
      </w:r>
    </w:p>
    <w:p w14:paraId="7277A50F">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Zhu H, Fiondella L, Yuan J, et al. NeuroGenPoisoning: Neuron-Guided Attacks on Retrieval-Augmented Generation of LLM via Genetic Optimization of External Knowledge[J]. arXiv preprint arXiv:2510.21144, 2025.</w:t>
      </w:r>
    </w:p>
    <w:p w14:paraId="73042BDA">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Li C, Zhang J, Cheng A, et al. CPA-RAG: Covert Poisoning Attacks on Retrieval-Augmented Generation in Large Language Models[J]. arXiv preprint arXiv:2505.19864, 2025.</w:t>
      </w:r>
    </w:p>
    <w:p w14:paraId="021350B2">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Chang Z, Li M, Jia X, et al. One shot dominance: Knowledge poisoning attack on retrieval-augmented generation systems[J]. arXiv preprint arXiv:2505.11548, 2025.</w:t>
      </w:r>
    </w:p>
    <w:p w14:paraId="3A0B71F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Ha H, Zhan Q, Kim J, et al. MM-PoisonRAG: Disrupting Multimodal RAG with Local and Global Poisoning Attacks[J]. arXiv preprint arXiv:2502.17832, 2025.</w:t>
      </w:r>
    </w:p>
    <w:p w14:paraId="641EE3A6">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Yang J, Xu H, Mirzoyan S, et al. Poisoning medical knowledge using large language models[J]. Nature Machine Intelligence, 2024, 6(10): 1156-1168.</w:t>
      </w:r>
    </w:p>
    <w:p w14:paraId="10103186">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Chi L, Msahli M, Zhang Q, et al. Adversarial attacks on autonomous driving systems in the physical world: a survey[J]. IEEE Transactions on Intelligent Vehicles, 2024.</w:t>
      </w:r>
    </w:p>
    <w:p w14:paraId="5848897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Alon G, Kamfonas M. Detecting language model attacks with perplexity[J]. arXiv preprint arXiv:2308.14132, 2023.</w:t>
      </w:r>
    </w:p>
    <w:p w14:paraId="71CE856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Tan X, Luan H, Luo M, et al. RevPRAG: Revealing Poisoning Attacks in Retrieval-Augmented Generation through LLM Activation Analysis[J]. arXiv preprint arXiv:2411.18948, 2024.</w:t>
      </w:r>
    </w:p>
    <w:p w14:paraId="1ADFAA5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Zhao S, Jia M, Guo Z, et al. A survey of backdoor attacks and defenses on large language models: Implications for security measures[J]. Authorea Preprints, 2024.</w:t>
      </w:r>
    </w:p>
    <w:p w14:paraId="119685D4">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Chen L, Yang X, Lu Y, et al. PoisonArena: Uncovering Competing Poisoning Attacks in Retrieval-Augmented Generation[J]. arXiv preprint arXiv:2505.12574, 2025</w:t>
      </w:r>
      <w:r>
        <w:rPr>
          <w:rFonts w:hint="eastAsia"/>
        </w:rPr>
        <w:t>.</w:t>
      </w:r>
    </w:p>
    <w:p w14:paraId="5698CEA9">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Liu Y, Jia Y, Geng R, et al. Formalizing and benchmarking prompt injection attacks and defenses[C]//33rd USENIX Security Symposium (USENIX Security 24). 2024: 1831-1847</w:t>
      </w:r>
      <w:r>
        <w:rPr>
          <w:rFonts w:hint="eastAsia"/>
        </w:rPr>
        <w:t>.</w:t>
      </w:r>
    </w:p>
    <w:p w14:paraId="3F3D0F86">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Shafran A, Schuster R, Shmatikov V. Machine Against the {RAG}: Jamming {Retrieval-Augmented} Generation with Blocker Documents[C]//34th USENIX Security Symposium (USENIX Security 25). 2025: 3787-3806</w:t>
      </w:r>
      <w:r>
        <w:rPr>
          <w:rFonts w:hint="eastAsia"/>
        </w:rPr>
        <w:t>.</w:t>
      </w:r>
    </w:p>
    <w:p w14:paraId="24895143">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Zhou H, Lee K H, Zhan Z, et al. TrustRAG: enhancing robustness and trustworthiness in retrieval-augmented generation[J]. arXiv preprint arXiv:2501.00879, 2025</w:t>
      </w:r>
      <w:r>
        <w:rPr>
          <w:rFonts w:hint="eastAsia"/>
        </w:rPr>
        <w:t>.</w:t>
      </w:r>
    </w:p>
    <w:p w14:paraId="42FF390D">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Si X, Zhu M, Qin S, et al. SeCon-RAG: A Two-Stage Semantic Filtering and Conflict-Free Framework for Trustworthy RAG[J]. arXiv preprint arXiv:2510.09710, 2025</w:t>
      </w:r>
      <w:r>
        <w:rPr>
          <w:rFonts w:hint="eastAsia"/>
        </w:rPr>
        <w:t>.</w:t>
      </w:r>
    </w:p>
    <w:p w14:paraId="543C8D06">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Yao H, Shi H, Chen Y, et al. Controlnet: A firewall for rag-based llm system[J]. arXiv preprint arXiv:2504.09593, 2025</w:t>
      </w:r>
      <w:r>
        <w:rPr>
          <w:rFonts w:hint="eastAsia"/>
        </w:rPr>
        <w:t>.</w:t>
      </w:r>
    </w:p>
    <w:p w14:paraId="31FB0F33">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Microsoft Azure. Azure AI security documentation [EB/OL]. https://docs.microsoft.com/en-us/azure/ai-services/security</w:t>
      </w:r>
      <w:r>
        <w:rPr>
          <w:rFonts w:hint="eastAsia"/>
        </w:rPr>
        <w:t>.</w:t>
      </w:r>
    </w:p>
    <w:p w14:paraId="67D11E7B">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Google Cloud. AI security best practices [EB/OL]. https://cloud.google.com/security/ai</w:t>
      </w:r>
      <w:r>
        <w:rPr>
          <w:rFonts w:hint="eastAsia"/>
        </w:rPr>
        <w:t>.</w:t>
      </w:r>
    </w:p>
    <w:p w14:paraId="24DF0F06">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陶飞,刘蔚然,张萌,等.数字孪生五维模型及十大领域应用[J].计算机集成制造系统,2019,25(01):1-18.DOI:10.13196/j.cims.2019.01.001.</w:t>
      </w:r>
    </w:p>
    <w:p w14:paraId="1AA1F464">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Grieves M, Vickers J. Digital twin: Mitigating unpredictable, undesirable emergent behavior in complex systems[M]//Transdisciplinary perspectives on complex systems: New findings and approaches. Cham: Springer International Publishing, 2016: 85-113.</w:t>
      </w:r>
    </w:p>
    <w:p w14:paraId="7A736C88">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Yassin M A M, Shrestha A, Rabie S. Digital twin in power system research and development: Principle, scope, and challenges[J]. Energy Reviews, 2023, 2(3): 100039.</w:t>
      </w:r>
    </w:p>
    <w:p w14:paraId="3B6E0AC8">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Vaswani A, Shazeer N, Parmar N, et al. Attention is all you need[J]. Advances in neural information processing systems, 2017, 30.</w:t>
      </w:r>
    </w:p>
    <w:p w14:paraId="0222E190">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780F2482">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Llama H T. Llama: Open and efficient foundation language models[J]. 2023.</w:t>
      </w:r>
    </w:p>
    <w:p w14:paraId="0DE2626B">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Brown T, Mann B, Ryder N, et al. Language models are few-shot learners[J]. Advances in neural information processing systems, 2020, 33: 1877-1901.</w:t>
      </w:r>
    </w:p>
    <w:p w14:paraId="26FE34A7">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Robertson S, Zaragoza H. The probabilistic relevance framework: BM25 and beyond[M]. Now Publishers Inc, 2009.</w:t>
      </w:r>
    </w:p>
    <w:p w14:paraId="482F713C">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Karpukhin V, Oguz B, Min S, et al. Dense passage retrieval for open-domain question answering[C]//Proceedings of the 2020 conference on empirical methods in natural language processing (EMNLP). 2020: 6769-6781.</w:t>
      </w:r>
    </w:p>
    <w:p w14:paraId="646A970F">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Malkov Y A, Yashunin D A. Efficient and robust approximate nearest neighbor search using hierarchical navigable small world graphs[J]. IEEE transactions on pattern analysis and machine intelligence, 2018, 42(4): 824-836.</w:t>
      </w:r>
    </w:p>
    <w:p w14:paraId="07F429C5">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Sampson J R. Adaptation in natural and artificial systems (John H. Holland)[J]. 1976.</w:t>
      </w:r>
    </w:p>
    <w:p w14:paraId="6282B7B9">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t>Deb K, Pratap A, Agarwal S, et al. A fast and elitist multiobjective genetic algorithm: NSGA-II[J]. IEEE transactions on evolutionary computation, 2002, 6(2): 182-1</w:t>
      </w:r>
    </w:p>
    <w:p w14:paraId="09B390EF">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Ebrahimi J, Rao A, Lowd D, et al. Hotflip: White-box adversarial examples for text classification[C]//Proceedings of the 56th Annual Meeting of the Association for Computational Linguistics (Volume 2: Short Papers). 2018: 31-36.</w:t>
      </w:r>
    </w:p>
    <w:p w14:paraId="10160073">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Kwiatkowski T, Palomaki J, Redfield O, et al. Natural questions: a benchmark for question answering research[J]. Transactions of the Association for Computational Linguistics, 2019, 7: 453-466.</w:t>
      </w:r>
    </w:p>
    <w:p w14:paraId="1277A474">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Bajaj P, Campos D, Craswell N, et al. MS MARCO: A human generated machine reading comprehension dataset[J]. arXiv preprint arXiv:1611.09268, 2016.</w:t>
      </w:r>
    </w:p>
    <w:p w14:paraId="239A434B">
      <w:pPr>
        <w:pStyle w:val="91"/>
        <w:keepNext w:val="0"/>
        <w:keepLines w:val="0"/>
        <w:pageBreakBefore w:val="0"/>
        <w:widowControl/>
        <w:numPr>
          <w:ilvl w:val="0"/>
          <w:numId w:val="6"/>
        </w:numPr>
        <w:kinsoku/>
        <w:wordWrap/>
        <w:overflowPunct/>
        <w:topLinePunct w:val="0"/>
        <w:autoSpaceDE/>
        <w:autoSpaceDN/>
        <w:bidi w:val="0"/>
        <w:adjustRightInd/>
        <w:snapToGrid w:val="0"/>
        <w:ind w:left="420" w:hanging="420"/>
        <w:textAlignment w:val="auto"/>
      </w:pPr>
      <w:r>
        <w:rPr>
          <w:rFonts w:hint="eastAsia"/>
        </w:rPr>
        <w:t>Zhou Y, Zhou B, Li H, et al. Dataset for Industrial Question Answering with Explanation and Scalable Ensemble Generation[C]//Companion Proceedings of the ACM on Web Conference 2025. 2025: 825-828.</w:t>
      </w:r>
    </w:p>
    <w:p w14:paraId="22CFD3F9">
      <w:pPr>
        <w:pStyle w:val="91"/>
        <w:keepNext w:val="0"/>
        <w:keepLines w:val="0"/>
        <w:pageBreakBefore w:val="0"/>
        <w:widowControl/>
        <w:numPr>
          <w:ilvl w:val="0"/>
          <w:numId w:val="0"/>
        </w:numPr>
        <w:kinsoku/>
        <w:wordWrap/>
        <w:overflowPunct/>
        <w:topLinePunct w:val="0"/>
        <w:autoSpaceDE/>
        <w:autoSpaceDN/>
        <w:bidi w:val="0"/>
        <w:adjustRightInd/>
        <w:snapToGrid w:val="0"/>
        <w:spacing w:line="400" w:lineRule="exact"/>
        <w:jc w:val="both"/>
        <w:textAlignment w:val="auto"/>
      </w:pPr>
    </w:p>
    <w:p w14:paraId="3B4A8C3B">
      <w:pPr>
        <w:pStyle w:val="91"/>
        <w:keepNext w:val="0"/>
        <w:keepLines w:val="0"/>
        <w:pageBreakBefore w:val="0"/>
        <w:widowControl/>
        <w:numPr>
          <w:ilvl w:val="0"/>
          <w:numId w:val="0"/>
        </w:numPr>
        <w:kinsoku/>
        <w:wordWrap/>
        <w:overflowPunct/>
        <w:topLinePunct w:val="0"/>
        <w:autoSpaceDE/>
        <w:autoSpaceDN/>
        <w:bidi w:val="0"/>
        <w:adjustRightInd/>
        <w:snapToGrid w:val="0"/>
        <w:spacing w:line="400" w:lineRule="exact"/>
        <w:jc w:val="both"/>
        <w:textAlignment w:val="auto"/>
      </w:pPr>
    </w:p>
    <w:p w14:paraId="504C5C0A">
      <w:pPr>
        <w:pStyle w:val="91"/>
        <w:keepNext w:val="0"/>
        <w:keepLines w:val="0"/>
        <w:pageBreakBefore w:val="0"/>
        <w:widowControl/>
        <w:numPr>
          <w:ilvl w:val="0"/>
          <w:numId w:val="0"/>
        </w:numPr>
        <w:kinsoku/>
        <w:wordWrap/>
        <w:overflowPunct/>
        <w:topLinePunct w:val="0"/>
        <w:autoSpaceDE/>
        <w:autoSpaceDN/>
        <w:bidi w:val="0"/>
        <w:adjustRightInd/>
        <w:snapToGrid w:val="0"/>
        <w:spacing w:line="400" w:lineRule="exact"/>
        <w:jc w:val="both"/>
        <w:textAlignment w:val="auto"/>
        <w:sectPr>
          <w:headerReference r:id="rId33" w:type="default"/>
          <w:headerReference r:id="rId34" w:type="even"/>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p>
    <w:p w14:paraId="300FE8D4">
      <w:pPr>
        <w:rPr>
          <w:rFonts w:hint="eastAsia"/>
          <w:lang w:val="zh-CN"/>
        </w:rPr>
      </w:pPr>
      <w:bookmarkStart w:id="154" w:name="_Toc22231"/>
      <w:bookmarkStart w:id="155" w:name="_Toc9583"/>
      <w:r>
        <w:rPr>
          <w:rFonts w:hint="eastAsia"/>
          <w:lang w:val="zh-CN"/>
        </w:rPr>
        <w:br w:type="page"/>
      </w:r>
    </w:p>
    <w:p w14:paraId="0C6AFEF0">
      <w:pPr>
        <w:pStyle w:val="89"/>
        <w:bidi w:val="0"/>
      </w:pPr>
      <w:bookmarkStart w:id="156" w:name="_Toc21821"/>
      <w:r>
        <w:rPr>
          <w:rFonts w:hint="eastAsia"/>
          <w:lang w:val="zh-CN"/>
        </w:rPr>
        <w:t>致</w:t>
      </w:r>
      <w:r>
        <w:rPr>
          <w:rFonts w:hint="eastAsia"/>
        </w:rPr>
        <w:t xml:space="preserve">  </w:t>
      </w:r>
      <w:r>
        <w:rPr>
          <w:rFonts w:hint="eastAsia"/>
          <w:lang w:val="zh-CN"/>
        </w:rPr>
        <w:t>谢</w:t>
      </w:r>
      <w:bookmarkEnd w:id="154"/>
      <w:bookmarkEnd w:id="155"/>
      <w:bookmarkEnd w:id="156"/>
    </w:p>
    <w:p w14:paraId="43040E0D">
      <w:pPr>
        <w:snapToGrid w:val="0"/>
        <w:ind w:firstLine="480"/>
        <w:rPr>
          <w:snapToGrid w:val="0"/>
          <w:szCs w:val="21"/>
        </w:rPr>
      </w:pPr>
      <w:r>
        <w:rPr>
          <w:rFonts w:hint="eastAsia"/>
          <w:snapToGrid w:val="0"/>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CED7B0D">
      <w:pPr>
        <w:snapToGrid w:val="0"/>
        <w:ind w:firstLine="480"/>
        <w:rPr>
          <w:snapToGrid w:val="0"/>
          <w:szCs w:val="21"/>
        </w:rPr>
      </w:pPr>
      <w:r>
        <w:rPr>
          <w:rFonts w:hint="eastAsia"/>
          <w:snapToGrid w:val="0"/>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94B6615">
      <w:pPr>
        <w:ind w:firstLine="480"/>
      </w:pPr>
    </w:p>
    <w:p w14:paraId="7A6B1330">
      <w:pPr>
        <w:ind w:firstLine="480"/>
        <w:sectPr>
          <w:headerReference r:id="rId35" w:type="default"/>
          <w:headerReference r:id="rId36" w:type="even"/>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pPr>
    </w:p>
    <w:bookmarkEnd w:id="148"/>
    <w:bookmarkEnd w:id="149"/>
    <w:bookmarkEnd w:id="150"/>
    <w:bookmarkEnd w:id="151"/>
    <w:bookmarkEnd w:id="152"/>
    <w:p w14:paraId="42BAEA5C">
      <w:pPr>
        <w:rPr>
          <w:rFonts w:hint="eastAsia" w:eastAsia="黑体"/>
          <w:snapToGrid w:val="0"/>
          <w:color w:val="000000"/>
          <w:sz w:val="32"/>
          <w:szCs w:val="32"/>
          <w:shd w:val="clear" w:color="auto" w:fill="FFFFFF"/>
        </w:rPr>
      </w:pPr>
      <w:r>
        <w:rPr>
          <w:rFonts w:hint="eastAsia" w:eastAsia="黑体"/>
          <w:snapToGrid w:val="0"/>
          <w:color w:val="000000"/>
          <w:sz w:val="32"/>
          <w:szCs w:val="32"/>
          <w:shd w:val="clear" w:color="auto" w:fill="FFFFFF"/>
        </w:rPr>
        <w:br w:type="page"/>
      </w:r>
    </w:p>
    <w:p w14:paraId="5EA68814">
      <w:pPr>
        <w:snapToGrid w:val="0"/>
        <w:spacing w:after="652" w:afterLines="200"/>
        <w:ind w:left="0" w:leftChars="0" w:firstLine="0" w:firstLineChars="0"/>
        <w:jc w:val="center"/>
        <w:outlineLvl w:val="0"/>
        <w:rPr>
          <w:rFonts w:eastAsia="黑体"/>
          <w:snapToGrid w:val="0"/>
          <w:color w:val="000000"/>
          <w:sz w:val="32"/>
          <w:szCs w:val="32"/>
          <w:shd w:val="clear" w:color="auto" w:fill="FFFFFF"/>
        </w:rPr>
      </w:pPr>
      <w:bookmarkStart w:id="157" w:name="_Toc15482"/>
      <w:r>
        <w:rPr>
          <w:rFonts w:hint="eastAsia" w:eastAsia="黑体"/>
          <w:snapToGrid w:val="0"/>
          <w:color w:val="000000"/>
          <w:sz w:val="32"/>
          <w:szCs w:val="32"/>
          <w:shd w:val="clear" w:color="auto" w:fill="FFFFFF"/>
        </w:rPr>
        <w:t>攻读学位期间取得的创新成果目录</w:t>
      </w:r>
      <w:bookmarkEnd w:id="157"/>
    </w:p>
    <w:p w14:paraId="37A05C7D">
      <w:pPr>
        <w:pStyle w:val="90"/>
        <w:bidi w:val="0"/>
      </w:pPr>
      <w:r>
        <w:rPr>
          <w:rFonts w:hint="eastAsia"/>
        </w:rPr>
        <w:t>[</w:t>
      </w:r>
      <w:r>
        <w:rPr>
          <w:rFonts w:hint="eastAsia"/>
          <w:lang w:val="en-US" w:eastAsia="zh-CN"/>
        </w:rPr>
        <w:t>1</w:t>
      </w:r>
      <w:r>
        <w:rPr>
          <w:rFonts w:hint="eastAsia"/>
        </w:rPr>
        <w:t xml:space="preserve">] 郝佳恺， </w:t>
      </w:r>
      <w:r>
        <w:rPr>
          <w:rFonts w:hint="eastAsia"/>
          <w:lang w:val="en-US" w:eastAsia="zh-CN"/>
        </w:rPr>
        <w:t>谢东亮</w:t>
      </w:r>
      <w:r>
        <w:rPr>
          <w:rFonts w:hint="eastAsia"/>
        </w:rPr>
        <w:t xml:space="preserve">， </w:t>
      </w:r>
      <w:r>
        <w:rPr>
          <w:rFonts w:hint="eastAsia"/>
          <w:lang w:val="en-US" w:eastAsia="zh-CN"/>
        </w:rPr>
        <w:t>逯昊倡</w:t>
      </w:r>
      <w:r>
        <w:rPr>
          <w:rFonts w:hint="eastAsia"/>
        </w:rPr>
        <w:t>， 等. 文本的查询结果确定方法、装置及电子设备：202610248642.6[P]. 2026-03-02.</w:t>
      </w:r>
    </w:p>
    <w:p w14:paraId="7EECCC55">
      <w:pPr>
        <w:ind w:firstLine="640"/>
        <w:rPr>
          <w:rFonts w:eastAsia="黑体"/>
          <w:snapToGrid w:val="0"/>
          <w:color w:val="000000"/>
          <w:sz w:val="32"/>
          <w:szCs w:val="32"/>
          <w:shd w:val="clear" w:color="auto" w:fill="FFFFFF"/>
        </w:rPr>
      </w:pPr>
    </w:p>
    <w:p w14:paraId="02EA5575">
      <w:pPr>
        <w:pStyle w:val="4"/>
        <w:rPr>
          <w:color w:val="000000"/>
          <w:sz w:val="32"/>
          <w:szCs w:val="32"/>
          <w:shd w:val="clear" w:color="auto" w:fill="FFFFFF"/>
        </w:rPr>
      </w:pPr>
    </w:p>
    <w:p w14:paraId="242FB543">
      <w:pPr>
        <w:ind w:firstLine="640"/>
        <w:rPr>
          <w:rFonts w:eastAsia="黑体"/>
          <w:snapToGrid w:val="0"/>
          <w:color w:val="000000"/>
          <w:sz w:val="32"/>
          <w:szCs w:val="32"/>
          <w:shd w:val="clear" w:color="auto" w:fill="FFFFFF"/>
        </w:rPr>
      </w:pPr>
    </w:p>
    <w:p w14:paraId="1EE158E7">
      <w:pPr>
        <w:pStyle w:val="4"/>
        <w:rPr>
          <w:color w:val="000000"/>
          <w:sz w:val="32"/>
          <w:szCs w:val="32"/>
          <w:shd w:val="clear" w:color="auto" w:fill="FFFFFF"/>
        </w:rPr>
      </w:pPr>
    </w:p>
    <w:p w14:paraId="2DDE9CA7">
      <w:pPr>
        <w:ind w:firstLine="640"/>
        <w:rPr>
          <w:rFonts w:eastAsia="黑体"/>
          <w:snapToGrid w:val="0"/>
          <w:color w:val="000000"/>
          <w:sz w:val="32"/>
          <w:szCs w:val="32"/>
          <w:shd w:val="clear" w:color="auto" w:fill="FFFFFF"/>
        </w:rPr>
      </w:pPr>
    </w:p>
    <w:p w14:paraId="1BC7BE2B">
      <w:pPr>
        <w:pStyle w:val="4"/>
        <w:rPr>
          <w:color w:val="000000"/>
          <w:sz w:val="32"/>
          <w:szCs w:val="32"/>
          <w:shd w:val="clear" w:color="auto" w:fill="FFFFFF"/>
        </w:rPr>
      </w:pPr>
    </w:p>
    <w:p w14:paraId="6DDF713F">
      <w:pPr>
        <w:ind w:firstLine="640"/>
        <w:rPr>
          <w:rFonts w:eastAsia="黑体"/>
          <w:snapToGrid w:val="0"/>
          <w:color w:val="000000"/>
          <w:sz w:val="32"/>
          <w:szCs w:val="32"/>
          <w:shd w:val="clear" w:color="auto" w:fill="FFFFFF"/>
        </w:rPr>
      </w:pPr>
    </w:p>
    <w:p w14:paraId="09BDC761">
      <w:pPr>
        <w:pStyle w:val="4"/>
        <w:rPr>
          <w:color w:val="000000"/>
          <w:sz w:val="32"/>
          <w:szCs w:val="32"/>
          <w:shd w:val="clear" w:color="auto" w:fill="FFFFFF"/>
        </w:rPr>
      </w:pPr>
    </w:p>
    <w:p w14:paraId="49C1FA5C">
      <w:pPr>
        <w:ind w:firstLine="640"/>
        <w:rPr>
          <w:rFonts w:eastAsia="黑体"/>
          <w:snapToGrid w:val="0"/>
          <w:color w:val="000000"/>
          <w:sz w:val="32"/>
          <w:szCs w:val="32"/>
          <w:shd w:val="clear" w:color="auto" w:fill="FFFFFF"/>
        </w:rPr>
      </w:pPr>
    </w:p>
    <w:p w14:paraId="78B290FB">
      <w:pPr>
        <w:pStyle w:val="4"/>
        <w:rPr>
          <w:color w:val="000000"/>
          <w:sz w:val="32"/>
          <w:szCs w:val="32"/>
          <w:shd w:val="clear" w:color="auto" w:fill="FFFFFF"/>
        </w:rPr>
      </w:pPr>
    </w:p>
    <w:p w14:paraId="0C54C36D">
      <w:pPr>
        <w:ind w:firstLine="640"/>
        <w:rPr>
          <w:rFonts w:eastAsia="黑体"/>
          <w:snapToGrid w:val="0"/>
          <w:color w:val="000000"/>
          <w:sz w:val="32"/>
          <w:szCs w:val="32"/>
          <w:shd w:val="clear" w:color="auto" w:fill="FFFFFF"/>
        </w:rPr>
      </w:pPr>
    </w:p>
    <w:p w14:paraId="680A7F40">
      <w:pPr>
        <w:pStyle w:val="4"/>
        <w:rPr>
          <w:color w:val="000000"/>
          <w:sz w:val="32"/>
          <w:szCs w:val="32"/>
          <w:shd w:val="clear" w:color="auto" w:fill="FFFFFF"/>
        </w:rPr>
      </w:pPr>
    </w:p>
    <w:p w14:paraId="35B70FDA">
      <w:pPr>
        <w:ind w:firstLine="640"/>
        <w:rPr>
          <w:rFonts w:eastAsia="黑体"/>
          <w:snapToGrid w:val="0"/>
          <w:color w:val="000000"/>
          <w:sz w:val="32"/>
          <w:szCs w:val="32"/>
          <w:shd w:val="clear" w:color="auto" w:fill="FFFFFF"/>
        </w:rPr>
      </w:pPr>
      <w:r>
        <w:rPr>
          <w:rFonts w:hint="eastAsia" w:eastAsia="黑体"/>
          <w:snapToGrid w:val="0"/>
          <w:color w:val="000000"/>
          <w:sz w:val="32"/>
          <w:szCs w:val="32"/>
          <w:shd w:val="clear" w:color="auto" w:fill="FFFFFF"/>
        </w:rPr>
        <w:br w:type="page"/>
      </w:r>
    </w:p>
    <w:p w14:paraId="1571F63C">
      <w:pPr>
        <w:snapToGrid w:val="0"/>
        <w:spacing w:after="652" w:afterLines="200"/>
        <w:ind w:left="0" w:leftChars="0" w:firstLine="0" w:firstLineChars="0"/>
        <w:jc w:val="center"/>
        <w:outlineLvl w:val="0"/>
        <w:rPr>
          <w:rFonts w:hint="eastAsia" w:eastAsia="黑体"/>
          <w:snapToGrid w:val="0"/>
          <w:color w:val="000000"/>
          <w:sz w:val="32"/>
          <w:szCs w:val="32"/>
          <w:shd w:val="clear" w:color="auto" w:fill="FFFFFF"/>
        </w:rPr>
        <w:sectPr>
          <w:headerReference r:id="rId37" w:type="default"/>
          <w:headerReference r:id="rId38" w:type="even"/>
          <w:footerReference r:id="rId39" w:type="even"/>
          <w:footnotePr>
            <w:numFmt w:val="decimalEnclosedCircleChinese"/>
            <w:numRestart w:val="eachPage"/>
          </w:footnotePr>
          <w:type w:val="evenPage"/>
          <w:pgSz w:w="11906" w:h="16838"/>
          <w:pgMar w:top="1440" w:right="1797" w:bottom="1440" w:left="1797" w:header="850" w:footer="992" w:gutter="0"/>
          <w:pgNumType w:fmt="decimal"/>
          <w:cols w:space="720" w:num="1"/>
          <w:docGrid w:type="lines" w:linePitch="326" w:charSpace="0"/>
        </w:sectPr>
      </w:pPr>
    </w:p>
    <w:p w14:paraId="7815E9FE">
      <w:pPr>
        <w:snapToGrid w:val="0"/>
        <w:spacing w:after="652" w:afterLines="200"/>
        <w:ind w:left="0" w:leftChars="0" w:firstLine="0" w:firstLineChars="0"/>
        <w:jc w:val="center"/>
        <w:outlineLvl w:val="0"/>
      </w:pPr>
      <w:bookmarkStart w:id="158" w:name="_Toc10500"/>
      <w:r>
        <w:rPr>
          <w:rFonts w:hint="eastAsia" w:eastAsia="黑体"/>
          <w:snapToGrid w:val="0"/>
          <w:color w:val="000000"/>
          <w:sz w:val="32"/>
          <w:szCs w:val="32"/>
          <w:shd w:val="clear" w:color="auto" w:fill="FFFFFF"/>
        </w:rPr>
        <w:t>作者学习经历</w:t>
      </w:r>
      <w:bookmarkEnd w:id="158"/>
    </w:p>
    <w:tbl>
      <w:tblPr>
        <w:tblStyle w:val="30"/>
        <w:tblW w:w="8996" w:type="dxa"/>
        <w:tblInd w:w="-2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5"/>
        <w:gridCol w:w="1036"/>
        <w:gridCol w:w="3447"/>
        <w:gridCol w:w="2788"/>
      </w:tblGrid>
      <w:tr w14:paraId="2196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28B76698">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起止年月</w:t>
            </w:r>
          </w:p>
        </w:tc>
        <w:tc>
          <w:tcPr>
            <w:tcW w:w="1036" w:type="dxa"/>
            <w:vAlign w:val="center"/>
          </w:tcPr>
          <w:p w14:paraId="0619588A">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类别</w:t>
            </w:r>
          </w:p>
        </w:tc>
        <w:tc>
          <w:tcPr>
            <w:tcW w:w="3447" w:type="dxa"/>
            <w:vAlign w:val="center"/>
          </w:tcPr>
          <w:p w14:paraId="322895BC">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学习单位名称</w:t>
            </w:r>
          </w:p>
        </w:tc>
        <w:tc>
          <w:tcPr>
            <w:tcW w:w="2788" w:type="dxa"/>
            <w:vAlign w:val="center"/>
          </w:tcPr>
          <w:p w14:paraId="0F4E8FBA">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学科/专业名称</w:t>
            </w:r>
          </w:p>
        </w:tc>
      </w:tr>
      <w:tr w14:paraId="35F0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499C81F8">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201</w:t>
            </w:r>
            <w:r>
              <w:rPr>
                <w:rFonts w:hint="eastAsia"/>
                <w:lang w:val="en-US" w:eastAsia="zh-CN"/>
              </w:rPr>
              <w:t>6</w:t>
            </w:r>
            <w:r>
              <w:rPr>
                <w:rFonts w:hint="eastAsia"/>
              </w:rPr>
              <w:t>.9-201</w:t>
            </w:r>
            <w:r>
              <w:rPr>
                <w:rFonts w:hint="eastAsia"/>
                <w:lang w:val="en-US" w:eastAsia="zh-CN"/>
              </w:rPr>
              <w:t>9</w:t>
            </w:r>
            <w:r>
              <w:rPr>
                <w:rFonts w:hint="eastAsia"/>
              </w:rPr>
              <w:t>.7</w:t>
            </w:r>
          </w:p>
        </w:tc>
        <w:tc>
          <w:tcPr>
            <w:tcW w:w="1036" w:type="dxa"/>
            <w:vAlign w:val="center"/>
          </w:tcPr>
          <w:p w14:paraId="6C9B0C5D">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高中</w:t>
            </w:r>
          </w:p>
        </w:tc>
        <w:tc>
          <w:tcPr>
            <w:tcW w:w="3447" w:type="dxa"/>
            <w:vAlign w:val="center"/>
          </w:tcPr>
          <w:p w14:paraId="137E20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lang w:val="en-US" w:eastAsia="zh-CN"/>
              </w:rPr>
            </w:pPr>
            <w:r>
              <w:rPr>
                <w:rFonts w:hint="eastAsia"/>
                <w:lang w:val="en-US" w:eastAsia="zh-CN"/>
              </w:rPr>
              <w:t>北京市八一学校</w:t>
            </w:r>
          </w:p>
        </w:tc>
        <w:tc>
          <w:tcPr>
            <w:tcW w:w="2788" w:type="dxa"/>
            <w:vAlign w:val="center"/>
          </w:tcPr>
          <w:p w14:paraId="12A42E86">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w:t>
            </w:r>
          </w:p>
        </w:tc>
      </w:tr>
      <w:tr w14:paraId="4AC3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25E26A44">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201</w:t>
            </w:r>
            <w:r>
              <w:rPr>
                <w:rFonts w:hint="eastAsia"/>
                <w:lang w:val="en-US" w:eastAsia="zh-CN"/>
              </w:rPr>
              <w:t>9</w:t>
            </w:r>
            <w:r>
              <w:rPr>
                <w:rFonts w:hint="eastAsia"/>
              </w:rPr>
              <w:t>.9-20</w:t>
            </w:r>
            <w:r>
              <w:rPr>
                <w:rFonts w:hint="eastAsia"/>
                <w:lang w:val="en-US" w:eastAsia="zh-CN"/>
              </w:rPr>
              <w:t>23</w:t>
            </w:r>
            <w:r>
              <w:rPr>
                <w:rFonts w:hint="eastAsia"/>
              </w:rPr>
              <w:t>.7</w:t>
            </w:r>
          </w:p>
        </w:tc>
        <w:tc>
          <w:tcPr>
            <w:tcW w:w="1036" w:type="dxa"/>
            <w:vAlign w:val="center"/>
          </w:tcPr>
          <w:p w14:paraId="1558BA5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本科</w:t>
            </w:r>
          </w:p>
        </w:tc>
        <w:tc>
          <w:tcPr>
            <w:tcW w:w="3447" w:type="dxa"/>
            <w:vAlign w:val="center"/>
          </w:tcPr>
          <w:p w14:paraId="3B3E82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lang w:val="en-US" w:eastAsia="zh-CN"/>
              </w:rPr>
              <w:t>首都经济贸易大学</w:t>
            </w:r>
          </w:p>
        </w:tc>
        <w:tc>
          <w:tcPr>
            <w:tcW w:w="2788" w:type="dxa"/>
            <w:vAlign w:val="center"/>
          </w:tcPr>
          <w:p w14:paraId="0632EF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lang w:val="en-US" w:eastAsia="zh-CN"/>
              </w:rPr>
              <w:t>计算机科学与技术</w:t>
            </w:r>
          </w:p>
        </w:tc>
      </w:tr>
      <w:tr w14:paraId="7232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05D4EE4E">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20</w:t>
            </w:r>
            <w:r>
              <w:rPr>
                <w:rFonts w:hint="eastAsia"/>
                <w:lang w:val="en-US" w:eastAsia="zh-CN"/>
              </w:rPr>
              <w:t>23</w:t>
            </w:r>
            <w:r>
              <w:rPr>
                <w:rFonts w:hint="eastAsia"/>
              </w:rPr>
              <w:t>.9-20</w:t>
            </w:r>
            <w:r>
              <w:rPr>
                <w:rFonts w:hint="eastAsia"/>
                <w:lang w:val="en-US" w:eastAsia="zh-CN"/>
              </w:rPr>
              <w:t>26</w:t>
            </w:r>
            <w:r>
              <w:rPr>
                <w:rFonts w:hint="eastAsia"/>
              </w:rPr>
              <w:t>.7</w:t>
            </w:r>
          </w:p>
        </w:tc>
        <w:tc>
          <w:tcPr>
            <w:tcW w:w="1036" w:type="dxa"/>
            <w:vAlign w:val="center"/>
          </w:tcPr>
          <w:p w14:paraId="493E3BB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rPr>
              <w:t>硕士</w:t>
            </w:r>
          </w:p>
        </w:tc>
        <w:tc>
          <w:tcPr>
            <w:tcW w:w="3447" w:type="dxa"/>
            <w:vAlign w:val="center"/>
          </w:tcPr>
          <w:p w14:paraId="07931A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lang w:val="en-US" w:eastAsia="zh-CN"/>
              </w:rPr>
              <w:t>北京邮电大学</w:t>
            </w:r>
          </w:p>
        </w:tc>
        <w:tc>
          <w:tcPr>
            <w:tcW w:w="2788" w:type="dxa"/>
            <w:vAlign w:val="center"/>
          </w:tcPr>
          <w:p w14:paraId="5F6C0611">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计算机科学与技术</w:t>
            </w:r>
          </w:p>
        </w:tc>
      </w:tr>
      <w:tr w14:paraId="31CA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2AAE6C29">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1036" w:type="dxa"/>
            <w:vAlign w:val="center"/>
          </w:tcPr>
          <w:p w14:paraId="4BB02AF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3447" w:type="dxa"/>
            <w:vAlign w:val="center"/>
          </w:tcPr>
          <w:p w14:paraId="2E01F95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2788" w:type="dxa"/>
            <w:vAlign w:val="center"/>
          </w:tcPr>
          <w:p w14:paraId="65535D03">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r>
      <w:tr w14:paraId="35CC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378CBB4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1036" w:type="dxa"/>
            <w:vAlign w:val="center"/>
          </w:tcPr>
          <w:p w14:paraId="1CD511AC">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3447" w:type="dxa"/>
            <w:vAlign w:val="center"/>
          </w:tcPr>
          <w:p w14:paraId="5C78CF2C">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2788" w:type="dxa"/>
            <w:vAlign w:val="center"/>
          </w:tcPr>
          <w:p w14:paraId="134F1BD6">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r>
      <w:tr w14:paraId="4772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13C42BB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1036" w:type="dxa"/>
            <w:vAlign w:val="center"/>
          </w:tcPr>
          <w:p w14:paraId="7F48A87F">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3447" w:type="dxa"/>
            <w:vAlign w:val="center"/>
          </w:tcPr>
          <w:p w14:paraId="341688B2">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2788" w:type="dxa"/>
            <w:vAlign w:val="center"/>
          </w:tcPr>
          <w:p w14:paraId="26D1F7F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r>
      <w:tr w14:paraId="50025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725" w:type="dxa"/>
            <w:vAlign w:val="center"/>
          </w:tcPr>
          <w:p w14:paraId="5BEBA6E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1036" w:type="dxa"/>
            <w:vAlign w:val="center"/>
          </w:tcPr>
          <w:p w14:paraId="2F2AC59F">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3447" w:type="dxa"/>
            <w:vAlign w:val="center"/>
          </w:tcPr>
          <w:p w14:paraId="7556CF7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c>
          <w:tcPr>
            <w:tcW w:w="2788" w:type="dxa"/>
            <w:vAlign w:val="center"/>
          </w:tcPr>
          <w:p w14:paraId="40948219">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tc>
      </w:tr>
    </w:tbl>
    <w:p w14:paraId="24C31E27">
      <w:pPr>
        <w:pStyle w:val="4"/>
      </w:pPr>
    </w:p>
    <w:p w14:paraId="69555531">
      <w:pPr>
        <w:snapToGrid w:val="0"/>
        <w:ind w:firstLine="480"/>
        <w:rPr>
          <w:snapToGrid w:val="0"/>
        </w:rPr>
      </w:pPr>
    </w:p>
    <w:p w14:paraId="412B133F">
      <w:pPr>
        <w:ind w:firstLine="480"/>
      </w:pPr>
    </w:p>
    <w:p w14:paraId="43D8D95F">
      <w:pPr>
        <w:ind w:firstLine="480"/>
      </w:pPr>
    </w:p>
    <w:p w14:paraId="1C5266B3">
      <w:pPr>
        <w:ind w:firstLine="480"/>
      </w:pPr>
    </w:p>
    <w:p w14:paraId="6F6D9008">
      <w:pPr>
        <w:ind w:firstLine="480"/>
      </w:pPr>
    </w:p>
    <w:p w14:paraId="31992B22">
      <w:pPr>
        <w:ind w:firstLine="480"/>
      </w:pPr>
    </w:p>
    <w:p w14:paraId="696F7330">
      <w:pPr>
        <w:ind w:firstLine="480"/>
      </w:pPr>
    </w:p>
    <w:p w14:paraId="6A400F80">
      <w:pPr>
        <w:ind w:firstLine="480"/>
      </w:pPr>
    </w:p>
    <w:p w14:paraId="34342C59">
      <w:pPr>
        <w:ind w:firstLine="480"/>
      </w:pPr>
    </w:p>
    <w:p w14:paraId="1D2B908A">
      <w:pPr>
        <w:tabs>
          <w:tab w:val="left" w:pos="6135"/>
        </w:tabs>
        <w:ind w:firstLine="480"/>
      </w:pPr>
      <w:r>
        <w:tab/>
      </w:r>
    </w:p>
    <w:p w14:paraId="1CAC8529">
      <w:pPr>
        <w:ind w:firstLine="480"/>
      </w:pPr>
    </w:p>
    <w:sectPr>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9F133F0-1294-48F7-A7CF-7C4CDF02B991}"/>
  </w:font>
  <w:font w:name="黑体">
    <w:panose1 w:val="02010609060101010101"/>
    <w:charset w:val="86"/>
    <w:family w:val="auto"/>
    <w:pitch w:val="default"/>
    <w:sig w:usb0="800002BF" w:usb1="38CF7CFA" w:usb2="00000016" w:usb3="00000000" w:csb0="00040001" w:csb1="00000000"/>
    <w:embedRegular r:id="rId2" w:fontKey="{09C2D5C7-145F-4F74-83CE-2BA025D1D97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3" w:fontKey="{E86AA3A7-C899-4453-96DD-CAFB5359DE0A}"/>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embedRegular r:id="rId4" w:fontKey="{1A28A631-53FA-4CAD-BCC8-5C3924E35124}"/>
  </w:font>
  <w:font w:name="Cambria Math">
    <w:panose1 w:val="02040503050406030204"/>
    <w:charset w:val="00"/>
    <w:family w:val="roman"/>
    <w:pitch w:val="default"/>
    <w:sig w:usb0="E00006FF" w:usb1="420024FF" w:usb2="02000000" w:usb3="00000000" w:csb0="2000019F" w:csb1="00000000"/>
    <w:embedRegular r:id="rId5" w:fontKey="{28E33738-0E3C-451B-9EA9-D7DB743FE317}"/>
  </w:font>
  <w:font w:name="MS Mincho">
    <w:altName w:val="JetBrains Mono"/>
    <w:panose1 w:val="00000000000000000000"/>
    <w:charset w:val="00"/>
    <w:family w:val="auto"/>
    <w:pitch w:val="default"/>
    <w:sig w:usb0="00000000" w:usb1="00000000" w:usb2="00000000" w:usb3="00000000" w:csb0="00000000" w:csb1="00000000"/>
    <w:embedRegular r:id="rId6" w:fontKey="{5679F787-2E9B-47C3-AC7F-D4D1CCDC03E1}"/>
  </w:font>
  <w:font w:name="JetBrains Mono">
    <w:panose1 w:val="02000009000000000000"/>
    <w:charset w:val="00"/>
    <w:family w:val="auto"/>
    <w:pitch w:val="default"/>
    <w:sig w:usb0="A00402FF" w:usb1="1200F9FB" w:usb2="02000028" w:usb3="00000000" w:csb0="2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7285">
    <w:pPr>
      <w:pStyle w:val="18"/>
      <w:jc w:val="both"/>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C2F5C">
    <w:pPr>
      <w:pStyle w:val="18"/>
      <w:pBdr>
        <w:top w:val="none" w:color="auto" w:sz="0" w:space="1"/>
        <w:left w:val="none" w:color="auto" w:sz="0" w:space="4"/>
        <w:bottom w:val="none" w:color="auto" w:sz="0" w:space="1"/>
        <w:right w:val="none" w:color="auto" w:sz="0" w:space="4"/>
      </w:pBd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-45085</wp:posOffset>
              </wp:positionV>
              <wp:extent cx="501650" cy="17589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501650" cy="175895"/>
                      </a:xfrm>
                      <a:prstGeom prst="rect">
                        <a:avLst/>
                      </a:prstGeom>
                      <a:noFill/>
                      <a:ln>
                        <a:noFill/>
                      </a:ln>
                    </wps:spPr>
                    <wps:txbx>
                      <w:txbxContent>
                        <w:p w14:paraId="5401E57E">
                          <w:pPr>
                            <w:pStyle w:val="18"/>
                            <w:pBdr>
                              <w:top w:val="none" w:color="auto" w:sz="0" w:space="1"/>
                              <w:left w:val="none" w:color="auto" w:sz="0" w:space="4"/>
                              <w:bottom w:val="none" w:color="auto" w:sz="0" w:space="1"/>
                              <w:right w:val="none" w:color="auto" w:sz="0" w:space="4"/>
                            </w:pBdr>
                          </w:pPr>
                          <w:r>
                            <w:rPr>
                              <w:szCs w:val="21"/>
                            </w:rPr>
                            <w:fldChar w:fldCharType="begin"/>
                          </w:r>
                          <w:r>
                            <w:rPr>
                              <w:szCs w:val="21"/>
                            </w:rPr>
                            <w:instrText xml:space="preserve"> PAGE  \* MERGEFORMAT </w:instrText>
                          </w:r>
                          <w:r>
                            <w:rPr>
                              <w:szCs w:val="21"/>
                            </w:rPr>
                            <w:fldChar w:fldCharType="separate"/>
                          </w:r>
                          <w:r>
                            <w:rPr>
                              <w:szCs w:val="21"/>
                            </w:rPr>
                            <w:t>I</w:t>
                          </w:r>
                          <w:r>
                            <w:rPr>
                              <w:szCs w:val="21"/>
                            </w:rPr>
                            <w:fldChar w:fldCharType="end"/>
                          </w:r>
                        </w:p>
                      </w:txbxContent>
                    </wps:txbx>
                    <wps:bodyPr wrap="square" lIns="0" tIns="0" rIns="0" bIns="0"/>
                  </wps:wsp>
                </a:graphicData>
              </a:graphic>
            </wp:anchor>
          </w:drawing>
        </mc:Choice>
        <mc:Fallback>
          <w:pict>
            <v:shape id="文本框 10" o:spid="_x0000_s1026" o:spt="202" type="#_x0000_t202" style="position:absolute;left:0pt;margin-top:-3.55pt;height:13.85pt;width:39.5pt;mso-position-horizontal:center;mso-position-horizontal-relative:margin;z-index:251659264;mso-width-relative:page;mso-height-relative:page;" filled="f" stroked="f" coordsize="21600,21600" o:gfxdata="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5ZSGeNQAAAAFAQAADwAAAAAAAAABACAAAAAiAAAAZHJzL2Rvd25yZXYueG1sUEsBAhQA&#10;FAAAAAgAh07iQJFjB229AQAAdAMAAA4AAAAAAAAAAQAgAAAAIwEAAGRycy9lMm9Eb2MueG1sUEsF&#10;BgAAAAAGAAYAWQEAAFIFAAAAAA==&#10;">
              <v:fill on="f" focussize="0,0"/>
              <v:stroke on="f"/>
              <v:imagedata o:title=""/>
              <o:lock v:ext="edit" aspectratio="f"/>
              <v:textbox inset="0mm,0mm,0mm,0mm">
                <w:txbxContent>
                  <w:p w14:paraId="5401E57E">
                    <w:pPr>
                      <w:pStyle w:val="18"/>
                      <w:pBdr>
                        <w:top w:val="none" w:color="auto" w:sz="0" w:space="1"/>
                        <w:left w:val="none" w:color="auto" w:sz="0" w:space="4"/>
                        <w:bottom w:val="none" w:color="auto" w:sz="0" w:space="1"/>
                        <w:right w:val="none" w:color="auto" w:sz="0" w:space="4"/>
                      </w:pBdr>
                    </w:pPr>
                    <w:r>
                      <w:rPr>
                        <w:szCs w:val="21"/>
                      </w:rPr>
                      <w:fldChar w:fldCharType="begin"/>
                    </w:r>
                    <w:r>
                      <w:rPr>
                        <w:szCs w:val="21"/>
                      </w:rPr>
                      <w:instrText xml:space="preserve"> PAGE  \* MERGEFORMAT </w:instrText>
                    </w:r>
                    <w:r>
                      <w:rPr>
                        <w:szCs w:val="21"/>
                      </w:rPr>
                      <w:fldChar w:fldCharType="separate"/>
                    </w:r>
                    <w:r>
                      <w:rPr>
                        <w:szCs w:val="21"/>
                      </w:rPr>
                      <w:t>I</w:t>
                    </w:r>
                    <w:r>
                      <w:rPr>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6ABB1">
    <w:pPr>
      <w:pStyle w:val="18"/>
      <w:jc w:val="both"/>
      <w:rPr>
        <w:bCs/>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-45085</wp:posOffset>
              </wp:positionV>
              <wp:extent cx="334645" cy="161925"/>
              <wp:effectExtent l="0" t="0" r="0" b="0"/>
              <wp:wrapNone/>
              <wp:docPr id="8"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09CCE5AE">
                          <w:pPr>
                            <w:pStyle w:val="18"/>
                            <w:rPr>
                              <w:szCs w:val="21"/>
                            </w:rPr>
                          </w:pPr>
                          <w:r>
                            <w:rPr>
                              <w:szCs w:val="21"/>
                            </w:rPr>
                            <w:fldChar w:fldCharType="begin"/>
                          </w:r>
                          <w:r>
                            <w:rPr>
                              <w:szCs w:val="21"/>
                            </w:rPr>
                            <w:instrText xml:space="preserve"> PAGE  \* MERGEFORMAT </w:instrText>
                          </w:r>
                          <w:r>
                            <w:rPr>
                              <w:szCs w:val="21"/>
                            </w:rPr>
                            <w:fldChar w:fldCharType="separate"/>
                          </w:r>
                          <w:r>
                            <w:rPr>
                              <w:szCs w:val="21"/>
                            </w:rPr>
                            <w:t>II</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0288;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JazJenFAQAAgAMAAA4AAAAAAAAAAQAgAAAAJAEAAGRycy9lMm9E&#10;b2MueG1sUEsFBgAAAAAGAAYAWQEAAFsFAAAAAA==&#10;">
              <v:fill on="f" focussize="0,0"/>
              <v:stroke on="f"/>
              <v:imagedata o:title=""/>
              <o:lock v:ext="edit" aspectratio="f"/>
              <v:textbox inset="0mm,0mm,0mm,0mm">
                <w:txbxContent>
                  <w:p w14:paraId="09CCE5AE">
                    <w:pPr>
                      <w:pStyle w:val="18"/>
                      <w:rPr>
                        <w:szCs w:val="21"/>
                      </w:rPr>
                    </w:pPr>
                    <w:r>
                      <w:rPr>
                        <w:szCs w:val="21"/>
                      </w:rPr>
                      <w:fldChar w:fldCharType="begin"/>
                    </w:r>
                    <w:r>
                      <w:rPr>
                        <w:szCs w:val="21"/>
                      </w:rPr>
                      <w:instrText xml:space="preserve"> PAGE  \* MERGEFORMAT </w:instrText>
                    </w:r>
                    <w:r>
                      <w:rPr>
                        <w:szCs w:val="21"/>
                      </w:rPr>
                      <w:fldChar w:fldCharType="separate"/>
                    </w:r>
                    <w:r>
                      <w:rPr>
                        <w:szCs w:val="21"/>
                      </w:rPr>
                      <w:t>II</w:t>
                    </w:r>
                    <w:r>
                      <w:rPr>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B15C5">
    <w:pPr>
      <w:pStyle w:val="18"/>
      <w:pBdr>
        <w:top w:val="none" w:color="auto" w:sz="0" w:space="1"/>
        <w:left w:val="none" w:color="auto" w:sz="0" w:space="4"/>
        <w:bottom w:val="none" w:color="auto" w:sz="0" w:space="1"/>
        <w:right w:val="none" w:color="auto" w:sz="0" w:space="4"/>
      </w:pBdr>
      <w:rPr>
        <w:szCs w:val="21"/>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-45085</wp:posOffset>
              </wp:positionV>
              <wp:extent cx="372745" cy="177165"/>
              <wp:effectExtent l="0" t="0" r="0" b="0"/>
              <wp:wrapNone/>
              <wp:docPr id="13" name="文本框 16"/>
              <wp:cNvGraphicFramePr/>
              <a:graphic xmlns:a="http://schemas.openxmlformats.org/drawingml/2006/main">
                <a:graphicData uri="http://schemas.microsoft.com/office/word/2010/wordprocessingShape">
                  <wps:wsp>
                    <wps:cNvSpPr txBox="1"/>
                    <wps:spPr>
                      <a:xfrm>
                        <a:off x="0" y="0"/>
                        <a:ext cx="372745" cy="177165"/>
                      </a:xfrm>
                      <a:prstGeom prst="rect">
                        <a:avLst/>
                      </a:prstGeom>
                      <a:noFill/>
                      <a:ln>
                        <a:noFill/>
                      </a:ln>
                    </wps:spPr>
                    <wps:txbx>
                      <w:txbxContent>
                        <w:p w14:paraId="41C8ABBC">
                          <w:pPr>
                            <w:pStyle w:val="18"/>
                            <w:rPr>
                              <w:szCs w:val="21"/>
                            </w:rPr>
                          </w:pPr>
                          <w:r>
                            <w:rPr>
                              <w:szCs w:val="21"/>
                            </w:rPr>
                            <w:fldChar w:fldCharType="begin"/>
                          </w:r>
                          <w:r>
                            <w:rPr>
                              <w:szCs w:val="21"/>
                            </w:rPr>
                            <w:instrText xml:space="preserve"> PAGE  \* MERGEFORMAT </w:instrText>
                          </w:r>
                          <w:r>
                            <w:rPr>
                              <w:szCs w:val="21"/>
                            </w:rPr>
                            <w:fldChar w:fldCharType="separate"/>
                          </w:r>
                          <w:r>
                            <w:rPr>
                              <w:szCs w:val="21"/>
                            </w:rPr>
                            <w:t>III</w:t>
                          </w:r>
                          <w:r>
                            <w:rPr>
                              <w:szCs w:val="21"/>
                            </w:rPr>
                            <w:fldChar w:fldCharType="end"/>
                          </w:r>
                        </w:p>
                      </w:txbxContent>
                    </wps:txbx>
                    <wps:bodyPr wrap="square" lIns="0" tIns="0" rIns="0" bIns="0"/>
                  </wps:wsp>
                </a:graphicData>
              </a:graphic>
            </wp:anchor>
          </w:drawing>
        </mc:Choice>
        <mc:Fallback>
          <w:pict>
            <v:shape id="文本框 16" o:spid="_x0000_s1026" o:spt="202" type="#_x0000_t202" style="position:absolute;left:0pt;margin-top:-3.55pt;height:13.95pt;width:29.35pt;mso-position-horizontal:center;mso-position-horizontal-relative:margin;z-index:251662336;mso-width-relative:page;mso-height-relative:page;" filled="f" stroked="f" coordsize="21600,21600" o:gfxdata="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IuU+dUAAAAFAQAADwAAAAAAAAABACAAAAAiAAAAZHJzL2Rvd25yZXYueG1sUEsB&#10;AhQAFAAAAAgAh07iQMjWpJC/AQAAdQMAAA4AAAAAAAAAAQAgAAAAJAEAAGRycy9lMm9Eb2MueG1s&#10;UEsFBgAAAAAGAAYAWQEAAFUFAAAAAA==&#10;">
              <v:fill on="f" focussize="0,0"/>
              <v:stroke on="f"/>
              <v:imagedata o:title=""/>
              <o:lock v:ext="edit" aspectratio="f"/>
              <v:textbox inset="0mm,0mm,0mm,0mm">
                <w:txbxContent>
                  <w:p w14:paraId="41C8ABBC">
                    <w:pPr>
                      <w:pStyle w:val="18"/>
                      <w:rPr>
                        <w:szCs w:val="21"/>
                      </w:rPr>
                    </w:pPr>
                    <w:r>
                      <w:rPr>
                        <w:szCs w:val="21"/>
                      </w:rPr>
                      <w:fldChar w:fldCharType="begin"/>
                    </w:r>
                    <w:r>
                      <w:rPr>
                        <w:szCs w:val="21"/>
                      </w:rPr>
                      <w:instrText xml:space="preserve"> PAGE  \* MERGEFORMAT </w:instrText>
                    </w:r>
                    <w:r>
                      <w:rPr>
                        <w:szCs w:val="21"/>
                      </w:rPr>
                      <w:fldChar w:fldCharType="separate"/>
                    </w:r>
                    <w:r>
                      <w:rPr>
                        <w:szCs w:val="21"/>
                      </w:rPr>
                      <w:t>III</w:t>
                    </w:r>
                    <w:r>
                      <w:rPr>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DCD58">
    <w:pPr>
      <w:pStyle w:val="18"/>
      <w:jc w:val="both"/>
      <w:rPr>
        <w:bCs/>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-45085</wp:posOffset>
              </wp:positionV>
              <wp:extent cx="1828800" cy="1828800"/>
              <wp:effectExtent l="0" t="0" r="0" b="0"/>
              <wp:wrapNone/>
              <wp:docPr id="14"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B8C651">
                          <w:pPr>
                            <w:pStyle w:val="18"/>
                          </w:pPr>
                          <w:r>
                            <w:fldChar w:fldCharType="begin"/>
                          </w:r>
                          <w:r>
                            <w:instrText xml:space="preserve"> PAGE  \* MERGEFORMAT </w:instrText>
                          </w:r>
                          <w:r>
                            <w:fldChar w:fldCharType="separate"/>
                          </w:r>
                          <w:r>
                            <w:t>I</w:t>
                          </w:r>
                          <w:r>
                            <w:fldChar w:fldCharType="end"/>
                          </w:r>
                        </w:p>
                      </w:txbxContent>
                    </wps:txbx>
                    <wps:bodyPr wrap="none" lIns="0" tIns="0" rIns="0" bIns="0">
                      <a:spAutoFit/>
                    </wps:bodyPr>
                  </wps:wsp>
                </a:graphicData>
              </a:graphic>
            </wp:anchor>
          </w:drawing>
        </mc:Choice>
        <mc:Fallback>
          <w:pict>
            <v:shape id="文本框 17" o:spid="_x0000_s1026" o:spt="202" type="#_x0000_t202" style="position:absolute;left:0pt;margin-top:-3.55pt;height:144pt;width:144pt;mso-position-horizontal:center;mso-position-horizontal-relative:margin;mso-wrap-style:none;z-index:251663360;mso-width-relative:page;mso-height-relative:page;" filled="f" stroked="f" coordsize="21600,21600" o:gfxdata="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b4oPTAAAABwEAAA8AAAAAAAAAAQAgAAAAIgAAAGRycy9kb3ducmV2LnhtbFBL&#10;AQIUABQAAAAIAIdO4kDhKibiwgEAAI8DAAAOAAAAAAAAAAEAIAAAACIBAABkcnMvZTJvRG9jLnht&#10;bFBLBQYAAAAABgAGAFkBAABWBQAAAAA=&#10;">
              <v:fill on="f" focussize="0,0"/>
              <v:stroke on="f"/>
              <v:imagedata o:title=""/>
              <o:lock v:ext="edit" aspectratio="f"/>
              <v:textbox inset="0mm,0mm,0mm,0mm" style="mso-fit-shape-to-text:t;">
                <w:txbxContent>
                  <w:p w14:paraId="1CB8C651">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FB807">
    <w:pPr>
      <w:ind w:firstLine="48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-45085</wp:posOffset>
              </wp:positionV>
              <wp:extent cx="447675" cy="175895"/>
              <wp:effectExtent l="0" t="0" r="0" b="0"/>
              <wp:wrapNone/>
              <wp:docPr id="9" name="文本框 8"/>
              <wp:cNvGraphicFramePr/>
              <a:graphic xmlns:a="http://schemas.openxmlformats.org/drawingml/2006/main">
                <a:graphicData uri="http://schemas.microsoft.com/office/word/2010/wordprocessingShape">
                  <wps:wsp>
                    <wps:cNvSpPr txBox="1"/>
                    <wps:spPr>
                      <a:xfrm>
                        <a:off x="0" y="0"/>
                        <a:ext cx="447675" cy="175895"/>
                      </a:xfrm>
                      <a:prstGeom prst="rect">
                        <a:avLst/>
                      </a:prstGeom>
                      <a:noFill/>
                      <a:ln>
                        <a:noFill/>
                      </a:ln>
                    </wps:spPr>
                    <wps:txbx>
                      <w:txbxContent>
                        <w:p w14:paraId="53923E8B">
                          <w:pPr>
                            <w:pStyle w:val="18"/>
                          </w:pPr>
                          <w:r>
                            <w:fldChar w:fldCharType="begin"/>
                          </w:r>
                          <w:r>
                            <w:instrText xml:space="preserve"> PAGE  \* MERGEFORMAT </w:instrText>
                          </w:r>
                          <w:r>
                            <w:fldChar w:fldCharType="separate"/>
                          </w:r>
                          <w:r>
                            <w:t>11</w:t>
                          </w:r>
                          <w:r>
                            <w:fldChar w:fldCharType="end"/>
                          </w:r>
                        </w:p>
                      </w:txbxContent>
                    </wps:txbx>
                    <wps:bodyPr wrap="square" lIns="0" tIns="0" rIns="0" bIns="0"/>
                  </wps:wsp>
                </a:graphicData>
              </a:graphic>
            </wp:anchor>
          </w:drawing>
        </mc:Choice>
        <mc:Fallback>
          <w:pict>
            <v:shape id="文本框 8" o:spid="_x0000_s1026" o:spt="202" type="#_x0000_t202" style="position:absolute;left:0pt;margin-top:-3.55pt;height:13.85pt;width:35.25pt;mso-position-horizontal:center;mso-position-horizontal-relative:margin;z-index:251661312;mso-width-relative:page;mso-height-relative:page;" filled="f" stroked="f" coordsize="21600,21600" o:gfxdata="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U8VF71QAAAAUBAAAPAAAAAAAAAAEAIAAAACIAAABkcnMvZG93bnJldi54bWxQSwEC&#10;FAAUAAAACACHTuJAForHK74BAABzAwAADgAAAAAAAAABACAAAAAkAQAAZHJzL2Uyb0RvYy54bWxQ&#10;SwUGAAAAAAYABgBZAQAAVAUAAAAA&#10;">
              <v:fill on="f" focussize="0,0"/>
              <v:stroke on="f"/>
              <v:imagedata o:title=""/>
              <o:lock v:ext="edit" aspectratio="f"/>
              <v:textbox inset="0mm,0mm,0mm,0mm">
                <w:txbxContent>
                  <w:p w14:paraId="53923E8B">
                    <w:pPr>
                      <w:pStyle w:val="18"/>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BE296">
    <w:pPr>
      <w:pStyle w:val="18"/>
      <w:jc w:val="both"/>
      <w:rPr>
        <w:bCs/>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-45085</wp:posOffset>
              </wp:positionV>
              <wp:extent cx="1828800" cy="1828800"/>
              <wp:effectExtent l="0" t="0" r="0" b="0"/>
              <wp:wrapNone/>
              <wp:docPr id="19"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203E94">
                          <w:pPr>
                            <w:pStyle w:val="18"/>
                          </w:pPr>
                          <w:r>
                            <w:fldChar w:fldCharType="begin"/>
                          </w:r>
                          <w:r>
                            <w:instrText xml:space="preserve"> PAGE  \* MERGEFORMAT </w:instrText>
                          </w:r>
                          <w:r>
                            <w:fldChar w:fldCharType="separate"/>
                          </w:r>
                          <w:r>
                            <w:t>I</w:t>
                          </w:r>
                          <w:r>
                            <w:fldChar w:fldCharType="end"/>
                          </w:r>
                        </w:p>
                      </w:txbxContent>
                    </wps:txbx>
                    <wps:bodyPr wrap="none" lIns="0" tIns="0" rIns="0" bIns="0">
                      <a:spAutoFit/>
                    </wps:bodyPr>
                  </wps:wsp>
                </a:graphicData>
              </a:graphic>
            </wp:anchor>
          </w:drawing>
        </mc:Choice>
        <mc:Fallback>
          <w:pict>
            <v:shape id="文本框 17" o:spid="_x0000_s1026" o:spt="202" type="#_x0000_t202" style="position:absolute;left:0pt;margin-top:-3.55pt;height:144pt;width:144pt;mso-position-horizontal:center;mso-position-horizontal-relative:margin;mso-wrap-style:none;z-index:251666432;mso-width-relative:page;mso-height-relative:page;" filled="f" stroked="f" coordsize="21600,21600" o:gfxdata="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b4oPTAAAABwEAAA8AAAAAAAAAAQAgAAAAIgAAAGRycy9kb3ducmV2LnhtbFBL&#10;AQIUABQAAAAIAIdO4kCRjiUwwgEAAI8DAAAOAAAAAAAAAAEAIAAAACIBAABkcnMvZTJvRG9jLnht&#10;bFBLBQYAAAAABgAGAFkBAABWBQAAAAA=&#10;">
              <v:fill on="f" focussize="0,0"/>
              <v:stroke on="f"/>
              <v:imagedata o:title=""/>
              <o:lock v:ext="edit" aspectratio="f"/>
              <v:textbox inset="0mm,0mm,0mm,0mm" style="mso-fit-shape-to-text:t;">
                <w:txbxContent>
                  <w:p w14:paraId="60203E94">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F6CA1">
    <w:pPr>
      <w:pStyle w:val="18"/>
      <w:jc w:val="both"/>
      <w:rPr>
        <w:bCs/>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-45085</wp:posOffset>
              </wp:positionV>
              <wp:extent cx="334645" cy="161925"/>
              <wp:effectExtent l="0" t="0" r="0" b="0"/>
              <wp:wrapNone/>
              <wp:docPr id="6"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183BA1DA">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5408;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NHk7hPFAQAAgAMAAA4AAAAAAAAAAQAgAAAAJAEAAGRycy9lMm9E&#10;b2MueG1sUEsFBgAAAAAGAAYAWQEAAFsFAAAAAA==&#10;">
              <v:fill on="f" focussize="0,0"/>
              <v:stroke on="f"/>
              <v:imagedata o:title=""/>
              <o:lock v:ext="edit" aspectratio="f"/>
              <v:textbox inset="0mm,0mm,0mm,0mm">
                <w:txbxContent>
                  <w:p w14:paraId="183BA1DA">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B548D">
    <w:pPr>
      <w:pStyle w:val="18"/>
      <w:jc w:val="both"/>
      <w:rPr>
        <w:bCs/>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-45085</wp:posOffset>
              </wp:positionV>
              <wp:extent cx="334645" cy="161925"/>
              <wp:effectExtent l="0" t="0" r="0" b="0"/>
              <wp:wrapNone/>
              <wp:docPr id="4"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4A8C3F99">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4384;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BAjrTbFAQAAgAMAAA4AAAAAAAAAAQAgAAAAJAEAAGRycy9lMm9E&#10;b2MueG1sUEsFBgAAAAAGAAYAWQEAAFsFAAAAAA==&#10;">
              <v:fill on="f" focussize="0,0"/>
              <v:stroke on="f"/>
              <v:imagedata o:title=""/>
              <o:lock v:ext="edit" aspectratio="f"/>
              <v:textbox inset="0mm,0mm,0mm,0mm">
                <w:txbxContent>
                  <w:p w14:paraId="4A8C3F99">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1BE17">
    <w:pPr>
      <w:ind w:firstLine="560"/>
      <w:jc w:val="center"/>
      <w:rPr>
        <w:rFonts w:eastAsia="隶书"/>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453CD">
    <w:pPr>
      <w:pStyle w:val="1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19F17">
    <w:pPr>
      <w:pStyle w:val="19"/>
      <w:bidi w:val="0"/>
    </w:pPr>
    <w:r>
      <w:rPr>
        <w:rFonts w:hint="eastAsia"/>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DFC50">
    <w:pPr>
      <w:pStyle w:val="19"/>
      <w:pBdr>
        <w:bottom w:val="single" w:color="auto" w:sz="4" w:space="1"/>
      </w:pBdr>
      <w:rPr>
        <w:szCs w:val="21"/>
      </w:rPr>
    </w:pPr>
    <w:r>
      <w:rPr>
        <w:rFonts w:hint="eastAsia" w:hAnsi="宋体"/>
      </w:rPr>
      <w:t>北京邮电大学硕士学位论文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FCAC7">
    <w:pPr>
      <w:pStyle w:val="19"/>
      <w:bidi w:val="0"/>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FE8C3">
    <w:pPr>
      <w:pStyle w:val="19"/>
      <w:pBdr>
        <w:bottom w:val="single" w:color="auto" w:sz="4" w:space="1"/>
      </w:pBdr>
      <w:rPr>
        <w:szCs w:val="21"/>
      </w:rPr>
    </w:pPr>
    <w:r>
      <w:rPr>
        <w:rFonts w:hint="eastAsia" w:hAnsi="宋体"/>
      </w:rPr>
      <w:t>北京邮电大学硕士学位论文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849FC">
    <w:pPr>
      <w:pStyle w:val="19"/>
      <w:bidi w:val="0"/>
      <w:rPr>
        <w:rFonts w:hint="eastAsia" w:eastAsia="宋体"/>
        <w:lang w:eastAsia="zh-CN"/>
      </w:rPr>
    </w:pPr>
    <w:r>
      <w:rPr>
        <w:rFonts w:hint="eastAsia"/>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9F570">
    <w:pPr>
      <w:pStyle w:val="19"/>
      <w:pBdr>
        <w:bottom w:val="single" w:color="auto" w:sz="4" w:space="1"/>
      </w:pBdr>
      <w:rPr>
        <w:szCs w:val="21"/>
      </w:rPr>
    </w:pPr>
    <w:r>
      <w:rPr>
        <w:rFonts w:hint="eastAsia" w:hAnsi="宋体"/>
      </w:rPr>
      <w:t>北京邮电大学硕士学位论文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02BD">
    <w:pPr>
      <w:pStyle w:val="19"/>
      <w:rPr>
        <w:rFonts w:hint="default" w:eastAsia="宋体"/>
        <w:lang w:val="en-US" w:eastAsia="zh-CN"/>
      </w:rPr>
    </w:pPr>
    <w:r>
      <w:rPr>
        <w:rFonts w:hint="eastAsia"/>
        <w:lang w:val="en-US" w:eastAsia="zh-CN"/>
      </w:rPr>
      <w:t>第一章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064E4">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69F9">
    <w:pPr>
      <w:pStyle w:val="19"/>
      <w:rPr>
        <w:rFonts w:hint="default" w:eastAsia="宋体"/>
        <w:lang w:val="en-US" w:eastAsia="zh-CN"/>
      </w:rPr>
    </w:pPr>
    <w:r>
      <w:rPr>
        <w:rFonts w:hint="eastAsia"/>
      </w:rPr>
      <w:t>第</w:t>
    </w:r>
    <w:r>
      <w:rPr>
        <w:rFonts w:hint="eastAsia"/>
        <w:lang w:val="en-US" w:eastAsia="zh-CN"/>
      </w:rPr>
      <w:t>二</w:t>
    </w:r>
    <w:r>
      <w:rPr>
        <w:rFonts w:hint="eastAsia"/>
      </w:rPr>
      <w:t xml:space="preserve">章  </w:t>
    </w:r>
    <w:r>
      <w:rPr>
        <w:rFonts w:hint="eastAsia"/>
        <w:lang w:val="en-US" w:eastAsia="zh-CN"/>
      </w:rPr>
      <w:t>相关理论及背景知识</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C1848">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6F885">
    <w:pPr>
      <w:pStyle w:val="19"/>
      <w:rPr>
        <w:rFonts w:hint="eastAsia"/>
      </w:rPr>
    </w:pPr>
    <w:r>
      <w:rPr>
        <w:rFonts w:hint="eastAsia"/>
      </w:rPr>
      <w:t>第三章  面向电力场景可信训推与RAG安全研究的孪生可视平台研发</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EB1E">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3358">
    <w:pPr>
      <w:pStyle w:val="19"/>
      <w:rPr>
        <w:rFonts w:hint="eastAsia"/>
      </w:rPr>
    </w:pPr>
    <w:r>
      <w:rPr>
        <w:rFonts w:hint="eastAsia"/>
      </w:rPr>
      <w:t>第四章  基于遗传算法的RAG系统知识库毒化攻击方法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217F">
    <w:pPr>
      <w:pStyle w:val="19"/>
    </w:pPr>
    <w:r>
      <w:rPr>
        <w:rFonts w:hint="eastAsia"/>
      </w:rPr>
      <w:t>第五章  面向电力场景RAG系统知识库毒化防御</w:t>
    </w:r>
    <w:r>
      <w:rPr>
        <w:rFonts w:hint="eastAsia"/>
        <w:lang w:val="en-US" w:eastAsia="zh-CN"/>
      </w:rPr>
      <w:t>研究</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3A239">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5BB00">
    <w:pPr>
      <w:pStyle w:val="19"/>
    </w:pPr>
    <w:r>
      <w:rPr>
        <w:rFonts w:hint="eastAsia"/>
      </w:rPr>
      <w:t>第六章  电力人工智能应用的安全靶场系统设计与实现</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4DB1B">
    <w:pPr>
      <w:pStyle w:val="19"/>
      <w:rPr>
        <w:rFonts w:hint="default" w:eastAsia="宋体"/>
        <w:lang w:val="en-US" w:eastAsia="zh-CN"/>
      </w:rPr>
    </w:pPr>
    <w:r>
      <w:rPr>
        <w:rFonts w:hint="eastAsia"/>
        <w:lang w:val="en-US" w:eastAsia="zh-CN"/>
      </w:rPr>
      <w:t>第七章  总结与展望</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D76C2">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86B19">
    <w:pPr>
      <w:pStyle w:val="19"/>
    </w:pPr>
    <w:r>
      <w:rPr>
        <w:rFonts w:hint="eastAsia"/>
      </w:rPr>
      <w:t>参考文献</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8A550">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E75C8">
    <w:pPr>
      <w:pStyle w:val="19"/>
      <w:bidi w:val="0"/>
    </w:pPr>
    <w:r>
      <w:rPr>
        <w:rFonts w:hint="eastAsia"/>
      </w:rPr>
      <w:t>致  谢</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842AE">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6EA7A">
    <w:pPr>
      <w:pBdr>
        <w:top w:val="none" w:color="auto" w:sz="0" w:space="1"/>
        <w:left w:val="none" w:color="auto" w:sz="0" w:space="4"/>
        <w:bottom w:val="single" w:color="auto" w:sz="4" w:space="0"/>
        <w:right w:val="none" w:color="auto" w:sz="0" w:space="4"/>
      </w:pBdr>
      <w:ind w:firstLine="3600" w:firstLineChars="2000"/>
      <w:rPr>
        <w:sz w:val="18"/>
        <w:szCs w:val="21"/>
      </w:rPr>
    </w:pPr>
    <w:r>
      <w:rPr>
        <w:rFonts w:hint="eastAsia"/>
        <w:sz w:val="18"/>
        <w:szCs w:val="21"/>
      </w:rPr>
      <w:t>作者学习经历</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85A4A">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4FDAB"/>
    <w:multiLevelType w:val="singleLevel"/>
    <w:tmpl w:val="8BC4FDAB"/>
    <w:lvl w:ilvl="0" w:tentative="0">
      <w:start w:val="1"/>
      <w:numFmt w:val="decimal"/>
      <w:suff w:val="nothing"/>
      <w:lvlText w:val="（%1）"/>
      <w:lvlJc w:val="left"/>
    </w:lvl>
  </w:abstractNum>
  <w:abstractNum w:abstractNumId="1">
    <w:nsid w:val="9238C028"/>
    <w:multiLevelType w:val="singleLevel"/>
    <w:tmpl w:val="9238C028"/>
    <w:lvl w:ilvl="0" w:tentative="0">
      <w:start w:val="1"/>
      <w:numFmt w:val="decimal"/>
      <w:suff w:val="nothing"/>
      <w:lvlText w:val="（%1）"/>
      <w:lvlJc w:val="left"/>
    </w:lvl>
  </w:abstractNum>
  <w:abstractNum w:abstractNumId="2">
    <w:nsid w:val="E0F353ED"/>
    <w:multiLevelType w:val="singleLevel"/>
    <w:tmpl w:val="E0F353ED"/>
    <w:lvl w:ilvl="0" w:tentative="0">
      <w:start w:val="1"/>
      <w:numFmt w:val="decimal"/>
      <w:suff w:val="nothing"/>
      <w:lvlText w:val="（%1）"/>
      <w:lvlJc w:val="left"/>
    </w:lvl>
  </w:abstractNum>
  <w:abstractNum w:abstractNumId="3">
    <w:nsid w:val="018DDE42"/>
    <w:multiLevelType w:val="multilevel"/>
    <w:tmpl w:val="018DDE42"/>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2A6C3D4"/>
    <w:multiLevelType w:val="singleLevel"/>
    <w:tmpl w:val="02A6C3D4"/>
    <w:lvl w:ilvl="0" w:tentative="0">
      <w:start w:val="1"/>
      <w:numFmt w:val="decimal"/>
      <w:suff w:val="nothing"/>
      <w:lvlText w:val="（%1）"/>
      <w:lvlJc w:val="left"/>
    </w:lvl>
  </w:abstractNum>
  <w:abstractNum w:abstractNumId="5">
    <w:nsid w:val="04D780DE"/>
    <w:multiLevelType w:val="singleLevel"/>
    <w:tmpl w:val="04D780DE"/>
    <w:lvl w:ilvl="0" w:tentative="0">
      <w:start w:val="1"/>
      <w:numFmt w:val="decimal"/>
      <w:suff w:val="nothing"/>
      <w:lvlText w:val="（%1）"/>
      <w:lvlJc w:val="left"/>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80"/>
  <w:evenAndOddHeaders w:val="1"/>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U2YWRlN2ZkYjg5NmU0OTUzNmM2YTYwMjMzMTFjZGUifQ=="/>
    <w:docVar w:name="KSO_WPS_MARK_KEY" w:val="897bf7a0-7f58-4109-a876-b3cbdf7fdc66"/>
  </w:docVars>
  <w:rsids>
    <w:rsidRoot w:val="00C026EC"/>
    <w:rsid w:val="000227D6"/>
    <w:rsid w:val="000713A5"/>
    <w:rsid w:val="00092509"/>
    <w:rsid w:val="000E019C"/>
    <w:rsid w:val="000E11B9"/>
    <w:rsid w:val="000F571B"/>
    <w:rsid w:val="00143532"/>
    <w:rsid w:val="00160EA8"/>
    <w:rsid w:val="00213CF6"/>
    <w:rsid w:val="00235790"/>
    <w:rsid w:val="0024520E"/>
    <w:rsid w:val="003161F1"/>
    <w:rsid w:val="00337586"/>
    <w:rsid w:val="003663BD"/>
    <w:rsid w:val="003714D7"/>
    <w:rsid w:val="003D03F0"/>
    <w:rsid w:val="00420CD3"/>
    <w:rsid w:val="0042626D"/>
    <w:rsid w:val="00427339"/>
    <w:rsid w:val="00441364"/>
    <w:rsid w:val="004547AE"/>
    <w:rsid w:val="004905B9"/>
    <w:rsid w:val="005145B2"/>
    <w:rsid w:val="00527F43"/>
    <w:rsid w:val="005457A7"/>
    <w:rsid w:val="00611541"/>
    <w:rsid w:val="006216F8"/>
    <w:rsid w:val="00627DC9"/>
    <w:rsid w:val="00773671"/>
    <w:rsid w:val="0079696E"/>
    <w:rsid w:val="008034C9"/>
    <w:rsid w:val="008425D4"/>
    <w:rsid w:val="00874872"/>
    <w:rsid w:val="00961272"/>
    <w:rsid w:val="009728FB"/>
    <w:rsid w:val="0098388D"/>
    <w:rsid w:val="00987EC1"/>
    <w:rsid w:val="009B6186"/>
    <w:rsid w:val="009C337D"/>
    <w:rsid w:val="00A34812"/>
    <w:rsid w:val="00A75600"/>
    <w:rsid w:val="00AA235D"/>
    <w:rsid w:val="00B22635"/>
    <w:rsid w:val="00B25F4B"/>
    <w:rsid w:val="00B31287"/>
    <w:rsid w:val="00B3598F"/>
    <w:rsid w:val="00BB5A1A"/>
    <w:rsid w:val="00BF706B"/>
    <w:rsid w:val="00C026EC"/>
    <w:rsid w:val="00C11204"/>
    <w:rsid w:val="00C11737"/>
    <w:rsid w:val="00C16756"/>
    <w:rsid w:val="00C367B1"/>
    <w:rsid w:val="00C91C98"/>
    <w:rsid w:val="00DB5656"/>
    <w:rsid w:val="00DE05A6"/>
    <w:rsid w:val="00E74E00"/>
    <w:rsid w:val="00E85A2F"/>
    <w:rsid w:val="00E9741C"/>
    <w:rsid w:val="00EE4D5D"/>
    <w:rsid w:val="00F55B11"/>
    <w:rsid w:val="00F70AD0"/>
    <w:rsid w:val="00F90522"/>
    <w:rsid w:val="00FD0AAF"/>
    <w:rsid w:val="010C109A"/>
    <w:rsid w:val="0123631D"/>
    <w:rsid w:val="013C06BC"/>
    <w:rsid w:val="013C690E"/>
    <w:rsid w:val="015068F7"/>
    <w:rsid w:val="01564BF5"/>
    <w:rsid w:val="015821CD"/>
    <w:rsid w:val="01696A9C"/>
    <w:rsid w:val="017F0419"/>
    <w:rsid w:val="01804E6F"/>
    <w:rsid w:val="018A58CB"/>
    <w:rsid w:val="018C1643"/>
    <w:rsid w:val="01923798"/>
    <w:rsid w:val="01991477"/>
    <w:rsid w:val="019B6F29"/>
    <w:rsid w:val="019F250B"/>
    <w:rsid w:val="01A754AC"/>
    <w:rsid w:val="01AA1AC9"/>
    <w:rsid w:val="01AA7D1B"/>
    <w:rsid w:val="01C64E48"/>
    <w:rsid w:val="01CD7566"/>
    <w:rsid w:val="01D12D9D"/>
    <w:rsid w:val="01D30FA1"/>
    <w:rsid w:val="01D454A1"/>
    <w:rsid w:val="01D803E5"/>
    <w:rsid w:val="01EA636A"/>
    <w:rsid w:val="01FD07C3"/>
    <w:rsid w:val="02056B6F"/>
    <w:rsid w:val="02330762"/>
    <w:rsid w:val="025033FE"/>
    <w:rsid w:val="02661E94"/>
    <w:rsid w:val="02680BBE"/>
    <w:rsid w:val="028D5DB7"/>
    <w:rsid w:val="02985DC6"/>
    <w:rsid w:val="02AB5AF9"/>
    <w:rsid w:val="02DF57A3"/>
    <w:rsid w:val="02E1776D"/>
    <w:rsid w:val="02E84657"/>
    <w:rsid w:val="02EC525F"/>
    <w:rsid w:val="02F007AF"/>
    <w:rsid w:val="02FE7911"/>
    <w:rsid w:val="03076F74"/>
    <w:rsid w:val="030B6598"/>
    <w:rsid w:val="03103AA0"/>
    <w:rsid w:val="03394EB3"/>
    <w:rsid w:val="03500416"/>
    <w:rsid w:val="03522419"/>
    <w:rsid w:val="03556B29"/>
    <w:rsid w:val="035F2A61"/>
    <w:rsid w:val="036B7672"/>
    <w:rsid w:val="03866DC9"/>
    <w:rsid w:val="038A5E19"/>
    <w:rsid w:val="038A7E04"/>
    <w:rsid w:val="038C0F57"/>
    <w:rsid w:val="03991DF6"/>
    <w:rsid w:val="039E11BA"/>
    <w:rsid w:val="039F31FF"/>
    <w:rsid w:val="03BB6210"/>
    <w:rsid w:val="03D6755E"/>
    <w:rsid w:val="03E30A9B"/>
    <w:rsid w:val="03EB2215"/>
    <w:rsid w:val="04045AFD"/>
    <w:rsid w:val="041471B2"/>
    <w:rsid w:val="041871BE"/>
    <w:rsid w:val="042042C5"/>
    <w:rsid w:val="043170E7"/>
    <w:rsid w:val="043D2B30"/>
    <w:rsid w:val="04663231"/>
    <w:rsid w:val="046A50DA"/>
    <w:rsid w:val="047D6389"/>
    <w:rsid w:val="04804DA9"/>
    <w:rsid w:val="048B3E34"/>
    <w:rsid w:val="048C3708"/>
    <w:rsid w:val="048E4B7A"/>
    <w:rsid w:val="04932CE9"/>
    <w:rsid w:val="04A86794"/>
    <w:rsid w:val="04B50EB1"/>
    <w:rsid w:val="04BD38C2"/>
    <w:rsid w:val="04CB2483"/>
    <w:rsid w:val="04D35BCD"/>
    <w:rsid w:val="04DC01EC"/>
    <w:rsid w:val="04E150FA"/>
    <w:rsid w:val="04E6106A"/>
    <w:rsid w:val="04EB6681"/>
    <w:rsid w:val="0511629C"/>
    <w:rsid w:val="05143E2A"/>
    <w:rsid w:val="051C4A8C"/>
    <w:rsid w:val="052377B5"/>
    <w:rsid w:val="05317E44"/>
    <w:rsid w:val="05322502"/>
    <w:rsid w:val="05344C89"/>
    <w:rsid w:val="053E0EA6"/>
    <w:rsid w:val="05574853"/>
    <w:rsid w:val="05616943"/>
    <w:rsid w:val="056A1C9B"/>
    <w:rsid w:val="057429DC"/>
    <w:rsid w:val="05776166"/>
    <w:rsid w:val="05832D9D"/>
    <w:rsid w:val="05A02EFB"/>
    <w:rsid w:val="05A1542D"/>
    <w:rsid w:val="05C84C14"/>
    <w:rsid w:val="05CC5609"/>
    <w:rsid w:val="05CF70AF"/>
    <w:rsid w:val="05D21624"/>
    <w:rsid w:val="05F37618"/>
    <w:rsid w:val="05F7020B"/>
    <w:rsid w:val="05F800ED"/>
    <w:rsid w:val="05FB6F31"/>
    <w:rsid w:val="06024977"/>
    <w:rsid w:val="060A74CA"/>
    <w:rsid w:val="060E6ACB"/>
    <w:rsid w:val="06242171"/>
    <w:rsid w:val="0627193B"/>
    <w:rsid w:val="062A142B"/>
    <w:rsid w:val="062B5372"/>
    <w:rsid w:val="063B0DD7"/>
    <w:rsid w:val="06563D22"/>
    <w:rsid w:val="06740A41"/>
    <w:rsid w:val="06765EB3"/>
    <w:rsid w:val="068154EF"/>
    <w:rsid w:val="0688299D"/>
    <w:rsid w:val="068B4299"/>
    <w:rsid w:val="069240F8"/>
    <w:rsid w:val="06A56093"/>
    <w:rsid w:val="06D05B2E"/>
    <w:rsid w:val="06E97363"/>
    <w:rsid w:val="06EA58E2"/>
    <w:rsid w:val="06F061D0"/>
    <w:rsid w:val="06F23CF7"/>
    <w:rsid w:val="06F70775"/>
    <w:rsid w:val="071D689A"/>
    <w:rsid w:val="0732411C"/>
    <w:rsid w:val="0744651C"/>
    <w:rsid w:val="074917F2"/>
    <w:rsid w:val="07497370"/>
    <w:rsid w:val="075B32D7"/>
    <w:rsid w:val="075E75DE"/>
    <w:rsid w:val="076646E5"/>
    <w:rsid w:val="0783111E"/>
    <w:rsid w:val="07990616"/>
    <w:rsid w:val="07A10084"/>
    <w:rsid w:val="07AE716C"/>
    <w:rsid w:val="07B216D8"/>
    <w:rsid w:val="07B40FAC"/>
    <w:rsid w:val="07C93590"/>
    <w:rsid w:val="07E35D35"/>
    <w:rsid w:val="07F05F64"/>
    <w:rsid w:val="08080399"/>
    <w:rsid w:val="08080695"/>
    <w:rsid w:val="081128A2"/>
    <w:rsid w:val="081D1C8F"/>
    <w:rsid w:val="08276C59"/>
    <w:rsid w:val="083D1316"/>
    <w:rsid w:val="08442D16"/>
    <w:rsid w:val="084542FA"/>
    <w:rsid w:val="084B0235"/>
    <w:rsid w:val="08534C69"/>
    <w:rsid w:val="085B5903"/>
    <w:rsid w:val="08623EAF"/>
    <w:rsid w:val="087846CF"/>
    <w:rsid w:val="087F53D8"/>
    <w:rsid w:val="08850B9A"/>
    <w:rsid w:val="089111E3"/>
    <w:rsid w:val="08966833"/>
    <w:rsid w:val="089B30A9"/>
    <w:rsid w:val="08A51890"/>
    <w:rsid w:val="08AE00F1"/>
    <w:rsid w:val="08BA39DE"/>
    <w:rsid w:val="08D613F6"/>
    <w:rsid w:val="08FF26E6"/>
    <w:rsid w:val="09151F1E"/>
    <w:rsid w:val="09235B25"/>
    <w:rsid w:val="09294C09"/>
    <w:rsid w:val="092B202D"/>
    <w:rsid w:val="095209D3"/>
    <w:rsid w:val="096A3FBB"/>
    <w:rsid w:val="099866DC"/>
    <w:rsid w:val="09992050"/>
    <w:rsid w:val="09A22B2D"/>
    <w:rsid w:val="09A339CE"/>
    <w:rsid w:val="09A97033"/>
    <w:rsid w:val="09B20A1F"/>
    <w:rsid w:val="09C65ABE"/>
    <w:rsid w:val="09C81A12"/>
    <w:rsid w:val="09C91B1B"/>
    <w:rsid w:val="09D62A13"/>
    <w:rsid w:val="09E12944"/>
    <w:rsid w:val="0A140428"/>
    <w:rsid w:val="0A2166A1"/>
    <w:rsid w:val="0A28357C"/>
    <w:rsid w:val="0A6556AD"/>
    <w:rsid w:val="0A775F0C"/>
    <w:rsid w:val="0A8C6210"/>
    <w:rsid w:val="0A941D34"/>
    <w:rsid w:val="0A9B43AB"/>
    <w:rsid w:val="0A9D666F"/>
    <w:rsid w:val="0AB11A1A"/>
    <w:rsid w:val="0ADA51CD"/>
    <w:rsid w:val="0AF0679F"/>
    <w:rsid w:val="0AF71DB6"/>
    <w:rsid w:val="0B0E7656"/>
    <w:rsid w:val="0B114967"/>
    <w:rsid w:val="0B136931"/>
    <w:rsid w:val="0B1D3AD1"/>
    <w:rsid w:val="0B1F52D6"/>
    <w:rsid w:val="0B30511E"/>
    <w:rsid w:val="0B3519ED"/>
    <w:rsid w:val="0B36617C"/>
    <w:rsid w:val="0B4959B4"/>
    <w:rsid w:val="0B4D1E43"/>
    <w:rsid w:val="0B514D20"/>
    <w:rsid w:val="0B5B6CD0"/>
    <w:rsid w:val="0B6727D9"/>
    <w:rsid w:val="0B8C3FEE"/>
    <w:rsid w:val="0B9175F3"/>
    <w:rsid w:val="0B9950CF"/>
    <w:rsid w:val="0BA632C4"/>
    <w:rsid w:val="0BA852CC"/>
    <w:rsid w:val="0BAD28E2"/>
    <w:rsid w:val="0BBB1DCF"/>
    <w:rsid w:val="0BEC6C78"/>
    <w:rsid w:val="0BED2CDE"/>
    <w:rsid w:val="0BF422BF"/>
    <w:rsid w:val="0BF5144B"/>
    <w:rsid w:val="0BFA53FB"/>
    <w:rsid w:val="0BFB0DA9"/>
    <w:rsid w:val="0C0A7D34"/>
    <w:rsid w:val="0C1B3178"/>
    <w:rsid w:val="0C2B43F2"/>
    <w:rsid w:val="0C2C33CB"/>
    <w:rsid w:val="0C3152C1"/>
    <w:rsid w:val="0C542D5E"/>
    <w:rsid w:val="0C5B757D"/>
    <w:rsid w:val="0C700313"/>
    <w:rsid w:val="0C774C9E"/>
    <w:rsid w:val="0C776BE8"/>
    <w:rsid w:val="0C79439C"/>
    <w:rsid w:val="0C7C1FDF"/>
    <w:rsid w:val="0CA03FC9"/>
    <w:rsid w:val="0CBC5171"/>
    <w:rsid w:val="0CC257C3"/>
    <w:rsid w:val="0CC872A8"/>
    <w:rsid w:val="0CD76783"/>
    <w:rsid w:val="0CEA47B8"/>
    <w:rsid w:val="0CEE6149"/>
    <w:rsid w:val="0CEF17A8"/>
    <w:rsid w:val="0CEF1A29"/>
    <w:rsid w:val="0CF462EF"/>
    <w:rsid w:val="0CF85DDF"/>
    <w:rsid w:val="0D162709"/>
    <w:rsid w:val="0D2564A8"/>
    <w:rsid w:val="0D442DD2"/>
    <w:rsid w:val="0D4D0858"/>
    <w:rsid w:val="0D5F5563"/>
    <w:rsid w:val="0D742BAF"/>
    <w:rsid w:val="0D804797"/>
    <w:rsid w:val="0D9644B5"/>
    <w:rsid w:val="0D9F26FE"/>
    <w:rsid w:val="0DB83485"/>
    <w:rsid w:val="0DB9302F"/>
    <w:rsid w:val="0DBD73CB"/>
    <w:rsid w:val="0DF045AC"/>
    <w:rsid w:val="0DFA29FA"/>
    <w:rsid w:val="0E012A71"/>
    <w:rsid w:val="0E0E379E"/>
    <w:rsid w:val="0E3966AF"/>
    <w:rsid w:val="0E9C1554"/>
    <w:rsid w:val="0EAF6971"/>
    <w:rsid w:val="0EB67BBE"/>
    <w:rsid w:val="0EBD2E3C"/>
    <w:rsid w:val="0ED62150"/>
    <w:rsid w:val="0EFE5F92"/>
    <w:rsid w:val="0F10193D"/>
    <w:rsid w:val="0F24110D"/>
    <w:rsid w:val="0F2941FB"/>
    <w:rsid w:val="0F50023D"/>
    <w:rsid w:val="0F5006A2"/>
    <w:rsid w:val="0F515CEE"/>
    <w:rsid w:val="0F781459"/>
    <w:rsid w:val="0F822008"/>
    <w:rsid w:val="0FA43FFC"/>
    <w:rsid w:val="0FA92EE1"/>
    <w:rsid w:val="0FB22A55"/>
    <w:rsid w:val="0FE663C2"/>
    <w:rsid w:val="0FEF171B"/>
    <w:rsid w:val="100517C5"/>
    <w:rsid w:val="10090259"/>
    <w:rsid w:val="100A1081"/>
    <w:rsid w:val="101250D8"/>
    <w:rsid w:val="101D790A"/>
    <w:rsid w:val="10245B94"/>
    <w:rsid w:val="10282537"/>
    <w:rsid w:val="102A6E77"/>
    <w:rsid w:val="1032785A"/>
    <w:rsid w:val="10437371"/>
    <w:rsid w:val="104B091B"/>
    <w:rsid w:val="107F2AF5"/>
    <w:rsid w:val="108728C2"/>
    <w:rsid w:val="109124AE"/>
    <w:rsid w:val="109C2F25"/>
    <w:rsid w:val="10A1053B"/>
    <w:rsid w:val="10A92F6E"/>
    <w:rsid w:val="10C206A6"/>
    <w:rsid w:val="10C36704"/>
    <w:rsid w:val="10E36DA6"/>
    <w:rsid w:val="10EA1EE2"/>
    <w:rsid w:val="10F16DCD"/>
    <w:rsid w:val="10FD111A"/>
    <w:rsid w:val="11084B08"/>
    <w:rsid w:val="110A7E8F"/>
    <w:rsid w:val="110F7B9B"/>
    <w:rsid w:val="11173DE9"/>
    <w:rsid w:val="111A6B29"/>
    <w:rsid w:val="11203B56"/>
    <w:rsid w:val="112847B9"/>
    <w:rsid w:val="11334496"/>
    <w:rsid w:val="113413B0"/>
    <w:rsid w:val="11386FA7"/>
    <w:rsid w:val="113A5FD4"/>
    <w:rsid w:val="115313FD"/>
    <w:rsid w:val="11625F1D"/>
    <w:rsid w:val="116B50AE"/>
    <w:rsid w:val="11755C50"/>
    <w:rsid w:val="1192393D"/>
    <w:rsid w:val="11B36778"/>
    <w:rsid w:val="11B524F0"/>
    <w:rsid w:val="11E15093"/>
    <w:rsid w:val="120E5B40"/>
    <w:rsid w:val="12111E95"/>
    <w:rsid w:val="12172D2F"/>
    <w:rsid w:val="12197510"/>
    <w:rsid w:val="121B7144"/>
    <w:rsid w:val="122F6829"/>
    <w:rsid w:val="12413D84"/>
    <w:rsid w:val="12431165"/>
    <w:rsid w:val="12443874"/>
    <w:rsid w:val="12466EEF"/>
    <w:rsid w:val="124F0D28"/>
    <w:rsid w:val="12611808"/>
    <w:rsid w:val="1283436C"/>
    <w:rsid w:val="129E5C08"/>
    <w:rsid w:val="129F0AAB"/>
    <w:rsid w:val="12A04F4F"/>
    <w:rsid w:val="12A12A75"/>
    <w:rsid w:val="12D95627"/>
    <w:rsid w:val="12DC0D9D"/>
    <w:rsid w:val="12EB1E25"/>
    <w:rsid w:val="13022F76"/>
    <w:rsid w:val="130848A2"/>
    <w:rsid w:val="13223BB5"/>
    <w:rsid w:val="13351D94"/>
    <w:rsid w:val="133E2592"/>
    <w:rsid w:val="134A6C68"/>
    <w:rsid w:val="134D0B61"/>
    <w:rsid w:val="13581385"/>
    <w:rsid w:val="1378727E"/>
    <w:rsid w:val="13873A19"/>
    <w:rsid w:val="1393490E"/>
    <w:rsid w:val="13985C26"/>
    <w:rsid w:val="139D6DE1"/>
    <w:rsid w:val="13A11DD8"/>
    <w:rsid w:val="13B028D2"/>
    <w:rsid w:val="13B46C7E"/>
    <w:rsid w:val="13B74DBF"/>
    <w:rsid w:val="13BC47C3"/>
    <w:rsid w:val="13C91FE9"/>
    <w:rsid w:val="13E04B4D"/>
    <w:rsid w:val="140212F1"/>
    <w:rsid w:val="14065B95"/>
    <w:rsid w:val="14157276"/>
    <w:rsid w:val="14253DD2"/>
    <w:rsid w:val="142A5841"/>
    <w:rsid w:val="146D7C3C"/>
    <w:rsid w:val="14757D15"/>
    <w:rsid w:val="1496257F"/>
    <w:rsid w:val="149C29D2"/>
    <w:rsid w:val="14BC5944"/>
    <w:rsid w:val="14C30A80"/>
    <w:rsid w:val="14C91E0F"/>
    <w:rsid w:val="14CF1B1B"/>
    <w:rsid w:val="14DE58BA"/>
    <w:rsid w:val="14E531E8"/>
    <w:rsid w:val="150E2A0A"/>
    <w:rsid w:val="15155054"/>
    <w:rsid w:val="151E03AD"/>
    <w:rsid w:val="15377927"/>
    <w:rsid w:val="15407EF2"/>
    <w:rsid w:val="15593193"/>
    <w:rsid w:val="15673DAE"/>
    <w:rsid w:val="156A6D57"/>
    <w:rsid w:val="1585739A"/>
    <w:rsid w:val="1587538B"/>
    <w:rsid w:val="159579E4"/>
    <w:rsid w:val="15982925"/>
    <w:rsid w:val="15A85EC8"/>
    <w:rsid w:val="15B036FB"/>
    <w:rsid w:val="15B71A33"/>
    <w:rsid w:val="15E909BB"/>
    <w:rsid w:val="15EC1D0B"/>
    <w:rsid w:val="15FE3142"/>
    <w:rsid w:val="1609765A"/>
    <w:rsid w:val="160B7FC6"/>
    <w:rsid w:val="160E21CF"/>
    <w:rsid w:val="16100464"/>
    <w:rsid w:val="162224A9"/>
    <w:rsid w:val="16323774"/>
    <w:rsid w:val="16414353"/>
    <w:rsid w:val="166F74AF"/>
    <w:rsid w:val="1675578B"/>
    <w:rsid w:val="167D0A9B"/>
    <w:rsid w:val="16976F4A"/>
    <w:rsid w:val="169D3553"/>
    <w:rsid w:val="16A843D2"/>
    <w:rsid w:val="16B0596D"/>
    <w:rsid w:val="16B5089D"/>
    <w:rsid w:val="16B74615"/>
    <w:rsid w:val="16C3745D"/>
    <w:rsid w:val="16C805D0"/>
    <w:rsid w:val="16C83F29"/>
    <w:rsid w:val="16E3365C"/>
    <w:rsid w:val="16F26FFB"/>
    <w:rsid w:val="16F5513D"/>
    <w:rsid w:val="17034227"/>
    <w:rsid w:val="1720665E"/>
    <w:rsid w:val="172577D0"/>
    <w:rsid w:val="172F4AF3"/>
    <w:rsid w:val="1740460A"/>
    <w:rsid w:val="174165D4"/>
    <w:rsid w:val="17457E73"/>
    <w:rsid w:val="17490B03"/>
    <w:rsid w:val="174A36DB"/>
    <w:rsid w:val="174C1201"/>
    <w:rsid w:val="17510416"/>
    <w:rsid w:val="1752258F"/>
    <w:rsid w:val="17567C80"/>
    <w:rsid w:val="175B34BC"/>
    <w:rsid w:val="17740758"/>
    <w:rsid w:val="177D5F83"/>
    <w:rsid w:val="177E09CC"/>
    <w:rsid w:val="17931A26"/>
    <w:rsid w:val="17C31458"/>
    <w:rsid w:val="17D350D1"/>
    <w:rsid w:val="17D824F4"/>
    <w:rsid w:val="17DB2585"/>
    <w:rsid w:val="17F13614"/>
    <w:rsid w:val="17F35B20"/>
    <w:rsid w:val="18041ADC"/>
    <w:rsid w:val="182220F4"/>
    <w:rsid w:val="184E2D57"/>
    <w:rsid w:val="18552BF9"/>
    <w:rsid w:val="185A134B"/>
    <w:rsid w:val="186E0AC5"/>
    <w:rsid w:val="18783BEA"/>
    <w:rsid w:val="18800302"/>
    <w:rsid w:val="189015C1"/>
    <w:rsid w:val="1890511D"/>
    <w:rsid w:val="18B0756E"/>
    <w:rsid w:val="18B2778A"/>
    <w:rsid w:val="18B708FC"/>
    <w:rsid w:val="18BA71DB"/>
    <w:rsid w:val="18C66F3F"/>
    <w:rsid w:val="18E611E1"/>
    <w:rsid w:val="18F84792"/>
    <w:rsid w:val="18FD6092"/>
    <w:rsid w:val="190D5699"/>
    <w:rsid w:val="19194749"/>
    <w:rsid w:val="19331AFB"/>
    <w:rsid w:val="19354BB3"/>
    <w:rsid w:val="19384ADC"/>
    <w:rsid w:val="1945381D"/>
    <w:rsid w:val="19463BB3"/>
    <w:rsid w:val="19485AA4"/>
    <w:rsid w:val="194B7296"/>
    <w:rsid w:val="195975C5"/>
    <w:rsid w:val="196D545F"/>
    <w:rsid w:val="196E0ED2"/>
    <w:rsid w:val="197B5DCD"/>
    <w:rsid w:val="19805345"/>
    <w:rsid w:val="198151DB"/>
    <w:rsid w:val="19832ED4"/>
    <w:rsid w:val="199509CB"/>
    <w:rsid w:val="199C7AF2"/>
    <w:rsid w:val="19A35324"/>
    <w:rsid w:val="19A76BC3"/>
    <w:rsid w:val="19AE61A3"/>
    <w:rsid w:val="19BE7155"/>
    <w:rsid w:val="19DD25E4"/>
    <w:rsid w:val="1A01518C"/>
    <w:rsid w:val="1A0A11CB"/>
    <w:rsid w:val="1A143B33"/>
    <w:rsid w:val="1A1556F5"/>
    <w:rsid w:val="1A191039"/>
    <w:rsid w:val="1A197A34"/>
    <w:rsid w:val="1A310B82"/>
    <w:rsid w:val="1A3348FA"/>
    <w:rsid w:val="1A345F7C"/>
    <w:rsid w:val="1A361CF4"/>
    <w:rsid w:val="1A5C33F7"/>
    <w:rsid w:val="1A613215"/>
    <w:rsid w:val="1A635D3C"/>
    <w:rsid w:val="1A7D5A8E"/>
    <w:rsid w:val="1A8B70C3"/>
    <w:rsid w:val="1A8E4A2E"/>
    <w:rsid w:val="1A9611D4"/>
    <w:rsid w:val="1A9B2205"/>
    <w:rsid w:val="1AD35818"/>
    <w:rsid w:val="1AF97EC5"/>
    <w:rsid w:val="1AFF4F3E"/>
    <w:rsid w:val="1B1C0EEA"/>
    <w:rsid w:val="1B1E473C"/>
    <w:rsid w:val="1B3501FE"/>
    <w:rsid w:val="1B487F31"/>
    <w:rsid w:val="1B4B5C73"/>
    <w:rsid w:val="1B5662CF"/>
    <w:rsid w:val="1B5C578B"/>
    <w:rsid w:val="1B6603B7"/>
    <w:rsid w:val="1B6B2F26"/>
    <w:rsid w:val="1B703AE1"/>
    <w:rsid w:val="1B705885"/>
    <w:rsid w:val="1B766E57"/>
    <w:rsid w:val="1B8A4174"/>
    <w:rsid w:val="1B8D3B96"/>
    <w:rsid w:val="1B9E2247"/>
    <w:rsid w:val="1BB774B4"/>
    <w:rsid w:val="1BBA40DB"/>
    <w:rsid w:val="1BBC0ED5"/>
    <w:rsid w:val="1BC82E20"/>
    <w:rsid w:val="1BCA303C"/>
    <w:rsid w:val="1BDD4B1E"/>
    <w:rsid w:val="1BE063BC"/>
    <w:rsid w:val="1BF02A4A"/>
    <w:rsid w:val="1C112A19"/>
    <w:rsid w:val="1C1724A2"/>
    <w:rsid w:val="1C1B3898"/>
    <w:rsid w:val="1C1D0B83"/>
    <w:rsid w:val="1C367AF3"/>
    <w:rsid w:val="1C430EE2"/>
    <w:rsid w:val="1C4E5A1B"/>
    <w:rsid w:val="1C754C06"/>
    <w:rsid w:val="1C7A236C"/>
    <w:rsid w:val="1C8B617A"/>
    <w:rsid w:val="1CA07168"/>
    <w:rsid w:val="1CA72318"/>
    <w:rsid w:val="1CAE0B0D"/>
    <w:rsid w:val="1CB20235"/>
    <w:rsid w:val="1CB9434A"/>
    <w:rsid w:val="1CD203FA"/>
    <w:rsid w:val="1CE7377A"/>
    <w:rsid w:val="1D077978"/>
    <w:rsid w:val="1D116BB7"/>
    <w:rsid w:val="1D147AE8"/>
    <w:rsid w:val="1D365950"/>
    <w:rsid w:val="1D404D2C"/>
    <w:rsid w:val="1D4666F2"/>
    <w:rsid w:val="1D507571"/>
    <w:rsid w:val="1D542787"/>
    <w:rsid w:val="1D567904"/>
    <w:rsid w:val="1D583653"/>
    <w:rsid w:val="1D7E5E8C"/>
    <w:rsid w:val="1D8B7922"/>
    <w:rsid w:val="1DA11A4C"/>
    <w:rsid w:val="1DA23D0D"/>
    <w:rsid w:val="1DA358F3"/>
    <w:rsid w:val="1DB83A1E"/>
    <w:rsid w:val="1DC37D43"/>
    <w:rsid w:val="1DCC309C"/>
    <w:rsid w:val="1DD2442A"/>
    <w:rsid w:val="1DEC2D5D"/>
    <w:rsid w:val="1DF94230"/>
    <w:rsid w:val="1E310073"/>
    <w:rsid w:val="1E38119D"/>
    <w:rsid w:val="1E3D7AF5"/>
    <w:rsid w:val="1E4A5D6E"/>
    <w:rsid w:val="1E692E15"/>
    <w:rsid w:val="1E796654"/>
    <w:rsid w:val="1E8E626F"/>
    <w:rsid w:val="1EA9518B"/>
    <w:rsid w:val="1EE2244B"/>
    <w:rsid w:val="1EF13752"/>
    <w:rsid w:val="1F2E38E2"/>
    <w:rsid w:val="1F332CA6"/>
    <w:rsid w:val="1F3A5DE3"/>
    <w:rsid w:val="1F4A28B3"/>
    <w:rsid w:val="1F4B5DA9"/>
    <w:rsid w:val="1F52137F"/>
    <w:rsid w:val="1F705CA9"/>
    <w:rsid w:val="1F813BA0"/>
    <w:rsid w:val="1F8F7049"/>
    <w:rsid w:val="1FAC5AC6"/>
    <w:rsid w:val="1FB2006F"/>
    <w:rsid w:val="1FD56783"/>
    <w:rsid w:val="1FE461E7"/>
    <w:rsid w:val="1FE65F6B"/>
    <w:rsid w:val="1FEE11E3"/>
    <w:rsid w:val="1FEF2639"/>
    <w:rsid w:val="1FF04823"/>
    <w:rsid w:val="1FFE5062"/>
    <w:rsid w:val="2020322B"/>
    <w:rsid w:val="20206900"/>
    <w:rsid w:val="203C5B8B"/>
    <w:rsid w:val="203E5DA7"/>
    <w:rsid w:val="203F5B19"/>
    <w:rsid w:val="206D3F96"/>
    <w:rsid w:val="207D5B78"/>
    <w:rsid w:val="20947035"/>
    <w:rsid w:val="20997A10"/>
    <w:rsid w:val="209D3040"/>
    <w:rsid w:val="20B1016D"/>
    <w:rsid w:val="20BF47A5"/>
    <w:rsid w:val="20C15BAC"/>
    <w:rsid w:val="20F46465"/>
    <w:rsid w:val="20F63442"/>
    <w:rsid w:val="21020B82"/>
    <w:rsid w:val="212F501D"/>
    <w:rsid w:val="215D7D10"/>
    <w:rsid w:val="21736CC6"/>
    <w:rsid w:val="219043E0"/>
    <w:rsid w:val="21957C48"/>
    <w:rsid w:val="21993A5F"/>
    <w:rsid w:val="21A90000"/>
    <w:rsid w:val="21C029C6"/>
    <w:rsid w:val="21DC6E58"/>
    <w:rsid w:val="21E17898"/>
    <w:rsid w:val="221F38F4"/>
    <w:rsid w:val="22407BB4"/>
    <w:rsid w:val="22521696"/>
    <w:rsid w:val="226118D9"/>
    <w:rsid w:val="226D2C7F"/>
    <w:rsid w:val="22737F8A"/>
    <w:rsid w:val="22883309"/>
    <w:rsid w:val="22B255F0"/>
    <w:rsid w:val="22B943A5"/>
    <w:rsid w:val="22BE58CE"/>
    <w:rsid w:val="22C150BE"/>
    <w:rsid w:val="22C975F6"/>
    <w:rsid w:val="22CA56D0"/>
    <w:rsid w:val="22D87DED"/>
    <w:rsid w:val="22E542B8"/>
    <w:rsid w:val="230230BC"/>
    <w:rsid w:val="232D4266"/>
    <w:rsid w:val="2349661C"/>
    <w:rsid w:val="23517B9F"/>
    <w:rsid w:val="23675058"/>
    <w:rsid w:val="2370723A"/>
    <w:rsid w:val="237B3D8F"/>
    <w:rsid w:val="23852E44"/>
    <w:rsid w:val="238B01BB"/>
    <w:rsid w:val="239A01BD"/>
    <w:rsid w:val="23A203FB"/>
    <w:rsid w:val="23A91789"/>
    <w:rsid w:val="23AC740A"/>
    <w:rsid w:val="23C67A85"/>
    <w:rsid w:val="23D85AEC"/>
    <w:rsid w:val="23ED1676"/>
    <w:rsid w:val="23ED7EE5"/>
    <w:rsid w:val="23F0560A"/>
    <w:rsid w:val="24084A1A"/>
    <w:rsid w:val="242F4154"/>
    <w:rsid w:val="2471031E"/>
    <w:rsid w:val="24817982"/>
    <w:rsid w:val="2483647E"/>
    <w:rsid w:val="24967F5F"/>
    <w:rsid w:val="24A40D43"/>
    <w:rsid w:val="24DC002D"/>
    <w:rsid w:val="24FC3F2A"/>
    <w:rsid w:val="24FD1D8D"/>
    <w:rsid w:val="25054AA2"/>
    <w:rsid w:val="250550E5"/>
    <w:rsid w:val="25071D86"/>
    <w:rsid w:val="250B2FEC"/>
    <w:rsid w:val="251175E6"/>
    <w:rsid w:val="25256789"/>
    <w:rsid w:val="252B7ACB"/>
    <w:rsid w:val="25396B3D"/>
    <w:rsid w:val="25397845"/>
    <w:rsid w:val="255C2C60"/>
    <w:rsid w:val="25641E0C"/>
    <w:rsid w:val="25703F76"/>
    <w:rsid w:val="257D2EE0"/>
    <w:rsid w:val="25814FFE"/>
    <w:rsid w:val="25875579"/>
    <w:rsid w:val="25956469"/>
    <w:rsid w:val="25B52667"/>
    <w:rsid w:val="25B655C1"/>
    <w:rsid w:val="25C32833"/>
    <w:rsid w:val="25F17D65"/>
    <w:rsid w:val="26084E8D"/>
    <w:rsid w:val="26094761"/>
    <w:rsid w:val="260E32C1"/>
    <w:rsid w:val="260F6838"/>
    <w:rsid w:val="262A0C9A"/>
    <w:rsid w:val="262C1415"/>
    <w:rsid w:val="262D1039"/>
    <w:rsid w:val="262D7A58"/>
    <w:rsid w:val="26313100"/>
    <w:rsid w:val="263712CE"/>
    <w:rsid w:val="263A2B6C"/>
    <w:rsid w:val="264D526D"/>
    <w:rsid w:val="26555BF8"/>
    <w:rsid w:val="266F0A68"/>
    <w:rsid w:val="26731F5B"/>
    <w:rsid w:val="26865DB2"/>
    <w:rsid w:val="269302A6"/>
    <w:rsid w:val="26A155D5"/>
    <w:rsid w:val="26A23298"/>
    <w:rsid w:val="26BB6640"/>
    <w:rsid w:val="26BF513E"/>
    <w:rsid w:val="26C07516"/>
    <w:rsid w:val="26D1527F"/>
    <w:rsid w:val="26D7485F"/>
    <w:rsid w:val="26E31456"/>
    <w:rsid w:val="26E8413A"/>
    <w:rsid w:val="26EA27E4"/>
    <w:rsid w:val="26FF7369"/>
    <w:rsid w:val="27045403"/>
    <w:rsid w:val="27117A06"/>
    <w:rsid w:val="271C69D2"/>
    <w:rsid w:val="272F6449"/>
    <w:rsid w:val="27386B1B"/>
    <w:rsid w:val="275A51FB"/>
    <w:rsid w:val="27604855"/>
    <w:rsid w:val="276B54DA"/>
    <w:rsid w:val="27710810"/>
    <w:rsid w:val="277F452E"/>
    <w:rsid w:val="277F4CDB"/>
    <w:rsid w:val="27870E22"/>
    <w:rsid w:val="278E13C2"/>
    <w:rsid w:val="278E3170"/>
    <w:rsid w:val="278E628D"/>
    <w:rsid w:val="278F0C96"/>
    <w:rsid w:val="279544FE"/>
    <w:rsid w:val="27A110F5"/>
    <w:rsid w:val="27B32FEC"/>
    <w:rsid w:val="27B506FD"/>
    <w:rsid w:val="27D1497B"/>
    <w:rsid w:val="27D75F18"/>
    <w:rsid w:val="27FA6A57"/>
    <w:rsid w:val="28123DA1"/>
    <w:rsid w:val="281B32B1"/>
    <w:rsid w:val="282A0765"/>
    <w:rsid w:val="2844693A"/>
    <w:rsid w:val="28551EE0"/>
    <w:rsid w:val="28610244"/>
    <w:rsid w:val="286D0937"/>
    <w:rsid w:val="28706D19"/>
    <w:rsid w:val="287953DF"/>
    <w:rsid w:val="28924EE2"/>
    <w:rsid w:val="2895052E"/>
    <w:rsid w:val="289E20D8"/>
    <w:rsid w:val="28A8200F"/>
    <w:rsid w:val="28AC5B67"/>
    <w:rsid w:val="28BA7F95"/>
    <w:rsid w:val="28D0390F"/>
    <w:rsid w:val="28D873AF"/>
    <w:rsid w:val="28E0653C"/>
    <w:rsid w:val="28E426BE"/>
    <w:rsid w:val="2909280B"/>
    <w:rsid w:val="290E3E47"/>
    <w:rsid w:val="29115170"/>
    <w:rsid w:val="29271965"/>
    <w:rsid w:val="293B7327"/>
    <w:rsid w:val="2944518B"/>
    <w:rsid w:val="29606D8E"/>
    <w:rsid w:val="29654B65"/>
    <w:rsid w:val="29687A9A"/>
    <w:rsid w:val="296B4121"/>
    <w:rsid w:val="297E2DA6"/>
    <w:rsid w:val="2987431B"/>
    <w:rsid w:val="298A0528"/>
    <w:rsid w:val="298B777E"/>
    <w:rsid w:val="29B36EBE"/>
    <w:rsid w:val="29D2365C"/>
    <w:rsid w:val="29D47E8F"/>
    <w:rsid w:val="29DF68BD"/>
    <w:rsid w:val="29EC762A"/>
    <w:rsid w:val="29F01EC0"/>
    <w:rsid w:val="2A077CEB"/>
    <w:rsid w:val="2A1839CA"/>
    <w:rsid w:val="2A30290B"/>
    <w:rsid w:val="2A390639"/>
    <w:rsid w:val="2A3C6EB3"/>
    <w:rsid w:val="2A4346E5"/>
    <w:rsid w:val="2A45603E"/>
    <w:rsid w:val="2A4B4772"/>
    <w:rsid w:val="2A531318"/>
    <w:rsid w:val="2A5F2BA2"/>
    <w:rsid w:val="2A783C63"/>
    <w:rsid w:val="2A922F77"/>
    <w:rsid w:val="2A9F5694"/>
    <w:rsid w:val="2AB0029F"/>
    <w:rsid w:val="2AB47391"/>
    <w:rsid w:val="2ABE3D6C"/>
    <w:rsid w:val="2ACE1AD5"/>
    <w:rsid w:val="2AD14A50"/>
    <w:rsid w:val="2AD7717B"/>
    <w:rsid w:val="2ADE313B"/>
    <w:rsid w:val="2AE041B1"/>
    <w:rsid w:val="2AE5754B"/>
    <w:rsid w:val="2AE9023C"/>
    <w:rsid w:val="2B05106A"/>
    <w:rsid w:val="2B22254D"/>
    <w:rsid w:val="2B2B6F28"/>
    <w:rsid w:val="2B4323E2"/>
    <w:rsid w:val="2B446527"/>
    <w:rsid w:val="2B6C3222"/>
    <w:rsid w:val="2B6F11F0"/>
    <w:rsid w:val="2B726905"/>
    <w:rsid w:val="2B747595"/>
    <w:rsid w:val="2B787D81"/>
    <w:rsid w:val="2B7A34A4"/>
    <w:rsid w:val="2B8925CC"/>
    <w:rsid w:val="2B986731"/>
    <w:rsid w:val="2BAD49EC"/>
    <w:rsid w:val="2BB20250"/>
    <w:rsid w:val="2BB65A9E"/>
    <w:rsid w:val="2BC73603"/>
    <w:rsid w:val="2BCC1443"/>
    <w:rsid w:val="2BCF7841"/>
    <w:rsid w:val="2BD002A2"/>
    <w:rsid w:val="2BD31A99"/>
    <w:rsid w:val="2BDF3BA3"/>
    <w:rsid w:val="2BF67536"/>
    <w:rsid w:val="2BF84CBA"/>
    <w:rsid w:val="2BFD7DB0"/>
    <w:rsid w:val="2C0B2FE1"/>
    <w:rsid w:val="2C194CEB"/>
    <w:rsid w:val="2C2D6BBA"/>
    <w:rsid w:val="2C4402A1"/>
    <w:rsid w:val="2C5C383D"/>
    <w:rsid w:val="2C5C5861"/>
    <w:rsid w:val="2C6B3A80"/>
    <w:rsid w:val="2C6B7F24"/>
    <w:rsid w:val="2C7147BB"/>
    <w:rsid w:val="2C8873E9"/>
    <w:rsid w:val="2CA27465"/>
    <w:rsid w:val="2CA8138E"/>
    <w:rsid w:val="2CAB7446"/>
    <w:rsid w:val="2CB73169"/>
    <w:rsid w:val="2CBF4F37"/>
    <w:rsid w:val="2CC83C69"/>
    <w:rsid w:val="2CD84A69"/>
    <w:rsid w:val="2CEC4736"/>
    <w:rsid w:val="2D092E8B"/>
    <w:rsid w:val="2D0F6B01"/>
    <w:rsid w:val="2D28506F"/>
    <w:rsid w:val="2D2E5A5E"/>
    <w:rsid w:val="2D300825"/>
    <w:rsid w:val="2D5E35E4"/>
    <w:rsid w:val="2D60735C"/>
    <w:rsid w:val="2D717B10"/>
    <w:rsid w:val="2D783141"/>
    <w:rsid w:val="2D890B1F"/>
    <w:rsid w:val="2D940DB4"/>
    <w:rsid w:val="2DAD00C8"/>
    <w:rsid w:val="2DB136EA"/>
    <w:rsid w:val="2DD120B8"/>
    <w:rsid w:val="2DEA4459"/>
    <w:rsid w:val="2DF81343"/>
    <w:rsid w:val="2E04418C"/>
    <w:rsid w:val="2E1B6C48"/>
    <w:rsid w:val="2E2D0842"/>
    <w:rsid w:val="2E3600BD"/>
    <w:rsid w:val="2E717BD4"/>
    <w:rsid w:val="2E7224CD"/>
    <w:rsid w:val="2EAC037F"/>
    <w:rsid w:val="2EC80742"/>
    <w:rsid w:val="2ECD0CEC"/>
    <w:rsid w:val="2EDF215F"/>
    <w:rsid w:val="2EF02962"/>
    <w:rsid w:val="2EF72818"/>
    <w:rsid w:val="2F2A2F03"/>
    <w:rsid w:val="2F326AD7"/>
    <w:rsid w:val="2F347AEA"/>
    <w:rsid w:val="2F562335"/>
    <w:rsid w:val="2F63159D"/>
    <w:rsid w:val="2F6A001E"/>
    <w:rsid w:val="2F6F7693"/>
    <w:rsid w:val="2F8C268B"/>
    <w:rsid w:val="2F8C4439"/>
    <w:rsid w:val="2F966333"/>
    <w:rsid w:val="2FA31233"/>
    <w:rsid w:val="2FAF59F5"/>
    <w:rsid w:val="2FAF7A05"/>
    <w:rsid w:val="2FBB0FC6"/>
    <w:rsid w:val="2FCE2CA3"/>
    <w:rsid w:val="2FCF060B"/>
    <w:rsid w:val="2FED29FE"/>
    <w:rsid w:val="2FF4199F"/>
    <w:rsid w:val="2FFC2193"/>
    <w:rsid w:val="30236C6F"/>
    <w:rsid w:val="302529FB"/>
    <w:rsid w:val="3025663B"/>
    <w:rsid w:val="302945ED"/>
    <w:rsid w:val="302C5C1C"/>
    <w:rsid w:val="307B44AD"/>
    <w:rsid w:val="308137FA"/>
    <w:rsid w:val="3082583C"/>
    <w:rsid w:val="30847806"/>
    <w:rsid w:val="308C0468"/>
    <w:rsid w:val="309769C4"/>
    <w:rsid w:val="30AB444D"/>
    <w:rsid w:val="30AB6B41"/>
    <w:rsid w:val="30B26121"/>
    <w:rsid w:val="30B73737"/>
    <w:rsid w:val="30BD6874"/>
    <w:rsid w:val="30D05AAB"/>
    <w:rsid w:val="30DA76A0"/>
    <w:rsid w:val="30E078CE"/>
    <w:rsid w:val="30ED4D1A"/>
    <w:rsid w:val="30ED53AB"/>
    <w:rsid w:val="30FA64B9"/>
    <w:rsid w:val="310E70CF"/>
    <w:rsid w:val="310F6BA4"/>
    <w:rsid w:val="31136981"/>
    <w:rsid w:val="31224F2D"/>
    <w:rsid w:val="312410C4"/>
    <w:rsid w:val="31271F3F"/>
    <w:rsid w:val="312B5ED3"/>
    <w:rsid w:val="314D7A25"/>
    <w:rsid w:val="31556AAC"/>
    <w:rsid w:val="315E525D"/>
    <w:rsid w:val="316B2774"/>
    <w:rsid w:val="316D1209"/>
    <w:rsid w:val="317167A5"/>
    <w:rsid w:val="317F1D7B"/>
    <w:rsid w:val="31905D36"/>
    <w:rsid w:val="3199108F"/>
    <w:rsid w:val="31A0241D"/>
    <w:rsid w:val="31EE4FA7"/>
    <w:rsid w:val="31F75DB5"/>
    <w:rsid w:val="32002EBC"/>
    <w:rsid w:val="32081D71"/>
    <w:rsid w:val="3208691D"/>
    <w:rsid w:val="3240775C"/>
    <w:rsid w:val="324453AC"/>
    <w:rsid w:val="32486E3E"/>
    <w:rsid w:val="326A2A2B"/>
    <w:rsid w:val="327633E6"/>
    <w:rsid w:val="328622EF"/>
    <w:rsid w:val="3287538B"/>
    <w:rsid w:val="328C68A8"/>
    <w:rsid w:val="32936626"/>
    <w:rsid w:val="32A42FF6"/>
    <w:rsid w:val="32A95302"/>
    <w:rsid w:val="32DC27C9"/>
    <w:rsid w:val="32F10A57"/>
    <w:rsid w:val="32F967E0"/>
    <w:rsid w:val="331B7B47"/>
    <w:rsid w:val="332525B0"/>
    <w:rsid w:val="3327319E"/>
    <w:rsid w:val="33292AF7"/>
    <w:rsid w:val="33456311"/>
    <w:rsid w:val="33784018"/>
    <w:rsid w:val="33A861F7"/>
    <w:rsid w:val="33C626DC"/>
    <w:rsid w:val="33C63C91"/>
    <w:rsid w:val="33DC5263"/>
    <w:rsid w:val="33F21D47"/>
    <w:rsid w:val="33F829BD"/>
    <w:rsid w:val="33F83D13"/>
    <w:rsid w:val="340071A3"/>
    <w:rsid w:val="340520A3"/>
    <w:rsid w:val="3405388A"/>
    <w:rsid w:val="34062303"/>
    <w:rsid w:val="340810FF"/>
    <w:rsid w:val="34180BD5"/>
    <w:rsid w:val="342D4E2D"/>
    <w:rsid w:val="34311A53"/>
    <w:rsid w:val="343D64AC"/>
    <w:rsid w:val="345C70E9"/>
    <w:rsid w:val="34B561E0"/>
    <w:rsid w:val="34CC52D7"/>
    <w:rsid w:val="34F4706D"/>
    <w:rsid w:val="34F565DC"/>
    <w:rsid w:val="35054F32"/>
    <w:rsid w:val="350E6F0D"/>
    <w:rsid w:val="351347F4"/>
    <w:rsid w:val="351C551B"/>
    <w:rsid w:val="351F5D4F"/>
    <w:rsid w:val="35313589"/>
    <w:rsid w:val="35507CB7"/>
    <w:rsid w:val="356B0524"/>
    <w:rsid w:val="358E788D"/>
    <w:rsid w:val="3597568F"/>
    <w:rsid w:val="359F29EC"/>
    <w:rsid w:val="35A2665D"/>
    <w:rsid w:val="35A65B28"/>
    <w:rsid w:val="35B45823"/>
    <w:rsid w:val="35BB5A78"/>
    <w:rsid w:val="35D7789A"/>
    <w:rsid w:val="35DC779C"/>
    <w:rsid w:val="35E22DCF"/>
    <w:rsid w:val="35E328D9"/>
    <w:rsid w:val="35EE27B6"/>
    <w:rsid w:val="35F31F85"/>
    <w:rsid w:val="35F82C60"/>
    <w:rsid w:val="35F9034E"/>
    <w:rsid w:val="360F36CE"/>
    <w:rsid w:val="36174C78"/>
    <w:rsid w:val="361B6516"/>
    <w:rsid w:val="361C5DEB"/>
    <w:rsid w:val="361D1DFD"/>
    <w:rsid w:val="36266C69"/>
    <w:rsid w:val="362A49AB"/>
    <w:rsid w:val="362D7FF8"/>
    <w:rsid w:val="36435A6D"/>
    <w:rsid w:val="36464E91"/>
    <w:rsid w:val="364D069A"/>
    <w:rsid w:val="36617332"/>
    <w:rsid w:val="36646E51"/>
    <w:rsid w:val="3667175C"/>
    <w:rsid w:val="366A4DA8"/>
    <w:rsid w:val="368045CB"/>
    <w:rsid w:val="36A91D74"/>
    <w:rsid w:val="36B07376"/>
    <w:rsid w:val="36B204FD"/>
    <w:rsid w:val="36C768CB"/>
    <w:rsid w:val="36F07DC8"/>
    <w:rsid w:val="37362EDC"/>
    <w:rsid w:val="374A3EDB"/>
    <w:rsid w:val="374C4F01"/>
    <w:rsid w:val="37660D5D"/>
    <w:rsid w:val="37673A15"/>
    <w:rsid w:val="376C4CC9"/>
    <w:rsid w:val="37984B56"/>
    <w:rsid w:val="37996AAD"/>
    <w:rsid w:val="379A64B9"/>
    <w:rsid w:val="37A26BE9"/>
    <w:rsid w:val="37A5679D"/>
    <w:rsid w:val="37B52B09"/>
    <w:rsid w:val="37DD4FF7"/>
    <w:rsid w:val="3810372D"/>
    <w:rsid w:val="381052A8"/>
    <w:rsid w:val="382673F4"/>
    <w:rsid w:val="3828316D"/>
    <w:rsid w:val="384344D3"/>
    <w:rsid w:val="384B0589"/>
    <w:rsid w:val="384E64FF"/>
    <w:rsid w:val="3851592F"/>
    <w:rsid w:val="385D55D5"/>
    <w:rsid w:val="385E319C"/>
    <w:rsid w:val="386029F2"/>
    <w:rsid w:val="387B329C"/>
    <w:rsid w:val="388700CE"/>
    <w:rsid w:val="388A0251"/>
    <w:rsid w:val="38983E4E"/>
    <w:rsid w:val="389D76B7"/>
    <w:rsid w:val="38B14F10"/>
    <w:rsid w:val="38D62BC9"/>
    <w:rsid w:val="38DB1F8D"/>
    <w:rsid w:val="38F65709"/>
    <w:rsid w:val="38F848ED"/>
    <w:rsid w:val="38F90665"/>
    <w:rsid w:val="38FB73DB"/>
    <w:rsid w:val="391F00CC"/>
    <w:rsid w:val="392154C6"/>
    <w:rsid w:val="3930052B"/>
    <w:rsid w:val="39316051"/>
    <w:rsid w:val="39376518"/>
    <w:rsid w:val="39445D84"/>
    <w:rsid w:val="39553AED"/>
    <w:rsid w:val="39560170"/>
    <w:rsid w:val="39673843"/>
    <w:rsid w:val="39754676"/>
    <w:rsid w:val="397859DE"/>
    <w:rsid w:val="3984282F"/>
    <w:rsid w:val="398C3287"/>
    <w:rsid w:val="39AE1450"/>
    <w:rsid w:val="39B3258F"/>
    <w:rsid w:val="39D33579"/>
    <w:rsid w:val="39E51A11"/>
    <w:rsid w:val="39E860DD"/>
    <w:rsid w:val="39F411C3"/>
    <w:rsid w:val="3A003B0C"/>
    <w:rsid w:val="3A343DC1"/>
    <w:rsid w:val="3A543DA5"/>
    <w:rsid w:val="3A680E3F"/>
    <w:rsid w:val="3A6924FE"/>
    <w:rsid w:val="3A824DB6"/>
    <w:rsid w:val="3A8F302F"/>
    <w:rsid w:val="3A9621CD"/>
    <w:rsid w:val="3AA16C0F"/>
    <w:rsid w:val="3ACC0EF6"/>
    <w:rsid w:val="3AE8383F"/>
    <w:rsid w:val="3B035FDB"/>
    <w:rsid w:val="3B4731CB"/>
    <w:rsid w:val="3B4E0E59"/>
    <w:rsid w:val="3B5E49D2"/>
    <w:rsid w:val="3B7A5A8D"/>
    <w:rsid w:val="3B7B35B3"/>
    <w:rsid w:val="3BB964B2"/>
    <w:rsid w:val="3BC46FE7"/>
    <w:rsid w:val="3BCE5DD9"/>
    <w:rsid w:val="3BD31FB4"/>
    <w:rsid w:val="3BD74C8E"/>
    <w:rsid w:val="3BD878D7"/>
    <w:rsid w:val="3BDD426E"/>
    <w:rsid w:val="3BEC6400"/>
    <w:rsid w:val="3BFF41E4"/>
    <w:rsid w:val="3C067F09"/>
    <w:rsid w:val="3C2D0D52"/>
    <w:rsid w:val="3C6504EB"/>
    <w:rsid w:val="3C6A5B02"/>
    <w:rsid w:val="3C700C3E"/>
    <w:rsid w:val="3C7626F9"/>
    <w:rsid w:val="3C77021F"/>
    <w:rsid w:val="3C805A2E"/>
    <w:rsid w:val="3C814BF9"/>
    <w:rsid w:val="3C836BC3"/>
    <w:rsid w:val="3CA54D8C"/>
    <w:rsid w:val="3CC91123"/>
    <w:rsid w:val="3CCA0998"/>
    <w:rsid w:val="3CDE029E"/>
    <w:rsid w:val="3CDE39DC"/>
    <w:rsid w:val="3CE84C78"/>
    <w:rsid w:val="3CEA279F"/>
    <w:rsid w:val="3CF17FD1"/>
    <w:rsid w:val="3CF61F54"/>
    <w:rsid w:val="3CFB3BF3"/>
    <w:rsid w:val="3D196916"/>
    <w:rsid w:val="3D1A7663"/>
    <w:rsid w:val="3D2A34E3"/>
    <w:rsid w:val="3D51281E"/>
    <w:rsid w:val="3D6C58AA"/>
    <w:rsid w:val="3D6F7148"/>
    <w:rsid w:val="3D786825"/>
    <w:rsid w:val="3D8952D2"/>
    <w:rsid w:val="3DA9265A"/>
    <w:rsid w:val="3DF37D79"/>
    <w:rsid w:val="3DF56AF4"/>
    <w:rsid w:val="3E1F291C"/>
    <w:rsid w:val="3E247F32"/>
    <w:rsid w:val="3E270B1C"/>
    <w:rsid w:val="3E3A55FA"/>
    <w:rsid w:val="3E43485C"/>
    <w:rsid w:val="3E4800C5"/>
    <w:rsid w:val="3E6C16F4"/>
    <w:rsid w:val="3E7B6A78"/>
    <w:rsid w:val="3E7E2AFB"/>
    <w:rsid w:val="3E864749"/>
    <w:rsid w:val="3E9B4D67"/>
    <w:rsid w:val="3EA204D2"/>
    <w:rsid w:val="3EA45006"/>
    <w:rsid w:val="3EA62D02"/>
    <w:rsid w:val="3EA6703C"/>
    <w:rsid w:val="3EA87543"/>
    <w:rsid w:val="3EBC460F"/>
    <w:rsid w:val="3EBF267E"/>
    <w:rsid w:val="3EC01B26"/>
    <w:rsid w:val="3EC30E12"/>
    <w:rsid w:val="3ECF45DB"/>
    <w:rsid w:val="3EDB2CE7"/>
    <w:rsid w:val="3EE15E23"/>
    <w:rsid w:val="3EFD6648"/>
    <w:rsid w:val="3F0A6721"/>
    <w:rsid w:val="3F2A1578"/>
    <w:rsid w:val="3F2F57D9"/>
    <w:rsid w:val="3F496E12"/>
    <w:rsid w:val="3F5D6B08"/>
    <w:rsid w:val="3F656CDA"/>
    <w:rsid w:val="3F7153F9"/>
    <w:rsid w:val="3F721A4B"/>
    <w:rsid w:val="3F7A2500"/>
    <w:rsid w:val="3F982986"/>
    <w:rsid w:val="3FA4132B"/>
    <w:rsid w:val="3FC45529"/>
    <w:rsid w:val="3FC76DC7"/>
    <w:rsid w:val="3FD60D85"/>
    <w:rsid w:val="3FE931E1"/>
    <w:rsid w:val="40026051"/>
    <w:rsid w:val="40034B6B"/>
    <w:rsid w:val="400D2E72"/>
    <w:rsid w:val="4026121E"/>
    <w:rsid w:val="4034093F"/>
    <w:rsid w:val="40366CC8"/>
    <w:rsid w:val="403864D4"/>
    <w:rsid w:val="403D58D5"/>
    <w:rsid w:val="403E79A1"/>
    <w:rsid w:val="406B1E48"/>
    <w:rsid w:val="406F03D5"/>
    <w:rsid w:val="407F58F4"/>
    <w:rsid w:val="40A47108"/>
    <w:rsid w:val="40AB493B"/>
    <w:rsid w:val="40B807C5"/>
    <w:rsid w:val="40C31C84"/>
    <w:rsid w:val="40CC521B"/>
    <w:rsid w:val="40DE261A"/>
    <w:rsid w:val="40E65973"/>
    <w:rsid w:val="41013260"/>
    <w:rsid w:val="410A1661"/>
    <w:rsid w:val="411B386E"/>
    <w:rsid w:val="412F65D1"/>
    <w:rsid w:val="415154E1"/>
    <w:rsid w:val="415E14BF"/>
    <w:rsid w:val="416D658D"/>
    <w:rsid w:val="416E5FE4"/>
    <w:rsid w:val="416F68D8"/>
    <w:rsid w:val="418C5531"/>
    <w:rsid w:val="41923405"/>
    <w:rsid w:val="41970A1B"/>
    <w:rsid w:val="41A575DC"/>
    <w:rsid w:val="41B14061"/>
    <w:rsid w:val="41B16896"/>
    <w:rsid w:val="41B34C1F"/>
    <w:rsid w:val="41C912ED"/>
    <w:rsid w:val="41D62409"/>
    <w:rsid w:val="41D8350E"/>
    <w:rsid w:val="41EA3241"/>
    <w:rsid w:val="41F145CF"/>
    <w:rsid w:val="41FD7266"/>
    <w:rsid w:val="422809DD"/>
    <w:rsid w:val="422A2DBE"/>
    <w:rsid w:val="4243382E"/>
    <w:rsid w:val="424356BE"/>
    <w:rsid w:val="425F3156"/>
    <w:rsid w:val="42644DA1"/>
    <w:rsid w:val="426B25D4"/>
    <w:rsid w:val="427505E4"/>
    <w:rsid w:val="427B2F84"/>
    <w:rsid w:val="427F1BDB"/>
    <w:rsid w:val="428C60A6"/>
    <w:rsid w:val="429C09DF"/>
    <w:rsid w:val="42A04F26"/>
    <w:rsid w:val="42A15FF5"/>
    <w:rsid w:val="42A94EAA"/>
    <w:rsid w:val="42B025EA"/>
    <w:rsid w:val="42B9333F"/>
    <w:rsid w:val="42D23402"/>
    <w:rsid w:val="42E87780"/>
    <w:rsid w:val="42F02AD9"/>
    <w:rsid w:val="42F8264A"/>
    <w:rsid w:val="430622FC"/>
    <w:rsid w:val="43104F29"/>
    <w:rsid w:val="43244531"/>
    <w:rsid w:val="43326C4D"/>
    <w:rsid w:val="434C6300"/>
    <w:rsid w:val="436D5ED7"/>
    <w:rsid w:val="43731E93"/>
    <w:rsid w:val="4383394D"/>
    <w:rsid w:val="438C2802"/>
    <w:rsid w:val="43964332"/>
    <w:rsid w:val="43A01E09"/>
    <w:rsid w:val="43A10CDC"/>
    <w:rsid w:val="43AC34F3"/>
    <w:rsid w:val="43B71FC6"/>
    <w:rsid w:val="43E3453C"/>
    <w:rsid w:val="43E91A02"/>
    <w:rsid w:val="43EA4F05"/>
    <w:rsid w:val="43EF2D90"/>
    <w:rsid w:val="43FD7C55"/>
    <w:rsid w:val="44022AC4"/>
    <w:rsid w:val="44075192"/>
    <w:rsid w:val="441501A5"/>
    <w:rsid w:val="442B201A"/>
    <w:rsid w:val="443479B6"/>
    <w:rsid w:val="44497604"/>
    <w:rsid w:val="44501A81"/>
    <w:rsid w:val="44641089"/>
    <w:rsid w:val="4475754E"/>
    <w:rsid w:val="448654A3"/>
    <w:rsid w:val="448F316F"/>
    <w:rsid w:val="4496320C"/>
    <w:rsid w:val="44976BAA"/>
    <w:rsid w:val="44B57B36"/>
    <w:rsid w:val="44C30DC2"/>
    <w:rsid w:val="44DA134B"/>
    <w:rsid w:val="44DC1567"/>
    <w:rsid w:val="44DF4BB3"/>
    <w:rsid w:val="44E24BED"/>
    <w:rsid w:val="44F6229C"/>
    <w:rsid w:val="44FB7675"/>
    <w:rsid w:val="450665E4"/>
    <w:rsid w:val="45066DEA"/>
    <w:rsid w:val="452A0524"/>
    <w:rsid w:val="45554E75"/>
    <w:rsid w:val="455B164D"/>
    <w:rsid w:val="45631FCB"/>
    <w:rsid w:val="45660E30"/>
    <w:rsid w:val="456F14C8"/>
    <w:rsid w:val="45717E03"/>
    <w:rsid w:val="45737B49"/>
    <w:rsid w:val="45772A5A"/>
    <w:rsid w:val="45790B64"/>
    <w:rsid w:val="457933AD"/>
    <w:rsid w:val="45B05BAB"/>
    <w:rsid w:val="45C02C36"/>
    <w:rsid w:val="45C35E40"/>
    <w:rsid w:val="45CD0EAF"/>
    <w:rsid w:val="45F96F2A"/>
    <w:rsid w:val="460074D7"/>
    <w:rsid w:val="460F771A"/>
    <w:rsid w:val="461C402C"/>
    <w:rsid w:val="461F5BAF"/>
    <w:rsid w:val="462A456B"/>
    <w:rsid w:val="46345C8C"/>
    <w:rsid w:val="465869CB"/>
    <w:rsid w:val="465B295F"/>
    <w:rsid w:val="467A75C4"/>
    <w:rsid w:val="46B502C1"/>
    <w:rsid w:val="46B743EF"/>
    <w:rsid w:val="46C73B5B"/>
    <w:rsid w:val="46E84622"/>
    <w:rsid w:val="46F73DC3"/>
    <w:rsid w:val="4703102D"/>
    <w:rsid w:val="470368E9"/>
    <w:rsid w:val="47036F8C"/>
    <w:rsid w:val="470B1C8F"/>
    <w:rsid w:val="471C7F42"/>
    <w:rsid w:val="471E0654"/>
    <w:rsid w:val="47213261"/>
    <w:rsid w:val="47376F28"/>
    <w:rsid w:val="474653BD"/>
    <w:rsid w:val="47507FEA"/>
    <w:rsid w:val="475F3D89"/>
    <w:rsid w:val="47980106"/>
    <w:rsid w:val="47A04ACD"/>
    <w:rsid w:val="47A345BE"/>
    <w:rsid w:val="47BA5463"/>
    <w:rsid w:val="47C167F2"/>
    <w:rsid w:val="47C54534"/>
    <w:rsid w:val="47D91D8D"/>
    <w:rsid w:val="47E0136E"/>
    <w:rsid w:val="4800556C"/>
    <w:rsid w:val="480C2163"/>
    <w:rsid w:val="480C3F44"/>
    <w:rsid w:val="480C5CBF"/>
    <w:rsid w:val="48221986"/>
    <w:rsid w:val="482E4459"/>
    <w:rsid w:val="483F3CF7"/>
    <w:rsid w:val="483F729A"/>
    <w:rsid w:val="48435F9F"/>
    <w:rsid w:val="485811E2"/>
    <w:rsid w:val="48641285"/>
    <w:rsid w:val="48704DF7"/>
    <w:rsid w:val="487658C6"/>
    <w:rsid w:val="488579FD"/>
    <w:rsid w:val="48900224"/>
    <w:rsid w:val="48914416"/>
    <w:rsid w:val="48981C49"/>
    <w:rsid w:val="48A24875"/>
    <w:rsid w:val="48B171B1"/>
    <w:rsid w:val="48C60564"/>
    <w:rsid w:val="48DA2BBD"/>
    <w:rsid w:val="48E16582"/>
    <w:rsid w:val="48EC2FFE"/>
    <w:rsid w:val="49010BDC"/>
    <w:rsid w:val="49115557"/>
    <w:rsid w:val="49331971"/>
    <w:rsid w:val="49441489"/>
    <w:rsid w:val="497E0455"/>
    <w:rsid w:val="49935F6C"/>
    <w:rsid w:val="49A2349F"/>
    <w:rsid w:val="49B8082A"/>
    <w:rsid w:val="49B93365"/>
    <w:rsid w:val="49C66341"/>
    <w:rsid w:val="49CF51F6"/>
    <w:rsid w:val="49EC224C"/>
    <w:rsid w:val="49FB2207"/>
    <w:rsid w:val="4A056571"/>
    <w:rsid w:val="4A0B1FA6"/>
    <w:rsid w:val="4A0C6E57"/>
    <w:rsid w:val="4A1E5E6E"/>
    <w:rsid w:val="4A21588F"/>
    <w:rsid w:val="4A306BB8"/>
    <w:rsid w:val="4A371147"/>
    <w:rsid w:val="4A4217FA"/>
    <w:rsid w:val="4A4D6DAB"/>
    <w:rsid w:val="4A783AE0"/>
    <w:rsid w:val="4A784C76"/>
    <w:rsid w:val="4A7D46AD"/>
    <w:rsid w:val="4A8A690F"/>
    <w:rsid w:val="4AA246B9"/>
    <w:rsid w:val="4AA258AB"/>
    <w:rsid w:val="4AA32AFD"/>
    <w:rsid w:val="4AAA5C63"/>
    <w:rsid w:val="4AB5517C"/>
    <w:rsid w:val="4AC3563E"/>
    <w:rsid w:val="4ACA3C0F"/>
    <w:rsid w:val="4ADE0156"/>
    <w:rsid w:val="4ADF76BB"/>
    <w:rsid w:val="4AE64EED"/>
    <w:rsid w:val="4AFD2F7E"/>
    <w:rsid w:val="4B077C9A"/>
    <w:rsid w:val="4B0F7D5B"/>
    <w:rsid w:val="4B165A7F"/>
    <w:rsid w:val="4B3A3171"/>
    <w:rsid w:val="4B3A470A"/>
    <w:rsid w:val="4B545E79"/>
    <w:rsid w:val="4B626DA5"/>
    <w:rsid w:val="4B7B168A"/>
    <w:rsid w:val="4B7F0E9E"/>
    <w:rsid w:val="4B8115B5"/>
    <w:rsid w:val="4B812C5B"/>
    <w:rsid w:val="4B9B1C17"/>
    <w:rsid w:val="4B9F58B7"/>
    <w:rsid w:val="4BA20023"/>
    <w:rsid w:val="4BA33252"/>
    <w:rsid w:val="4BCB40E3"/>
    <w:rsid w:val="4BD80222"/>
    <w:rsid w:val="4BDD6323"/>
    <w:rsid w:val="4BEA4569"/>
    <w:rsid w:val="4BED22AB"/>
    <w:rsid w:val="4BED36FB"/>
    <w:rsid w:val="4BFE1DC3"/>
    <w:rsid w:val="4C141150"/>
    <w:rsid w:val="4C16000F"/>
    <w:rsid w:val="4C1E5E4A"/>
    <w:rsid w:val="4C4D769E"/>
    <w:rsid w:val="4C5E0AB3"/>
    <w:rsid w:val="4C5E4F57"/>
    <w:rsid w:val="4C62549A"/>
    <w:rsid w:val="4C67342E"/>
    <w:rsid w:val="4C7C096F"/>
    <w:rsid w:val="4C941E71"/>
    <w:rsid w:val="4CAE37E9"/>
    <w:rsid w:val="4CCE79E7"/>
    <w:rsid w:val="4D211275"/>
    <w:rsid w:val="4D297313"/>
    <w:rsid w:val="4D363D79"/>
    <w:rsid w:val="4D4B68FB"/>
    <w:rsid w:val="4D673998"/>
    <w:rsid w:val="4D7F1B19"/>
    <w:rsid w:val="4DA8648A"/>
    <w:rsid w:val="4DC25072"/>
    <w:rsid w:val="4DDD5C32"/>
    <w:rsid w:val="4DE928EF"/>
    <w:rsid w:val="4DFC4A28"/>
    <w:rsid w:val="4E014268"/>
    <w:rsid w:val="4E140243"/>
    <w:rsid w:val="4E2122C2"/>
    <w:rsid w:val="4E2C1713"/>
    <w:rsid w:val="4E4361B3"/>
    <w:rsid w:val="4E507709"/>
    <w:rsid w:val="4E593C28"/>
    <w:rsid w:val="4E5E22AD"/>
    <w:rsid w:val="4E5E3241"/>
    <w:rsid w:val="4E6673B5"/>
    <w:rsid w:val="4E7740AE"/>
    <w:rsid w:val="4E8D742E"/>
    <w:rsid w:val="4EA572FD"/>
    <w:rsid w:val="4EBC7D57"/>
    <w:rsid w:val="4EBD41B7"/>
    <w:rsid w:val="4EBE3A8B"/>
    <w:rsid w:val="4EC70B92"/>
    <w:rsid w:val="4EC866B8"/>
    <w:rsid w:val="4ECF154B"/>
    <w:rsid w:val="4ED80FF1"/>
    <w:rsid w:val="4ED9708C"/>
    <w:rsid w:val="4EF15C0F"/>
    <w:rsid w:val="4EFA44D9"/>
    <w:rsid w:val="4F0516BA"/>
    <w:rsid w:val="4F093DB8"/>
    <w:rsid w:val="4F0B7662"/>
    <w:rsid w:val="4F281560"/>
    <w:rsid w:val="4F38383D"/>
    <w:rsid w:val="4F440434"/>
    <w:rsid w:val="4F49248E"/>
    <w:rsid w:val="4F764366"/>
    <w:rsid w:val="4FA7451F"/>
    <w:rsid w:val="4FB2206C"/>
    <w:rsid w:val="4FD03A76"/>
    <w:rsid w:val="4FE94B38"/>
    <w:rsid w:val="50057B77"/>
    <w:rsid w:val="50084FB8"/>
    <w:rsid w:val="500A204E"/>
    <w:rsid w:val="501716A5"/>
    <w:rsid w:val="501C4F0D"/>
    <w:rsid w:val="5025088B"/>
    <w:rsid w:val="502838B2"/>
    <w:rsid w:val="502A6AF6"/>
    <w:rsid w:val="503F0BFC"/>
    <w:rsid w:val="504A7CCC"/>
    <w:rsid w:val="50591CBD"/>
    <w:rsid w:val="505A5524"/>
    <w:rsid w:val="50780BF8"/>
    <w:rsid w:val="507A605D"/>
    <w:rsid w:val="507F724A"/>
    <w:rsid w:val="50EC2B32"/>
    <w:rsid w:val="50F25C6E"/>
    <w:rsid w:val="51154BFB"/>
    <w:rsid w:val="51183927"/>
    <w:rsid w:val="51257DF2"/>
    <w:rsid w:val="5131663C"/>
    <w:rsid w:val="5132492A"/>
    <w:rsid w:val="513E3A14"/>
    <w:rsid w:val="51466278"/>
    <w:rsid w:val="51515016"/>
    <w:rsid w:val="515B7CB7"/>
    <w:rsid w:val="515D7C9E"/>
    <w:rsid w:val="515E5F51"/>
    <w:rsid w:val="516B625C"/>
    <w:rsid w:val="518B6524"/>
    <w:rsid w:val="519805C3"/>
    <w:rsid w:val="51986815"/>
    <w:rsid w:val="51B54E73"/>
    <w:rsid w:val="51B7529F"/>
    <w:rsid w:val="51D535C6"/>
    <w:rsid w:val="51FB3D3A"/>
    <w:rsid w:val="520A3291"/>
    <w:rsid w:val="520D1A2D"/>
    <w:rsid w:val="521F6814"/>
    <w:rsid w:val="522B1438"/>
    <w:rsid w:val="523440A8"/>
    <w:rsid w:val="523F4EE3"/>
    <w:rsid w:val="52420B60"/>
    <w:rsid w:val="52481FEA"/>
    <w:rsid w:val="52566B8F"/>
    <w:rsid w:val="52635075"/>
    <w:rsid w:val="526414E3"/>
    <w:rsid w:val="5269386D"/>
    <w:rsid w:val="52754DA9"/>
    <w:rsid w:val="52797C9E"/>
    <w:rsid w:val="52822E41"/>
    <w:rsid w:val="528C28B3"/>
    <w:rsid w:val="52903990"/>
    <w:rsid w:val="52A511EA"/>
    <w:rsid w:val="52A94F25"/>
    <w:rsid w:val="52AE6A74"/>
    <w:rsid w:val="52B4142D"/>
    <w:rsid w:val="52B94DB3"/>
    <w:rsid w:val="52BF1C0E"/>
    <w:rsid w:val="52F65EE9"/>
    <w:rsid w:val="53023F62"/>
    <w:rsid w:val="53076682"/>
    <w:rsid w:val="53165C44"/>
    <w:rsid w:val="53227120"/>
    <w:rsid w:val="533B1BB0"/>
    <w:rsid w:val="535D1AC5"/>
    <w:rsid w:val="538648F5"/>
    <w:rsid w:val="53890B0C"/>
    <w:rsid w:val="53B20651"/>
    <w:rsid w:val="53BA0524"/>
    <w:rsid w:val="53C77E94"/>
    <w:rsid w:val="53CD013B"/>
    <w:rsid w:val="53E56F94"/>
    <w:rsid w:val="53EA0E7E"/>
    <w:rsid w:val="53EE6BC1"/>
    <w:rsid w:val="543259D6"/>
    <w:rsid w:val="543D5452"/>
    <w:rsid w:val="544C203B"/>
    <w:rsid w:val="544D7D8B"/>
    <w:rsid w:val="545149A4"/>
    <w:rsid w:val="5455279C"/>
    <w:rsid w:val="546073CE"/>
    <w:rsid w:val="54686973"/>
    <w:rsid w:val="546E7D01"/>
    <w:rsid w:val="548B25AF"/>
    <w:rsid w:val="5495637B"/>
    <w:rsid w:val="54B94928"/>
    <w:rsid w:val="54BA568B"/>
    <w:rsid w:val="54C811C0"/>
    <w:rsid w:val="54DB7182"/>
    <w:rsid w:val="54FF3EA3"/>
    <w:rsid w:val="55202DAA"/>
    <w:rsid w:val="552F597B"/>
    <w:rsid w:val="55322ADD"/>
    <w:rsid w:val="55412274"/>
    <w:rsid w:val="55524F2D"/>
    <w:rsid w:val="555267D0"/>
    <w:rsid w:val="55674DA8"/>
    <w:rsid w:val="556E6D05"/>
    <w:rsid w:val="55901705"/>
    <w:rsid w:val="55913CA7"/>
    <w:rsid w:val="55963C06"/>
    <w:rsid w:val="559B68D4"/>
    <w:rsid w:val="55AE4859"/>
    <w:rsid w:val="55DB4F23"/>
    <w:rsid w:val="55E0141B"/>
    <w:rsid w:val="561A437B"/>
    <w:rsid w:val="561B54FD"/>
    <w:rsid w:val="56244B1C"/>
    <w:rsid w:val="562F2D5D"/>
    <w:rsid w:val="56331B2A"/>
    <w:rsid w:val="564C5E20"/>
    <w:rsid w:val="56563ADF"/>
    <w:rsid w:val="56674591"/>
    <w:rsid w:val="56685649"/>
    <w:rsid w:val="566B44F9"/>
    <w:rsid w:val="568277C4"/>
    <w:rsid w:val="56BC6B02"/>
    <w:rsid w:val="56CC7180"/>
    <w:rsid w:val="56D62757"/>
    <w:rsid w:val="56DE0C02"/>
    <w:rsid w:val="56FF7DD0"/>
    <w:rsid w:val="57610B9F"/>
    <w:rsid w:val="5766195C"/>
    <w:rsid w:val="576D604E"/>
    <w:rsid w:val="57790B90"/>
    <w:rsid w:val="577A669A"/>
    <w:rsid w:val="578B0F71"/>
    <w:rsid w:val="57925AB5"/>
    <w:rsid w:val="57AA3376"/>
    <w:rsid w:val="57DF7AC4"/>
    <w:rsid w:val="57E9430B"/>
    <w:rsid w:val="57EA1BC8"/>
    <w:rsid w:val="57F54779"/>
    <w:rsid w:val="58112772"/>
    <w:rsid w:val="58240E03"/>
    <w:rsid w:val="583118B4"/>
    <w:rsid w:val="583A6878"/>
    <w:rsid w:val="5863073B"/>
    <w:rsid w:val="5864359A"/>
    <w:rsid w:val="58871392"/>
    <w:rsid w:val="588B0E82"/>
    <w:rsid w:val="588B2C30"/>
    <w:rsid w:val="58B02697"/>
    <w:rsid w:val="58C63C68"/>
    <w:rsid w:val="58C919AA"/>
    <w:rsid w:val="58D04603"/>
    <w:rsid w:val="58E879C2"/>
    <w:rsid w:val="58F033DB"/>
    <w:rsid w:val="58F307D5"/>
    <w:rsid w:val="590F3861"/>
    <w:rsid w:val="59165591"/>
    <w:rsid w:val="591846FB"/>
    <w:rsid w:val="591E1CF6"/>
    <w:rsid w:val="59290C83"/>
    <w:rsid w:val="59311096"/>
    <w:rsid w:val="59420F25"/>
    <w:rsid w:val="5948548D"/>
    <w:rsid w:val="5960314C"/>
    <w:rsid w:val="59633BAD"/>
    <w:rsid w:val="59960F02"/>
    <w:rsid w:val="599C29D1"/>
    <w:rsid w:val="599F20BC"/>
    <w:rsid w:val="59BC2A15"/>
    <w:rsid w:val="59C4289D"/>
    <w:rsid w:val="59C52172"/>
    <w:rsid w:val="59CA7788"/>
    <w:rsid w:val="59D93E6F"/>
    <w:rsid w:val="59DB3694"/>
    <w:rsid w:val="59DD7435"/>
    <w:rsid w:val="59F859B5"/>
    <w:rsid w:val="59F90D5A"/>
    <w:rsid w:val="59FA7000"/>
    <w:rsid w:val="5A0F163F"/>
    <w:rsid w:val="5A321B74"/>
    <w:rsid w:val="5A5D0F6B"/>
    <w:rsid w:val="5A6133E3"/>
    <w:rsid w:val="5A6E1702"/>
    <w:rsid w:val="5A7643EA"/>
    <w:rsid w:val="5AAD6E5B"/>
    <w:rsid w:val="5AB973DB"/>
    <w:rsid w:val="5AD93865"/>
    <w:rsid w:val="5AF854CA"/>
    <w:rsid w:val="5B427BA8"/>
    <w:rsid w:val="5B445318"/>
    <w:rsid w:val="5B7420A1"/>
    <w:rsid w:val="5B89601B"/>
    <w:rsid w:val="5B8A71CF"/>
    <w:rsid w:val="5B97277E"/>
    <w:rsid w:val="5BA364E3"/>
    <w:rsid w:val="5BA95605"/>
    <w:rsid w:val="5BAA7871"/>
    <w:rsid w:val="5BD26DC8"/>
    <w:rsid w:val="5BEF797A"/>
    <w:rsid w:val="5BF94355"/>
    <w:rsid w:val="5BFD37F6"/>
    <w:rsid w:val="5C1473E0"/>
    <w:rsid w:val="5C2100CD"/>
    <w:rsid w:val="5C252DC5"/>
    <w:rsid w:val="5C337866"/>
    <w:rsid w:val="5C36795D"/>
    <w:rsid w:val="5C424B3A"/>
    <w:rsid w:val="5C56223A"/>
    <w:rsid w:val="5C735EB5"/>
    <w:rsid w:val="5C7B1246"/>
    <w:rsid w:val="5CB0535B"/>
    <w:rsid w:val="5CB91629"/>
    <w:rsid w:val="5CC17396"/>
    <w:rsid w:val="5CC74453"/>
    <w:rsid w:val="5CCE57E1"/>
    <w:rsid w:val="5CD34BA6"/>
    <w:rsid w:val="5CD56B70"/>
    <w:rsid w:val="5CDB06F3"/>
    <w:rsid w:val="5CF87643"/>
    <w:rsid w:val="5D010639"/>
    <w:rsid w:val="5D0778E6"/>
    <w:rsid w:val="5D094A6B"/>
    <w:rsid w:val="5D213B63"/>
    <w:rsid w:val="5D3E333B"/>
    <w:rsid w:val="5D3F048D"/>
    <w:rsid w:val="5D3F1E22"/>
    <w:rsid w:val="5D4D6706"/>
    <w:rsid w:val="5D50269A"/>
    <w:rsid w:val="5D59154F"/>
    <w:rsid w:val="5D645228"/>
    <w:rsid w:val="5D6D6DA8"/>
    <w:rsid w:val="5D7C5EAE"/>
    <w:rsid w:val="5D8008C5"/>
    <w:rsid w:val="5D89115D"/>
    <w:rsid w:val="5D891708"/>
    <w:rsid w:val="5D8C2DD2"/>
    <w:rsid w:val="5D9A3915"/>
    <w:rsid w:val="5DA35731"/>
    <w:rsid w:val="5DB03139"/>
    <w:rsid w:val="5DB669A1"/>
    <w:rsid w:val="5DD230AF"/>
    <w:rsid w:val="5DD5494D"/>
    <w:rsid w:val="5DDE6F83"/>
    <w:rsid w:val="5DEC4171"/>
    <w:rsid w:val="5DF12811"/>
    <w:rsid w:val="5E0846F2"/>
    <w:rsid w:val="5E1614EB"/>
    <w:rsid w:val="5E192A8C"/>
    <w:rsid w:val="5E2F29E1"/>
    <w:rsid w:val="5E381067"/>
    <w:rsid w:val="5E3E24F3"/>
    <w:rsid w:val="5E3E55FC"/>
    <w:rsid w:val="5E431D24"/>
    <w:rsid w:val="5E525F9E"/>
    <w:rsid w:val="5E5646F0"/>
    <w:rsid w:val="5E622685"/>
    <w:rsid w:val="5E652175"/>
    <w:rsid w:val="5E7D301B"/>
    <w:rsid w:val="5E7E6D93"/>
    <w:rsid w:val="5EA44A4C"/>
    <w:rsid w:val="5EA7453C"/>
    <w:rsid w:val="5EB5671E"/>
    <w:rsid w:val="5EB804F7"/>
    <w:rsid w:val="5ECF6556"/>
    <w:rsid w:val="5EDC7B74"/>
    <w:rsid w:val="5EF53BDF"/>
    <w:rsid w:val="5EFF7ED4"/>
    <w:rsid w:val="5F0454EA"/>
    <w:rsid w:val="5F0F007C"/>
    <w:rsid w:val="5F1C2834"/>
    <w:rsid w:val="5F1D65AC"/>
    <w:rsid w:val="5F3205AD"/>
    <w:rsid w:val="5F473629"/>
    <w:rsid w:val="5F61293D"/>
    <w:rsid w:val="5F613302"/>
    <w:rsid w:val="5F864151"/>
    <w:rsid w:val="5F8D54E0"/>
    <w:rsid w:val="5FA77C77"/>
    <w:rsid w:val="5FB077A1"/>
    <w:rsid w:val="5FE07D05"/>
    <w:rsid w:val="5FF14A08"/>
    <w:rsid w:val="5FFE20F7"/>
    <w:rsid w:val="602F322A"/>
    <w:rsid w:val="60327E35"/>
    <w:rsid w:val="604A517F"/>
    <w:rsid w:val="60563B24"/>
    <w:rsid w:val="60AA20C1"/>
    <w:rsid w:val="60B63A47"/>
    <w:rsid w:val="60D522C2"/>
    <w:rsid w:val="60E43825"/>
    <w:rsid w:val="60F021CA"/>
    <w:rsid w:val="60F8600F"/>
    <w:rsid w:val="6105317C"/>
    <w:rsid w:val="610A2B60"/>
    <w:rsid w:val="61111B40"/>
    <w:rsid w:val="613F373E"/>
    <w:rsid w:val="614E5215"/>
    <w:rsid w:val="61581B1D"/>
    <w:rsid w:val="615A7643"/>
    <w:rsid w:val="616C17AB"/>
    <w:rsid w:val="61706E67"/>
    <w:rsid w:val="61840B64"/>
    <w:rsid w:val="619D7ADA"/>
    <w:rsid w:val="61AB75AC"/>
    <w:rsid w:val="61B56F70"/>
    <w:rsid w:val="61BF4C81"/>
    <w:rsid w:val="61E17D65"/>
    <w:rsid w:val="62035F2D"/>
    <w:rsid w:val="620752CC"/>
    <w:rsid w:val="622268F2"/>
    <w:rsid w:val="622542CF"/>
    <w:rsid w:val="62264891"/>
    <w:rsid w:val="62286FA5"/>
    <w:rsid w:val="623563AE"/>
    <w:rsid w:val="62492EFE"/>
    <w:rsid w:val="624E1071"/>
    <w:rsid w:val="62626B84"/>
    <w:rsid w:val="62637837"/>
    <w:rsid w:val="6267283E"/>
    <w:rsid w:val="62792788"/>
    <w:rsid w:val="62832086"/>
    <w:rsid w:val="62834FC8"/>
    <w:rsid w:val="62A710E0"/>
    <w:rsid w:val="62A96AD4"/>
    <w:rsid w:val="62AA63A9"/>
    <w:rsid w:val="62B64D4D"/>
    <w:rsid w:val="62B66AFB"/>
    <w:rsid w:val="62BE466A"/>
    <w:rsid w:val="62D173A3"/>
    <w:rsid w:val="62D7000D"/>
    <w:rsid w:val="62DD052C"/>
    <w:rsid w:val="62F00C50"/>
    <w:rsid w:val="62FD297C"/>
    <w:rsid w:val="630F1249"/>
    <w:rsid w:val="632B1BE2"/>
    <w:rsid w:val="63304B00"/>
    <w:rsid w:val="633826BD"/>
    <w:rsid w:val="633A3BD0"/>
    <w:rsid w:val="633F2F95"/>
    <w:rsid w:val="634501AD"/>
    <w:rsid w:val="63471E49"/>
    <w:rsid w:val="63611187"/>
    <w:rsid w:val="63627A9D"/>
    <w:rsid w:val="63681946"/>
    <w:rsid w:val="636C5CA4"/>
    <w:rsid w:val="637741CD"/>
    <w:rsid w:val="639332E1"/>
    <w:rsid w:val="639D3C37"/>
    <w:rsid w:val="63A23524"/>
    <w:rsid w:val="63B03E93"/>
    <w:rsid w:val="63B55005"/>
    <w:rsid w:val="63B8042E"/>
    <w:rsid w:val="63BD3EBA"/>
    <w:rsid w:val="63CB65D6"/>
    <w:rsid w:val="63FF1A0B"/>
    <w:rsid w:val="63FF2724"/>
    <w:rsid w:val="640D60D4"/>
    <w:rsid w:val="641023F3"/>
    <w:rsid w:val="64137F7D"/>
    <w:rsid w:val="646328E5"/>
    <w:rsid w:val="64687935"/>
    <w:rsid w:val="646E036A"/>
    <w:rsid w:val="64B452BD"/>
    <w:rsid w:val="64B77E23"/>
    <w:rsid w:val="64BA58DD"/>
    <w:rsid w:val="64C45338"/>
    <w:rsid w:val="64E42046"/>
    <w:rsid w:val="64E7519D"/>
    <w:rsid w:val="65191143"/>
    <w:rsid w:val="652561BA"/>
    <w:rsid w:val="65326378"/>
    <w:rsid w:val="653F61C7"/>
    <w:rsid w:val="654B373B"/>
    <w:rsid w:val="65800CE3"/>
    <w:rsid w:val="65864736"/>
    <w:rsid w:val="65881026"/>
    <w:rsid w:val="65927965"/>
    <w:rsid w:val="65A268E1"/>
    <w:rsid w:val="65AD2FA3"/>
    <w:rsid w:val="65BB267B"/>
    <w:rsid w:val="65BD4645"/>
    <w:rsid w:val="65CA232C"/>
    <w:rsid w:val="65D05130"/>
    <w:rsid w:val="65DA6380"/>
    <w:rsid w:val="65DA6FA5"/>
    <w:rsid w:val="65ED7147"/>
    <w:rsid w:val="66100C18"/>
    <w:rsid w:val="662B7800"/>
    <w:rsid w:val="6632293D"/>
    <w:rsid w:val="663A0221"/>
    <w:rsid w:val="6647366D"/>
    <w:rsid w:val="66535EF2"/>
    <w:rsid w:val="6657146D"/>
    <w:rsid w:val="665A36BC"/>
    <w:rsid w:val="666D7E19"/>
    <w:rsid w:val="66901C8E"/>
    <w:rsid w:val="669729F9"/>
    <w:rsid w:val="66C33EDD"/>
    <w:rsid w:val="66D332E6"/>
    <w:rsid w:val="670F766A"/>
    <w:rsid w:val="67163D26"/>
    <w:rsid w:val="671706E9"/>
    <w:rsid w:val="671B584E"/>
    <w:rsid w:val="6727446C"/>
    <w:rsid w:val="67274D7C"/>
    <w:rsid w:val="67332E10"/>
    <w:rsid w:val="67334BBF"/>
    <w:rsid w:val="675D1C3B"/>
    <w:rsid w:val="676A327D"/>
    <w:rsid w:val="67700F1C"/>
    <w:rsid w:val="677B0314"/>
    <w:rsid w:val="67A13263"/>
    <w:rsid w:val="67C40C8C"/>
    <w:rsid w:val="67CC0B6F"/>
    <w:rsid w:val="67D41B8B"/>
    <w:rsid w:val="67E12E48"/>
    <w:rsid w:val="67E94861"/>
    <w:rsid w:val="67F6709F"/>
    <w:rsid w:val="68096B6D"/>
    <w:rsid w:val="680D0C87"/>
    <w:rsid w:val="680D387C"/>
    <w:rsid w:val="68142C42"/>
    <w:rsid w:val="68374F64"/>
    <w:rsid w:val="683C57F2"/>
    <w:rsid w:val="686A660B"/>
    <w:rsid w:val="68847A0C"/>
    <w:rsid w:val="689618A9"/>
    <w:rsid w:val="689E42BA"/>
    <w:rsid w:val="68BC762C"/>
    <w:rsid w:val="68BE2BAE"/>
    <w:rsid w:val="68CA68B5"/>
    <w:rsid w:val="68DB74A5"/>
    <w:rsid w:val="68EF720B"/>
    <w:rsid w:val="68FD36D6"/>
    <w:rsid w:val="690D4580"/>
    <w:rsid w:val="690E6278"/>
    <w:rsid w:val="690F51B7"/>
    <w:rsid w:val="69194288"/>
    <w:rsid w:val="69256F0C"/>
    <w:rsid w:val="694E2BE2"/>
    <w:rsid w:val="69545323"/>
    <w:rsid w:val="695C7EAF"/>
    <w:rsid w:val="69652A6D"/>
    <w:rsid w:val="696B4E3B"/>
    <w:rsid w:val="69766FE4"/>
    <w:rsid w:val="698A2C67"/>
    <w:rsid w:val="699E75B7"/>
    <w:rsid w:val="69A27DD9"/>
    <w:rsid w:val="69A73642"/>
    <w:rsid w:val="69B55600"/>
    <w:rsid w:val="69CC30A8"/>
    <w:rsid w:val="69D275CD"/>
    <w:rsid w:val="69D33990"/>
    <w:rsid w:val="69DF3D94"/>
    <w:rsid w:val="69EC54F9"/>
    <w:rsid w:val="69F055C0"/>
    <w:rsid w:val="6A072E2B"/>
    <w:rsid w:val="6A07714C"/>
    <w:rsid w:val="6A087694"/>
    <w:rsid w:val="6A1F58CE"/>
    <w:rsid w:val="6A211646"/>
    <w:rsid w:val="6A265C29"/>
    <w:rsid w:val="6A361A16"/>
    <w:rsid w:val="6A842F16"/>
    <w:rsid w:val="6AAE03CB"/>
    <w:rsid w:val="6AAF0A00"/>
    <w:rsid w:val="6AB02EC8"/>
    <w:rsid w:val="6AB73D58"/>
    <w:rsid w:val="6ABC136F"/>
    <w:rsid w:val="6AD14E1A"/>
    <w:rsid w:val="6AF86DC4"/>
    <w:rsid w:val="6AFB3C45"/>
    <w:rsid w:val="6B057DDB"/>
    <w:rsid w:val="6B2F5666"/>
    <w:rsid w:val="6B4813AC"/>
    <w:rsid w:val="6B50268E"/>
    <w:rsid w:val="6B7C65F4"/>
    <w:rsid w:val="6B9A725A"/>
    <w:rsid w:val="6BA77929"/>
    <w:rsid w:val="6BCE7AAD"/>
    <w:rsid w:val="6BDE4195"/>
    <w:rsid w:val="6BE4292B"/>
    <w:rsid w:val="6BE74FA5"/>
    <w:rsid w:val="6BEE15B7"/>
    <w:rsid w:val="6BF603DA"/>
    <w:rsid w:val="6C115D8F"/>
    <w:rsid w:val="6C1F325E"/>
    <w:rsid w:val="6C3816AB"/>
    <w:rsid w:val="6C3A254B"/>
    <w:rsid w:val="6C847CE7"/>
    <w:rsid w:val="6C8B724B"/>
    <w:rsid w:val="6CD104AE"/>
    <w:rsid w:val="6CD504C6"/>
    <w:rsid w:val="6CFA4FE4"/>
    <w:rsid w:val="6CFC3CA5"/>
    <w:rsid w:val="6D0C65D9"/>
    <w:rsid w:val="6D0E34C1"/>
    <w:rsid w:val="6D1643B9"/>
    <w:rsid w:val="6D1972F2"/>
    <w:rsid w:val="6D1E1E6D"/>
    <w:rsid w:val="6D3E6A5C"/>
    <w:rsid w:val="6D4332A9"/>
    <w:rsid w:val="6D632886"/>
    <w:rsid w:val="6D7777CF"/>
    <w:rsid w:val="6D7E46BA"/>
    <w:rsid w:val="6D934609"/>
    <w:rsid w:val="6D9503B7"/>
    <w:rsid w:val="6D9F6377"/>
    <w:rsid w:val="6DA71E62"/>
    <w:rsid w:val="6DAB56B5"/>
    <w:rsid w:val="6DBB3B60"/>
    <w:rsid w:val="6DDB3AF1"/>
    <w:rsid w:val="6DE9247B"/>
    <w:rsid w:val="6DED64EA"/>
    <w:rsid w:val="6DEF3809"/>
    <w:rsid w:val="6DEF7365"/>
    <w:rsid w:val="6E107822"/>
    <w:rsid w:val="6E285E4F"/>
    <w:rsid w:val="6E355D52"/>
    <w:rsid w:val="6E540DCA"/>
    <w:rsid w:val="6E647D53"/>
    <w:rsid w:val="6EA2087C"/>
    <w:rsid w:val="6EAF63DD"/>
    <w:rsid w:val="6EB42E26"/>
    <w:rsid w:val="6EBE163B"/>
    <w:rsid w:val="6ED14359"/>
    <w:rsid w:val="6F0D03EB"/>
    <w:rsid w:val="6F173018"/>
    <w:rsid w:val="6F1928EC"/>
    <w:rsid w:val="6F1E7F02"/>
    <w:rsid w:val="6F233BE2"/>
    <w:rsid w:val="6F3E32B0"/>
    <w:rsid w:val="6F4D563D"/>
    <w:rsid w:val="6F5A2F04"/>
    <w:rsid w:val="6F5D6566"/>
    <w:rsid w:val="6F80296B"/>
    <w:rsid w:val="6FBC660D"/>
    <w:rsid w:val="6FCB1CED"/>
    <w:rsid w:val="6FDF6DF5"/>
    <w:rsid w:val="6FE32EFA"/>
    <w:rsid w:val="6FF70753"/>
    <w:rsid w:val="700370F8"/>
    <w:rsid w:val="70122199"/>
    <w:rsid w:val="701C374E"/>
    <w:rsid w:val="7038367B"/>
    <w:rsid w:val="703A33D1"/>
    <w:rsid w:val="703A36F6"/>
    <w:rsid w:val="70490180"/>
    <w:rsid w:val="7053092C"/>
    <w:rsid w:val="706059C1"/>
    <w:rsid w:val="7064403B"/>
    <w:rsid w:val="7065127C"/>
    <w:rsid w:val="70684885"/>
    <w:rsid w:val="706A20CB"/>
    <w:rsid w:val="708446DD"/>
    <w:rsid w:val="7089769A"/>
    <w:rsid w:val="70932B72"/>
    <w:rsid w:val="70A02B99"/>
    <w:rsid w:val="70AC2E97"/>
    <w:rsid w:val="70E13B38"/>
    <w:rsid w:val="70EC3D9C"/>
    <w:rsid w:val="71036320"/>
    <w:rsid w:val="71066EA0"/>
    <w:rsid w:val="71437225"/>
    <w:rsid w:val="71597917"/>
    <w:rsid w:val="71752277"/>
    <w:rsid w:val="71A5106C"/>
    <w:rsid w:val="71AF3427"/>
    <w:rsid w:val="71C86AB9"/>
    <w:rsid w:val="71CB5AA2"/>
    <w:rsid w:val="71D058CF"/>
    <w:rsid w:val="71DA31F3"/>
    <w:rsid w:val="71DC40A5"/>
    <w:rsid w:val="71E1714D"/>
    <w:rsid w:val="71E23835"/>
    <w:rsid w:val="71E332B1"/>
    <w:rsid w:val="71EA249C"/>
    <w:rsid w:val="71F93223"/>
    <w:rsid w:val="721A2556"/>
    <w:rsid w:val="721A575D"/>
    <w:rsid w:val="72253C9E"/>
    <w:rsid w:val="722738F3"/>
    <w:rsid w:val="72456B4B"/>
    <w:rsid w:val="724E4FA2"/>
    <w:rsid w:val="725531A4"/>
    <w:rsid w:val="72556025"/>
    <w:rsid w:val="726E2F4F"/>
    <w:rsid w:val="72892D0E"/>
    <w:rsid w:val="72BE56A0"/>
    <w:rsid w:val="72E2292C"/>
    <w:rsid w:val="73012015"/>
    <w:rsid w:val="73245D03"/>
    <w:rsid w:val="733C4DFB"/>
    <w:rsid w:val="734425D4"/>
    <w:rsid w:val="735E347B"/>
    <w:rsid w:val="73722DEC"/>
    <w:rsid w:val="73770529"/>
    <w:rsid w:val="737F7D73"/>
    <w:rsid w:val="738B5D82"/>
    <w:rsid w:val="73905147"/>
    <w:rsid w:val="73964485"/>
    <w:rsid w:val="73984B18"/>
    <w:rsid w:val="739D52C3"/>
    <w:rsid w:val="73A47643"/>
    <w:rsid w:val="73A56E44"/>
    <w:rsid w:val="73AB1F81"/>
    <w:rsid w:val="73B52DFF"/>
    <w:rsid w:val="73DA4287"/>
    <w:rsid w:val="73E26041"/>
    <w:rsid w:val="73E93DBF"/>
    <w:rsid w:val="73ED2599"/>
    <w:rsid w:val="73F32FC1"/>
    <w:rsid w:val="74100036"/>
    <w:rsid w:val="74352F65"/>
    <w:rsid w:val="7439758C"/>
    <w:rsid w:val="745A130C"/>
    <w:rsid w:val="7467234B"/>
    <w:rsid w:val="746B5098"/>
    <w:rsid w:val="74820F33"/>
    <w:rsid w:val="749B3DA3"/>
    <w:rsid w:val="74AE06FF"/>
    <w:rsid w:val="74AE7F7A"/>
    <w:rsid w:val="74B3052B"/>
    <w:rsid w:val="74C0380A"/>
    <w:rsid w:val="74D20BB4"/>
    <w:rsid w:val="74D774D1"/>
    <w:rsid w:val="74DF0134"/>
    <w:rsid w:val="74F006CD"/>
    <w:rsid w:val="74F040CD"/>
    <w:rsid w:val="74FB2CBE"/>
    <w:rsid w:val="74FD05BA"/>
    <w:rsid w:val="750A2236"/>
    <w:rsid w:val="750E6C6B"/>
    <w:rsid w:val="751D6EAE"/>
    <w:rsid w:val="75287D2D"/>
    <w:rsid w:val="75341C27"/>
    <w:rsid w:val="753C190E"/>
    <w:rsid w:val="75497CA3"/>
    <w:rsid w:val="75620E5A"/>
    <w:rsid w:val="75654632"/>
    <w:rsid w:val="7568637B"/>
    <w:rsid w:val="756E3266"/>
    <w:rsid w:val="757E794D"/>
    <w:rsid w:val="758B30E4"/>
    <w:rsid w:val="75941C96"/>
    <w:rsid w:val="75C031C0"/>
    <w:rsid w:val="75D2417E"/>
    <w:rsid w:val="75F0011F"/>
    <w:rsid w:val="75F123C8"/>
    <w:rsid w:val="75F67D87"/>
    <w:rsid w:val="75F714AD"/>
    <w:rsid w:val="75FF5848"/>
    <w:rsid w:val="760106C6"/>
    <w:rsid w:val="762B1157"/>
    <w:rsid w:val="762E1EE1"/>
    <w:rsid w:val="762F1005"/>
    <w:rsid w:val="764F2F30"/>
    <w:rsid w:val="7654644B"/>
    <w:rsid w:val="767D0C1F"/>
    <w:rsid w:val="7681190A"/>
    <w:rsid w:val="76932B76"/>
    <w:rsid w:val="769E5DCD"/>
    <w:rsid w:val="76A41635"/>
    <w:rsid w:val="76A45D68"/>
    <w:rsid w:val="76AC04E9"/>
    <w:rsid w:val="76BE2A1F"/>
    <w:rsid w:val="76C271E2"/>
    <w:rsid w:val="76C9109B"/>
    <w:rsid w:val="76CB0E3A"/>
    <w:rsid w:val="76DB7BC3"/>
    <w:rsid w:val="76E00193"/>
    <w:rsid w:val="76E1464E"/>
    <w:rsid w:val="76E2125B"/>
    <w:rsid w:val="76E2215D"/>
    <w:rsid w:val="76E5462F"/>
    <w:rsid w:val="76EE3962"/>
    <w:rsid w:val="76F447FC"/>
    <w:rsid w:val="770025E3"/>
    <w:rsid w:val="7711659E"/>
    <w:rsid w:val="7718792D"/>
    <w:rsid w:val="771D13E7"/>
    <w:rsid w:val="77435AC3"/>
    <w:rsid w:val="775D574B"/>
    <w:rsid w:val="7765592F"/>
    <w:rsid w:val="776B03F9"/>
    <w:rsid w:val="776E3EBE"/>
    <w:rsid w:val="7787268A"/>
    <w:rsid w:val="778B00FF"/>
    <w:rsid w:val="77A411C1"/>
    <w:rsid w:val="77DD29E6"/>
    <w:rsid w:val="77EC1C10"/>
    <w:rsid w:val="78040838"/>
    <w:rsid w:val="781520BE"/>
    <w:rsid w:val="78211AA7"/>
    <w:rsid w:val="78221AC2"/>
    <w:rsid w:val="783D7E11"/>
    <w:rsid w:val="783E7867"/>
    <w:rsid w:val="784160E3"/>
    <w:rsid w:val="78463F82"/>
    <w:rsid w:val="784C3351"/>
    <w:rsid w:val="78546082"/>
    <w:rsid w:val="7860158C"/>
    <w:rsid w:val="787D213D"/>
    <w:rsid w:val="7888178F"/>
    <w:rsid w:val="78966330"/>
    <w:rsid w:val="78AD22F7"/>
    <w:rsid w:val="78CF6711"/>
    <w:rsid w:val="79022643"/>
    <w:rsid w:val="790C414A"/>
    <w:rsid w:val="790D24D6"/>
    <w:rsid w:val="7919798C"/>
    <w:rsid w:val="7925117C"/>
    <w:rsid w:val="792E48C1"/>
    <w:rsid w:val="79302864"/>
    <w:rsid w:val="796048FD"/>
    <w:rsid w:val="79A2114A"/>
    <w:rsid w:val="79B04FDA"/>
    <w:rsid w:val="79B41377"/>
    <w:rsid w:val="79C00D8F"/>
    <w:rsid w:val="79CE0777"/>
    <w:rsid w:val="7A01700C"/>
    <w:rsid w:val="7A13262E"/>
    <w:rsid w:val="7A1545F8"/>
    <w:rsid w:val="7A1A4EEB"/>
    <w:rsid w:val="7A5A108C"/>
    <w:rsid w:val="7A715F54"/>
    <w:rsid w:val="7A794B87"/>
    <w:rsid w:val="7A875E89"/>
    <w:rsid w:val="7A9B3AF0"/>
    <w:rsid w:val="7AA552DB"/>
    <w:rsid w:val="7AB249EB"/>
    <w:rsid w:val="7AD4000F"/>
    <w:rsid w:val="7AD50EC2"/>
    <w:rsid w:val="7AD7365B"/>
    <w:rsid w:val="7AF2687B"/>
    <w:rsid w:val="7AF35FAD"/>
    <w:rsid w:val="7B1623D5"/>
    <w:rsid w:val="7B28350A"/>
    <w:rsid w:val="7B3944B2"/>
    <w:rsid w:val="7B3E3FBF"/>
    <w:rsid w:val="7B3F5E27"/>
    <w:rsid w:val="7B470787"/>
    <w:rsid w:val="7B4A02D1"/>
    <w:rsid w:val="7B4A7639"/>
    <w:rsid w:val="7B615D46"/>
    <w:rsid w:val="7B62386D"/>
    <w:rsid w:val="7B6B32D1"/>
    <w:rsid w:val="7B6E0463"/>
    <w:rsid w:val="7B770C6C"/>
    <w:rsid w:val="7B7E3E42"/>
    <w:rsid w:val="7BA43303"/>
    <w:rsid w:val="7BA83C8F"/>
    <w:rsid w:val="7BB04EDE"/>
    <w:rsid w:val="7BB35E76"/>
    <w:rsid w:val="7BB67714"/>
    <w:rsid w:val="7BC10593"/>
    <w:rsid w:val="7BC43095"/>
    <w:rsid w:val="7BC6669E"/>
    <w:rsid w:val="7BDB001A"/>
    <w:rsid w:val="7BFD106A"/>
    <w:rsid w:val="7C1007F6"/>
    <w:rsid w:val="7C10151B"/>
    <w:rsid w:val="7C2A56B4"/>
    <w:rsid w:val="7C64405D"/>
    <w:rsid w:val="7C684EB3"/>
    <w:rsid w:val="7CA57EB5"/>
    <w:rsid w:val="7CB20F67"/>
    <w:rsid w:val="7CB925E2"/>
    <w:rsid w:val="7CBA4702"/>
    <w:rsid w:val="7CC83BA3"/>
    <w:rsid w:val="7CCA3477"/>
    <w:rsid w:val="7CCC5441"/>
    <w:rsid w:val="7CCD2F68"/>
    <w:rsid w:val="7CD460A4"/>
    <w:rsid w:val="7CDD764F"/>
    <w:rsid w:val="7CFA449E"/>
    <w:rsid w:val="7CFC55FB"/>
    <w:rsid w:val="7D0F190A"/>
    <w:rsid w:val="7D12768B"/>
    <w:rsid w:val="7D307669"/>
    <w:rsid w:val="7D365730"/>
    <w:rsid w:val="7D3B6CFC"/>
    <w:rsid w:val="7D7C09FA"/>
    <w:rsid w:val="7D8950E1"/>
    <w:rsid w:val="7DB55ED6"/>
    <w:rsid w:val="7DBD408B"/>
    <w:rsid w:val="7DDC7906"/>
    <w:rsid w:val="7DDF3878"/>
    <w:rsid w:val="7DEF4FFB"/>
    <w:rsid w:val="7E266DD3"/>
    <w:rsid w:val="7E2C5430"/>
    <w:rsid w:val="7E337682"/>
    <w:rsid w:val="7E447259"/>
    <w:rsid w:val="7E481FD9"/>
    <w:rsid w:val="7E4C610E"/>
    <w:rsid w:val="7E634C05"/>
    <w:rsid w:val="7E723DC7"/>
    <w:rsid w:val="7E775881"/>
    <w:rsid w:val="7E926217"/>
    <w:rsid w:val="7E9E23D4"/>
    <w:rsid w:val="7EAA7A04"/>
    <w:rsid w:val="7EAE7A2F"/>
    <w:rsid w:val="7EB9429C"/>
    <w:rsid w:val="7EFF3119"/>
    <w:rsid w:val="7F044EA0"/>
    <w:rsid w:val="7F1B578D"/>
    <w:rsid w:val="7F25456F"/>
    <w:rsid w:val="7F363046"/>
    <w:rsid w:val="7F3B5F12"/>
    <w:rsid w:val="7F4E2109"/>
    <w:rsid w:val="7F686F78"/>
    <w:rsid w:val="7F736048"/>
    <w:rsid w:val="7F7C38D3"/>
    <w:rsid w:val="7F7F2A40"/>
    <w:rsid w:val="7F8244DD"/>
    <w:rsid w:val="7FA2692E"/>
    <w:rsid w:val="7FB4040F"/>
    <w:rsid w:val="7FB87EFF"/>
    <w:rsid w:val="7FBB1827"/>
    <w:rsid w:val="7FCE327F"/>
    <w:rsid w:val="7FCF6FF7"/>
    <w:rsid w:val="7FD23724"/>
    <w:rsid w:val="7FD36AE7"/>
    <w:rsid w:val="7FE57004"/>
    <w:rsid w:val="7FEB56BF"/>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styleId="3">
    <w:name w:val="heading 2"/>
    <w:next w:val="1"/>
    <w:unhideWhenUsed/>
    <w:qFormat/>
    <w:uiPriority w:val="0"/>
    <w:pPr>
      <w:snapToGrid w:val="0"/>
      <w:spacing w:before="50" w:beforeLines="50" w:after="50" w:afterLines="50"/>
      <w:outlineLvl w:val="1"/>
    </w:pPr>
    <w:rPr>
      <w:rFonts w:ascii="Times New Roman" w:hAnsi="Times New Roman" w:eastAsia="黑体" w:cs="Times New Roman"/>
      <w:snapToGrid w:val="0"/>
      <w:sz w:val="28"/>
      <w:shd w:val="clear" w:color="auto" w:fill="FFFFFF"/>
      <w:lang w:val="en-US" w:eastAsia="zh-CN" w:bidi="ar-SA"/>
    </w:rPr>
  </w:style>
  <w:style w:type="paragraph" w:styleId="4">
    <w:name w:val="heading 3"/>
    <w:next w:val="1"/>
    <w:link w:val="39"/>
    <w:qFormat/>
    <w:uiPriority w:val="0"/>
    <w:pPr>
      <w:snapToGrid w:val="0"/>
      <w:spacing w:line="400" w:lineRule="exact"/>
      <w:outlineLvl w:val="2"/>
    </w:pPr>
    <w:rPr>
      <w:rFonts w:ascii="Times New Roman" w:hAnsi="Times New Roman" w:eastAsia="黑体" w:cs="Times New Roman"/>
      <w:bCs/>
      <w:snapToGrid w:val="0"/>
      <w:sz w:val="24"/>
      <w:szCs w:val="28"/>
    </w:rPr>
  </w:style>
  <w:style w:type="paragraph" w:styleId="5">
    <w:name w:val="heading 4"/>
    <w:next w:val="1"/>
    <w:link w:val="40"/>
    <w:qFormat/>
    <w:uiPriority w:val="0"/>
    <w:pPr>
      <w:keepNext/>
      <w:keepLines/>
      <w:spacing w:line="400" w:lineRule="exact"/>
      <w:ind w:firstLine="562" w:firstLineChars="200"/>
      <w:outlineLvl w:val="3"/>
    </w:pPr>
    <w:rPr>
      <w:rFonts w:ascii="Times New Roman" w:hAnsi="Times New Roman" w:eastAsia="宋体" w:cs="Times New Roman"/>
      <w:bCs/>
      <w:sz w:val="24"/>
      <w:szCs w:val="28"/>
      <w:lang w:val="en-US" w:eastAsia="zh-CN" w:bidi="ar-SA"/>
    </w:rPr>
  </w:style>
  <w:style w:type="paragraph" w:styleId="6">
    <w:name w:val="heading 5"/>
    <w:basedOn w:val="1"/>
    <w:next w:val="1"/>
    <w:qFormat/>
    <w:uiPriority w:val="0"/>
    <w:pPr>
      <w:keepNext/>
      <w:outlineLvl w:val="4"/>
    </w:pPr>
    <w:rPr>
      <w:b/>
      <w:bCs/>
    </w:rPr>
  </w:style>
  <w:style w:type="paragraph" w:styleId="7">
    <w:name w:val="heading 6"/>
    <w:basedOn w:val="1"/>
    <w:next w:val="1"/>
    <w:link w:val="41"/>
    <w:qFormat/>
    <w:uiPriority w:val="0"/>
    <w:pPr>
      <w:keepNext/>
      <w:spacing w:line="360" w:lineRule="auto"/>
      <w:ind w:firstLine="600"/>
      <w:jc w:val="center"/>
      <w:outlineLvl w:val="5"/>
    </w:pPr>
    <w:rPr>
      <w:rFonts w:ascii="等线 Light" w:hAnsi="等线 Light" w:eastAsia="等线 Light"/>
      <w:b/>
      <w:bC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ind w:firstLine="0" w:firstLineChars="0"/>
      <w:jc w:val="center"/>
    </w:pPr>
    <w:rPr>
      <w:rFonts w:eastAsia="楷体"/>
      <w:bCs/>
      <w:color w:val="000000" w:themeColor="text1"/>
      <w:sz w:val="21"/>
      <w:szCs w:val="18"/>
      <w14:textFill>
        <w14:solidFill>
          <w14:schemeClr w14:val="tx1"/>
        </w14:solidFill>
      </w14:textFill>
    </w:rPr>
  </w:style>
  <w:style w:type="paragraph" w:styleId="9">
    <w:name w:val="annotation text"/>
    <w:basedOn w:val="1"/>
    <w:link w:val="42"/>
    <w:qFormat/>
    <w:uiPriority w:val="0"/>
    <w:pPr>
      <w:jc w:val="left"/>
    </w:pPr>
  </w:style>
  <w:style w:type="paragraph" w:styleId="10">
    <w:name w:val="Body Text 3"/>
    <w:basedOn w:val="1"/>
    <w:qFormat/>
    <w:uiPriority w:val="0"/>
    <w:pPr>
      <w:spacing w:after="120"/>
    </w:pPr>
    <w:rPr>
      <w:sz w:val="16"/>
      <w:szCs w:val="16"/>
    </w:rPr>
  </w:style>
  <w:style w:type="paragraph" w:styleId="11">
    <w:name w:val="Body Text"/>
    <w:basedOn w:val="1"/>
    <w:link w:val="43"/>
    <w:qFormat/>
    <w:uiPriority w:val="0"/>
    <w:pPr>
      <w:jc w:val="center"/>
    </w:pPr>
  </w:style>
  <w:style w:type="paragraph" w:styleId="12">
    <w:name w:val="Body Text Indent"/>
    <w:basedOn w:val="1"/>
    <w:link w:val="44"/>
    <w:qFormat/>
    <w:uiPriority w:val="0"/>
    <w:pPr>
      <w:widowControl/>
      <w:spacing w:after="120"/>
      <w:ind w:left="420" w:leftChars="200"/>
      <w:jc w:val="left"/>
    </w:pPr>
  </w:style>
  <w:style w:type="paragraph" w:styleId="13">
    <w:name w:val="toc 3"/>
    <w:next w:val="1"/>
    <w:qFormat/>
    <w:uiPriority w:val="39"/>
    <w:pPr>
      <w:spacing w:line="400" w:lineRule="exact"/>
      <w:ind w:left="840" w:leftChars="400"/>
      <w:jc w:val="both"/>
    </w:pPr>
    <w:rPr>
      <w:rFonts w:ascii="Times New Roman" w:hAnsi="Times New Roman" w:eastAsia="宋体" w:cs="Times New Roman"/>
      <w:sz w:val="24"/>
      <w:lang w:val="en-US" w:eastAsia="zh-CN" w:bidi="ar-SA"/>
    </w:rPr>
  </w:style>
  <w:style w:type="paragraph" w:styleId="14">
    <w:name w:val="Plain Text"/>
    <w:basedOn w:val="1"/>
    <w:link w:val="45"/>
    <w:qFormat/>
    <w:uiPriority w:val="0"/>
    <w:rPr>
      <w:rFonts w:ascii="等线" w:hAnsi="等线"/>
    </w:rPr>
  </w:style>
  <w:style w:type="paragraph" w:styleId="15">
    <w:name w:val="Date"/>
    <w:basedOn w:val="1"/>
    <w:next w:val="1"/>
    <w:link w:val="46"/>
    <w:qFormat/>
    <w:uiPriority w:val="0"/>
    <w:pPr>
      <w:widowControl/>
    </w:pPr>
  </w:style>
  <w:style w:type="paragraph" w:styleId="16">
    <w:name w:val="Body Text Indent 2"/>
    <w:basedOn w:val="1"/>
    <w:link w:val="47"/>
    <w:qFormat/>
    <w:uiPriority w:val="0"/>
    <w:pPr>
      <w:spacing w:after="120" w:line="480" w:lineRule="auto"/>
      <w:ind w:left="420" w:leftChars="200"/>
    </w:pPr>
  </w:style>
  <w:style w:type="paragraph" w:styleId="17">
    <w:name w:val="Balloon Text"/>
    <w:basedOn w:val="1"/>
    <w:link w:val="48"/>
    <w:qFormat/>
    <w:uiPriority w:val="0"/>
    <w:rPr>
      <w:sz w:val="18"/>
      <w:szCs w:val="18"/>
    </w:rPr>
  </w:style>
  <w:style w:type="paragraph" w:styleId="18">
    <w:name w:val="footer"/>
    <w:link w:val="49"/>
    <w:qFormat/>
    <w:uiPriority w:val="0"/>
    <w:pPr>
      <w:tabs>
        <w:tab w:val="center" w:pos="4153"/>
        <w:tab w:val="right" w:pos="8306"/>
      </w:tabs>
      <w:snapToGrid w:val="0"/>
      <w:jc w:val="center"/>
    </w:pPr>
    <w:rPr>
      <w:rFonts w:ascii="Times New Roman" w:hAnsi="Times New Roman" w:eastAsia="宋体" w:cs="Times New Roman"/>
      <w:sz w:val="21"/>
      <w:szCs w:val="18"/>
      <w:lang w:val="en-US" w:eastAsia="zh-CN" w:bidi="ar-SA"/>
    </w:rPr>
  </w:style>
  <w:style w:type="paragraph" w:styleId="19">
    <w:name w:val="header"/>
    <w:link w:val="50"/>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styleId="20">
    <w:name w:val="toc 1"/>
    <w:next w:val="1"/>
    <w:qFormat/>
    <w:uiPriority w:val="39"/>
    <w:pPr>
      <w:spacing w:line="400" w:lineRule="exact"/>
    </w:pPr>
    <w:rPr>
      <w:rFonts w:ascii="Times New Roman" w:hAnsi="Times New Roman" w:eastAsia="黑体" w:cs="Times New Roman"/>
      <w:sz w:val="24"/>
      <w:lang w:val="en-US" w:eastAsia="zh-CN" w:bidi="ar-SA"/>
    </w:rPr>
  </w:style>
  <w:style w:type="paragraph" w:styleId="21">
    <w:name w:val="footnote text"/>
    <w:basedOn w:val="1"/>
    <w:link w:val="51"/>
    <w:qFormat/>
    <w:uiPriority w:val="0"/>
    <w:pPr>
      <w:snapToGrid w:val="0"/>
      <w:jc w:val="left"/>
    </w:pPr>
    <w:rPr>
      <w:sz w:val="18"/>
      <w:szCs w:val="18"/>
    </w:rPr>
  </w:style>
  <w:style w:type="paragraph" w:styleId="22">
    <w:name w:val="Body Text Indent 3"/>
    <w:basedOn w:val="1"/>
    <w:link w:val="52"/>
    <w:qFormat/>
    <w:uiPriority w:val="0"/>
    <w:pPr>
      <w:adjustRightInd w:val="0"/>
      <w:snapToGrid w:val="0"/>
      <w:spacing w:line="300" w:lineRule="auto"/>
      <w:ind w:firstLine="540"/>
    </w:pPr>
    <w:rPr>
      <w:sz w:val="16"/>
      <w:szCs w:val="16"/>
    </w:rPr>
  </w:style>
  <w:style w:type="paragraph" w:styleId="23">
    <w:name w:val="table of figures"/>
    <w:basedOn w:val="1"/>
    <w:next w:val="1"/>
    <w:qFormat/>
    <w:uiPriority w:val="0"/>
    <w:pPr>
      <w:ind w:left="400" w:leftChars="200" w:hanging="200" w:hangingChars="200"/>
    </w:pPr>
  </w:style>
  <w:style w:type="paragraph" w:styleId="24">
    <w:name w:val="toc 2"/>
    <w:next w:val="1"/>
    <w:qFormat/>
    <w:uiPriority w:val="39"/>
    <w:pPr>
      <w:spacing w:line="400" w:lineRule="exact"/>
      <w:ind w:left="420" w:leftChars="200"/>
    </w:pPr>
    <w:rPr>
      <w:rFonts w:ascii="Times New Roman" w:hAnsi="Times New Roman" w:eastAsia="宋体" w:cs="Times New Roman"/>
      <w:sz w:val="24"/>
      <w:lang w:val="en-US" w:eastAsia="zh-CN" w:bidi="ar-SA"/>
    </w:rPr>
  </w:style>
  <w:style w:type="paragraph" w:styleId="25">
    <w:name w:val="Body Text 2"/>
    <w:basedOn w:val="1"/>
    <w:qFormat/>
    <w:uiPriority w:val="0"/>
    <w:pPr>
      <w:spacing w:after="120" w:line="480" w:lineRule="auto"/>
    </w:pPr>
  </w:style>
  <w:style w:type="paragraph" w:styleId="26">
    <w:name w:val="Normal (Web)"/>
    <w:basedOn w:val="1"/>
    <w:qFormat/>
    <w:uiPriority w:val="0"/>
    <w:pPr>
      <w:widowControl/>
      <w:spacing w:before="100" w:beforeAutospacing="1" w:after="100" w:afterAutospacing="1"/>
      <w:jc w:val="left"/>
    </w:pPr>
    <w:rPr>
      <w:rFonts w:ascii="宋体" w:hAnsi="宋体"/>
      <w:color w:val="000000"/>
      <w:kern w:val="0"/>
    </w:rPr>
  </w:style>
  <w:style w:type="paragraph" w:styleId="27">
    <w:name w:val="Title"/>
    <w:basedOn w:val="1"/>
    <w:link w:val="53"/>
    <w:qFormat/>
    <w:uiPriority w:val="0"/>
    <w:pPr>
      <w:spacing w:before="240" w:after="60"/>
      <w:jc w:val="center"/>
      <w:outlineLvl w:val="0"/>
    </w:pPr>
    <w:rPr>
      <w:rFonts w:ascii="等线 Light" w:hAnsi="等线 Light" w:eastAsia="等线 Light"/>
      <w:b/>
      <w:bCs/>
      <w:sz w:val="32"/>
      <w:szCs w:val="32"/>
    </w:rPr>
  </w:style>
  <w:style w:type="paragraph" w:styleId="28">
    <w:name w:val="annotation subject"/>
    <w:basedOn w:val="9"/>
    <w:next w:val="9"/>
    <w:link w:val="54"/>
    <w:qFormat/>
    <w:uiPriority w:val="0"/>
    <w:rPr>
      <w:b/>
      <w:bCs/>
    </w:rPr>
  </w:style>
  <w:style w:type="paragraph" w:styleId="29">
    <w:name w:val="Body Text First Indent"/>
    <w:basedOn w:val="11"/>
    <w:qFormat/>
    <w:uiPriority w:val="0"/>
    <w:pPr>
      <w:ind w:firstLine="420" w:firstLineChars="1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qFormat/>
    <w:uiPriority w:val="0"/>
  </w:style>
  <w:style w:type="character" w:styleId="34">
    <w:name w:val="FollowedHyperlink"/>
    <w:qFormat/>
    <w:uiPriority w:val="0"/>
    <w:rPr>
      <w:color w:val="954F72"/>
      <w:u w:val="single"/>
    </w:rPr>
  </w:style>
  <w:style w:type="character" w:styleId="35">
    <w:name w:val="Emphasis"/>
    <w:qFormat/>
    <w:uiPriority w:val="20"/>
    <w:rPr>
      <w:i/>
      <w:iCs/>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styleId="38">
    <w:name w:val="footnote reference"/>
    <w:qFormat/>
    <w:uiPriority w:val="0"/>
    <w:rPr>
      <w:vertAlign w:val="superscript"/>
    </w:rPr>
  </w:style>
  <w:style w:type="character" w:customStyle="1" w:styleId="39">
    <w:name w:val="标题 3 字符"/>
    <w:link w:val="4"/>
    <w:qFormat/>
    <w:uiPriority w:val="0"/>
    <w:rPr>
      <w:rFonts w:ascii="Times New Roman" w:hAnsi="Times New Roman" w:eastAsia="黑体"/>
      <w:bCs/>
      <w:snapToGrid w:val="0"/>
      <w:kern w:val="2"/>
      <w:sz w:val="24"/>
      <w:szCs w:val="28"/>
      <w:lang w:val="en-US" w:eastAsia="zh-CN" w:bidi="ar-SA"/>
    </w:rPr>
  </w:style>
  <w:style w:type="character" w:customStyle="1" w:styleId="40">
    <w:name w:val="标题 4 字符"/>
    <w:link w:val="5"/>
    <w:qFormat/>
    <w:uiPriority w:val="0"/>
    <w:rPr>
      <w:rFonts w:ascii="Times New Roman" w:hAnsi="Times New Roman" w:eastAsia="宋体" w:cs="Times New Roman"/>
      <w:bCs/>
      <w:kern w:val="2"/>
      <w:sz w:val="24"/>
      <w:szCs w:val="28"/>
    </w:rPr>
  </w:style>
  <w:style w:type="character" w:customStyle="1" w:styleId="41">
    <w:name w:val="标题 6 字符"/>
    <w:link w:val="7"/>
    <w:qFormat/>
    <w:uiPriority w:val="0"/>
    <w:rPr>
      <w:rFonts w:ascii="等线 Light" w:hAnsi="等线 Light" w:eastAsia="等线 Light" w:cs="Times New Roman"/>
      <w:b/>
      <w:bCs/>
      <w:kern w:val="2"/>
      <w:sz w:val="24"/>
      <w:szCs w:val="24"/>
    </w:rPr>
  </w:style>
  <w:style w:type="character" w:customStyle="1" w:styleId="42">
    <w:name w:val="批注文字 字符"/>
    <w:link w:val="9"/>
    <w:qFormat/>
    <w:uiPriority w:val="0"/>
    <w:rPr>
      <w:kern w:val="2"/>
      <w:sz w:val="21"/>
      <w:szCs w:val="24"/>
    </w:rPr>
  </w:style>
  <w:style w:type="character" w:customStyle="1" w:styleId="43">
    <w:name w:val="正文文本 字符"/>
    <w:link w:val="11"/>
    <w:qFormat/>
    <w:uiPriority w:val="0"/>
    <w:rPr>
      <w:kern w:val="2"/>
      <w:sz w:val="21"/>
      <w:szCs w:val="24"/>
    </w:rPr>
  </w:style>
  <w:style w:type="character" w:customStyle="1" w:styleId="44">
    <w:name w:val="正文文本缩进 字符"/>
    <w:link w:val="12"/>
    <w:qFormat/>
    <w:uiPriority w:val="0"/>
    <w:rPr>
      <w:kern w:val="2"/>
      <w:sz w:val="21"/>
      <w:szCs w:val="24"/>
    </w:rPr>
  </w:style>
  <w:style w:type="character" w:customStyle="1" w:styleId="45">
    <w:name w:val="纯文本 字符"/>
    <w:link w:val="14"/>
    <w:qFormat/>
    <w:uiPriority w:val="0"/>
    <w:rPr>
      <w:rFonts w:ascii="等线" w:hAnsi="等线" w:cs="等线"/>
      <w:kern w:val="2"/>
      <w:sz w:val="21"/>
      <w:szCs w:val="24"/>
    </w:rPr>
  </w:style>
  <w:style w:type="character" w:customStyle="1" w:styleId="46">
    <w:name w:val="日期 字符"/>
    <w:link w:val="15"/>
    <w:qFormat/>
    <w:uiPriority w:val="0"/>
    <w:rPr>
      <w:kern w:val="2"/>
      <w:sz w:val="21"/>
      <w:szCs w:val="24"/>
    </w:rPr>
  </w:style>
  <w:style w:type="character" w:customStyle="1" w:styleId="47">
    <w:name w:val="正文文本缩进 2 字符"/>
    <w:link w:val="16"/>
    <w:qFormat/>
    <w:uiPriority w:val="0"/>
    <w:rPr>
      <w:kern w:val="2"/>
      <w:sz w:val="21"/>
      <w:szCs w:val="24"/>
    </w:rPr>
  </w:style>
  <w:style w:type="character" w:customStyle="1" w:styleId="48">
    <w:name w:val="批注框文本 字符"/>
    <w:link w:val="17"/>
    <w:qFormat/>
    <w:uiPriority w:val="0"/>
    <w:rPr>
      <w:kern w:val="2"/>
      <w:sz w:val="18"/>
      <w:szCs w:val="18"/>
    </w:rPr>
  </w:style>
  <w:style w:type="character" w:customStyle="1" w:styleId="49">
    <w:name w:val="页脚 字符"/>
    <w:link w:val="18"/>
    <w:qFormat/>
    <w:uiPriority w:val="0"/>
    <w:rPr>
      <w:rFonts w:ascii="Times New Roman" w:hAnsi="Times New Roman" w:eastAsia="宋体"/>
      <w:kern w:val="2"/>
      <w:sz w:val="21"/>
      <w:szCs w:val="18"/>
    </w:rPr>
  </w:style>
  <w:style w:type="character" w:customStyle="1" w:styleId="50">
    <w:name w:val="页眉 字符"/>
    <w:link w:val="19"/>
    <w:qFormat/>
    <w:uiPriority w:val="0"/>
    <w:rPr>
      <w:rFonts w:ascii="Times New Roman" w:hAnsi="Times New Roman" w:eastAsia="宋体"/>
      <w:kern w:val="2"/>
      <w:sz w:val="18"/>
      <w:szCs w:val="18"/>
    </w:rPr>
  </w:style>
  <w:style w:type="character" w:customStyle="1" w:styleId="51">
    <w:name w:val="脚注文本 字符"/>
    <w:link w:val="21"/>
    <w:qFormat/>
    <w:uiPriority w:val="0"/>
    <w:rPr>
      <w:kern w:val="2"/>
      <w:sz w:val="18"/>
      <w:szCs w:val="18"/>
    </w:rPr>
  </w:style>
  <w:style w:type="character" w:customStyle="1" w:styleId="52">
    <w:name w:val="正文文本缩进 3 字符"/>
    <w:link w:val="22"/>
    <w:qFormat/>
    <w:uiPriority w:val="0"/>
    <w:rPr>
      <w:kern w:val="2"/>
      <w:sz w:val="16"/>
      <w:szCs w:val="16"/>
    </w:rPr>
  </w:style>
  <w:style w:type="character" w:customStyle="1" w:styleId="53">
    <w:name w:val="标题 字符"/>
    <w:link w:val="27"/>
    <w:qFormat/>
    <w:uiPriority w:val="0"/>
    <w:rPr>
      <w:rFonts w:ascii="等线 Light" w:hAnsi="等线 Light" w:eastAsia="等线 Light" w:cs="Times New Roman"/>
      <w:b/>
      <w:bCs/>
      <w:kern w:val="2"/>
      <w:sz w:val="32"/>
      <w:szCs w:val="32"/>
    </w:rPr>
  </w:style>
  <w:style w:type="character" w:customStyle="1" w:styleId="54">
    <w:name w:val="批注主题 字符"/>
    <w:link w:val="28"/>
    <w:qFormat/>
    <w:uiPriority w:val="0"/>
    <w:rPr>
      <w:b/>
      <w:bCs/>
      <w:kern w:val="2"/>
      <w:sz w:val="21"/>
      <w:szCs w:val="24"/>
    </w:rPr>
  </w:style>
  <w:style w:type="paragraph" w:customStyle="1" w:styleId="55">
    <w:name w:val="页眉2"/>
    <w:basedOn w:val="19"/>
    <w:qFormat/>
    <w:uiPriority w:val="0"/>
  </w:style>
  <w:style w:type="paragraph" w:customStyle="1" w:styleId="56">
    <w:name w:val="标题1"/>
    <w:basedOn w:val="27"/>
    <w:qFormat/>
    <w:uiPriority w:val="0"/>
    <w:pPr>
      <w:widowControl/>
      <w:adjustRightInd w:val="0"/>
      <w:spacing w:after="360" w:line="420" w:lineRule="exact"/>
      <w:outlineLvl w:val="9"/>
    </w:pPr>
    <w:rPr>
      <w:b w:val="0"/>
      <w:bCs w:val="0"/>
      <w:kern w:val="0"/>
      <w:sz w:val="30"/>
      <w:szCs w:val="20"/>
    </w:rPr>
  </w:style>
  <w:style w:type="paragraph" w:styleId="57">
    <w:name w:val="List Paragraph"/>
    <w:basedOn w:val="1"/>
    <w:qFormat/>
    <w:uiPriority w:val="0"/>
    <w:pPr>
      <w:spacing w:line="240" w:lineRule="auto"/>
      <w:ind w:firstLine="200"/>
    </w:pPr>
    <w:rPr>
      <w:rFonts w:ascii="Calibri" w:hAnsi="Calibri"/>
      <w:spacing w:val="10"/>
      <w:szCs w:val="22"/>
    </w:rPr>
  </w:style>
  <w:style w:type="paragraph" w:customStyle="1" w:styleId="58">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9">
    <w:name w:val="Char"/>
    <w:basedOn w:val="1"/>
    <w:qFormat/>
    <w:uiPriority w:val="0"/>
  </w:style>
  <w:style w:type="paragraph" w:styleId="60">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1">
    <w:name w:val="摘要"/>
    <w:qFormat/>
    <w:uiPriority w:val="0"/>
    <w:pPr>
      <w:snapToGrid w:val="0"/>
      <w:spacing w:after="100" w:afterLines="100"/>
      <w:jc w:val="center"/>
      <w:outlineLvl w:val="0"/>
    </w:pPr>
    <w:rPr>
      <w:rFonts w:hint="eastAsia" w:ascii="黑体" w:hAnsi="黑体" w:eastAsia="黑体" w:cs="黑体"/>
      <w:snapToGrid w:val="0"/>
      <w:sz w:val="32"/>
      <w:szCs w:val="32"/>
      <w:lang w:val="en-US" w:eastAsia="zh-CN" w:bidi="ar-SA"/>
    </w:rPr>
  </w:style>
  <w:style w:type="paragraph" w:customStyle="1" w:styleId="62">
    <w:name w:val="ABSTRACT"/>
    <w:qFormat/>
    <w:uiPriority w:val="0"/>
    <w:pPr>
      <w:snapToGrid w:val="0"/>
      <w:spacing w:after="200" w:afterLines="200"/>
      <w:jc w:val="center"/>
      <w:outlineLvl w:val="0"/>
    </w:pPr>
    <w:rPr>
      <w:rFonts w:ascii="Times New Roman" w:hAnsi="Times New Roman" w:eastAsia="黑体" w:cs="Times New Roman"/>
      <w:b/>
      <w:bCs/>
      <w:snapToGrid w:val="0"/>
      <w:sz w:val="32"/>
      <w:szCs w:val="32"/>
      <w:lang w:val="en-US" w:eastAsia="zh-CN" w:bidi="ar-SA"/>
    </w:rPr>
  </w:style>
  <w:style w:type="paragraph" w:customStyle="1" w:styleId="63">
    <w:name w:val="摘要正文"/>
    <w:qFormat/>
    <w:uiPriority w:val="0"/>
    <w:pPr>
      <w:snapToGrid w:val="0"/>
      <w:spacing w:line="400" w:lineRule="exact"/>
      <w:ind w:firstLine="560" w:firstLineChars="200"/>
      <w:jc w:val="both"/>
    </w:pPr>
    <w:rPr>
      <w:rFonts w:ascii="Times New Roman" w:hAnsi="Times New Roman" w:eastAsia="宋体" w:cs="Times New Roman"/>
      <w:snapToGrid w:val="0"/>
      <w:sz w:val="28"/>
      <w:szCs w:val="28"/>
      <w:lang w:val="en-US" w:eastAsia="zh-CN" w:bidi="ar-SA"/>
    </w:rPr>
  </w:style>
  <w:style w:type="paragraph" w:customStyle="1" w:styleId="64">
    <w:name w:val="关键词："/>
    <w:link w:val="65"/>
    <w:qFormat/>
    <w:uiPriority w:val="0"/>
    <w:pPr>
      <w:snapToGrid w:val="0"/>
      <w:spacing w:before="100" w:beforeLines="100" w:line="400" w:lineRule="exact"/>
      <w:ind w:firstLine="560" w:firstLineChars="200"/>
    </w:pPr>
    <w:rPr>
      <w:rFonts w:ascii="Times New Roman" w:hAnsi="Times New Roman" w:eastAsia="黑体" w:cs="Times New Roman"/>
      <w:snapToGrid w:val="0"/>
      <w:sz w:val="28"/>
      <w:szCs w:val="28"/>
      <w:lang w:val="en-US" w:eastAsia="zh-CN" w:bidi="ar-SA"/>
    </w:rPr>
  </w:style>
  <w:style w:type="character" w:customStyle="1" w:styleId="65">
    <w:name w:val="关键词 Char"/>
    <w:link w:val="64"/>
    <w:qFormat/>
    <w:uiPriority w:val="0"/>
    <w:rPr>
      <w:rFonts w:hint="default" w:ascii="Times New Roman" w:hAnsi="Times New Roman" w:eastAsia="黑体"/>
      <w:snapToGrid w:val="0"/>
      <w:sz w:val="28"/>
      <w:szCs w:val="28"/>
    </w:rPr>
  </w:style>
  <w:style w:type="paragraph" w:customStyle="1" w:styleId="66">
    <w:name w:val="关键词1234"/>
    <w:link w:val="67"/>
    <w:qFormat/>
    <w:uiPriority w:val="0"/>
    <w:pPr>
      <w:snapToGrid w:val="0"/>
      <w:spacing w:before="100" w:beforeLines="100" w:line="400" w:lineRule="exact"/>
      <w:ind w:firstLine="560" w:firstLineChars="200"/>
    </w:pPr>
    <w:rPr>
      <w:rFonts w:hint="eastAsia" w:ascii="Times New Roman" w:hAnsi="Times New Roman" w:eastAsia="宋体" w:cs="Times New Roman"/>
      <w:snapToGrid w:val="0"/>
      <w:kern w:val="44"/>
      <w:sz w:val="28"/>
      <w:szCs w:val="28"/>
      <w:lang w:val="en-US" w:eastAsia="zh-CN" w:bidi="ar-SA"/>
    </w:rPr>
  </w:style>
  <w:style w:type="character" w:customStyle="1" w:styleId="67">
    <w:name w:val="关键词1234 Char"/>
    <w:link w:val="66"/>
    <w:qFormat/>
    <w:uiPriority w:val="0"/>
    <w:rPr>
      <w:rFonts w:hint="eastAsia" w:ascii="Times New Roman" w:hAnsi="Times New Roman" w:eastAsia="宋体"/>
      <w:snapToGrid w:val="0"/>
      <w:kern w:val="44"/>
      <w:sz w:val="28"/>
      <w:szCs w:val="28"/>
    </w:rPr>
  </w:style>
  <w:style w:type="paragraph" w:customStyle="1" w:styleId="68">
    <w:name w:val="keywords"/>
    <w:link w:val="69"/>
    <w:qFormat/>
    <w:uiPriority w:val="0"/>
    <w:pPr>
      <w:snapToGrid w:val="0"/>
      <w:spacing w:before="200" w:beforeLines="200" w:line="400" w:lineRule="exact"/>
      <w:ind w:firstLine="562" w:firstLineChars="200"/>
      <w:jc w:val="both"/>
    </w:pPr>
    <w:rPr>
      <w:rFonts w:ascii="Times New Roman" w:hAnsi="Times New Roman" w:eastAsia="宋体" w:cs="Times New Roman"/>
      <w:b/>
      <w:bCs/>
      <w:snapToGrid w:val="0"/>
      <w:sz w:val="28"/>
      <w:szCs w:val="28"/>
      <w:lang w:val="en-US" w:eastAsia="zh-CN" w:bidi="ar-SA"/>
    </w:rPr>
  </w:style>
  <w:style w:type="character" w:customStyle="1" w:styleId="69">
    <w:name w:val="keywords Char"/>
    <w:link w:val="68"/>
    <w:qFormat/>
    <w:uiPriority w:val="0"/>
    <w:rPr>
      <w:rFonts w:ascii="Times New Roman" w:hAnsi="Times New Roman"/>
      <w:b/>
      <w:bCs/>
      <w:snapToGrid w:val="0"/>
      <w:sz w:val="28"/>
      <w:szCs w:val="28"/>
    </w:rPr>
  </w:style>
  <w:style w:type="paragraph" w:customStyle="1" w:styleId="70">
    <w:name w:val="keywords1234"/>
    <w:link w:val="93"/>
    <w:qFormat/>
    <w:uiPriority w:val="0"/>
    <w:pPr>
      <w:snapToGrid w:val="0"/>
      <w:spacing w:before="200" w:beforeLines="200" w:line="400" w:lineRule="exact"/>
      <w:ind w:firstLine="562" w:firstLineChars="200"/>
    </w:pPr>
    <w:rPr>
      <w:rFonts w:ascii="Times New Roman" w:hAnsi="Times New Roman" w:eastAsia="宋体" w:cs="Times New Roman"/>
      <w:snapToGrid w:val="0"/>
      <w:kern w:val="44"/>
      <w:sz w:val="28"/>
      <w:szCs w:val="28"/>
      <w:lang w:val="en-US" w:eastAsia="zh-CN" w:bidi="ar-SA"/>
    </w:rPr>
  </w:style>
  <w:style w:type="paragraph" w:customStyle="1" w:styleId="71">
    <w:name w:val="硕士学位论文"/>
    <w:qFormat/>
    <w:uiPriority w:val="0"/>
    <w:pPr>
      <w:jc w:val="center"/>
    </w:pPr>
    <w:rPr>
      <w:rFonts w:hint="eastAsia" w:ascii="黑体" w:hAnsi="黑体" w:eastAsia="黑体" w:cs="Times New Roman"/>
      <w:b/>
      <w:sz w:val="64"/>
      <w:szCs w:val="64"/>
      <w:lang w:val="en-US" w:eastAsia="zh-CN" w:bidi="ar-SA"/>
    </w:rPr>
  </w:style>
  <w:style w:type="paragraph" w:customStyle="1" w:styleId="72">
    <w:name w:val="论文题目"/>
    <w:link w:val="73"/>
    <w:qFormat/>
    <w:uiPriority w:val="0"/>
    <w:pPr>
      <w:ind w:firstLine="361" w:firstLineChars="100"/>
    </w:pPr>
    <w:rPr>
      <w:rFonts w:ascii="Times New Roman" w:hAnsi="Times New Roman" w:eastAsia="宋体" w:cs="Times New Roman"/>
      <w:b/>
      <w:sz w:val="36"/>
      <w:szCs w:val="32"/>
      <w:lang w:val="en-US" w:eastAsia="zh-CN" w:bidi="ar-SA"/>
    </w:rPr>
  </w:style>
  <w:style w:type="character" w:customStyle="1" w:styleId="73">
    <w:name w:val="论文题目 Char"/>
    <w:link w:val="72"/>
    <w:qFormat/>
    <w:uiPriority w:val="0"/>
    <w:rPr>
      <w:rFonts w:hint="default" w:ascii="Times New Roman" w:hAnsi="Times New Roman" w:eastAsia="宋体"/>
      <w:b/>
      <w:sz w:val="36"/>
      <w:szCs w:val="32"/>
    </w:rPr>
  </w:style>
  <w:style w:type="paragraph" w:customStyle="1" w:styleId="74">
    <w:name w:val="学号至学院"/>
    <w:qFormat/>
    <w:uiPriority w:val="0"/>
    <w:pPr>
      <w:ind w:firstLine="1701" w:firstLineChars="605"/>
      <w:jc w:val="both"/>
    </w:pPr>
    <w:rPr>
      <w:rFonts w:ascii="Times New Roman" w:hAnsi="Times New Roman" w:eastAsia="宋体" w:cs="Times New Roman"/>
      <w:b/>
      <w:sz w:val="28"/>
      <w:szCs w:val="28"/>
      <w:lang w:val="en-US" w:eastAsia="zh-CN" w:bidi="ar-SA"/>
    </w:rPr>
  </w:style>
  <w:style w:type="paragraph" w:customStyle="1" w:styleId="75">
    <w:name w:val="年月日"/>
    <w:qFormat/>
    <w:uiPriority w:val="0"/>
    <w:pPr>
      <w:adjustRightInd w:val="0"/>
      <w:snapToGrid w:val="0"/>
      <w:jc w:val="center"/>
    </w:pPr>
    <w:rPr>
      <w:rFonts w:hint="eastAsia" w:ascii="Times New Roman" w:hAnsi="Times New Roman" w:eastAsia="宋体" w:cs="Times New Roman"/>
      <w:b/>
      <w:sz w:val="28"/>
      <w:szCs w:val="28"/>
      <w:lang w:val="en-US" w:eastAsia="zh-CN" w:bidi="ar-SA"/>
    </w:rPr>
  </w:style>
  <w:style w:type="paragraph" w:customStyle="1" w:styleId="76">
    <w:name w:val="密级"/>
    <w:link w:val="77"/>
    <w:qFormat/>
    <w:uiPriority w:val="0"/>
    <w:pPr>
      <w:jc w:val="right"/>
    </w:pPr>
    <w:rPr>
      <w:rFonts w:hint="eastAsia" w:ascii="Times New Roman" w:hAnsi="Times New Roman" w:eastAsia="宋体" w:cs="Times New Roman"/>
      <w:b/>
      <w:sz w:val="28"/>
      <w:szCs w:val="28"/>
      <w:lang w:val="en-US" w:eastAsia="zh-CN" w:bidi="ar-SA"/>
    </w:rPr>
  </w:style>
  <w:style w:type="character" w:customStyle="1" w:styleId="77">
    <w:name w:val="密级 Char"/>
    <w:link w:val="76"/>
    <w:qFormat/>
    <w:uiPriority w:val="0"/>
    <w:rPr>
      <w:rFonts w:hint="eastAsia" w:ascii="Times New Roman" w:hAnsi="Times New Roman"/>
      <w:b/>
      <w:sz w:val="28"/>
      <w:szCs w:val="28"/>
    </w:rPr>
  </w:style>
  <w:style w:type="paragraph" w:customStyle="1" w:styleId="78">
    <w:name w:val="master thesis"/>
    <w:qFormat/>
    <w:uiPriority w:val="0"/>
    <w:pPr>
      <w:jc w:val="center"/>
    </w:pPr>
    <w:rPr>
      <w:rFonts w:ascii="Times New Roman" w:hAnsi="Times New Roman" w:eastAsia="宋体" w:cs="Times New Roman"/>
      <w:sz w:val="48"/>
      <w:szCs w:val="48"/>
      <w:lang w:val="en-US" w:eastAsia="zh-CN" w:bidi="ar-SA"/>
    </w:rPr>
  </w:style>
  <w:style w:type="paragraph" w:customStyle="1" w:styleId="79">
    <w:name w:val="BUPT"/>
    <w:qFormat/>
    <w:uiPriority w:val="0"/>
    <w:pPr>
      <w:spacing w:line="360" w:lineRule="auto"/>
      <w:jc w:val="center"/>
    </w:pPr>
    <w:rPr>
      <w:rFonts w:ascii="Times New Roman" w:hAnsi="Times New Roman" w:eastAsia="宋体" w:cs="Times New Roman"/>
      <w:b/>
      <w:bCs/>
      <w:sz w:val="52"/>
      <w:szCs w:val="52"/>
      <w:lang w:val="en-US" w:eastAsia="zh-CN" w:bidi="ar-SA"/>
    </w:rPr>
  </w:style>
  <w:style w:type="paragraph" w:customStyle="1" w:styleId="80">
    <w:name w:val="独创性声明"/>
    <w:link w:val="81"/>
    <w:qFormat/>
    <w:uiPriority w:val="0"/>
    <w:pPr>
      <w:jc w:val="center"/>
    </w:pPr>
    <w:rPr>
      <w:rFonts w:hint="eastAsia" w:ascii="黑体" w:hAnsi="黑体" w:eastAsia="黑体" w:cs="Times New Roman"/>
      <w:bCs/>
      <w:sz w:val="32"/>
      <w:szCs w:val="32"/>
      <w:lang w:val="en-US" w:eastAsia="zh-CN" w:bidi="ar-SA"/>
    </w:rPr>
  </w:style>
  <w:style w:type="character" w:customStyle="1" w:styleId="81">
    <w:name w:val="独创性声明 Char"/>
    <w:link w:val="80"/>
    <w:qFormat/>
    <w:uiPriority w:val="0"/>
    <w:rPr>
      <w:rFonts w:hint="eastAsia" w:ascii="黑体" w:hAnsi="黑体" w:eastAsia="黑体"/>
      <w:bCs/>
      <w:sz w:val="32"/>
      <w:szCs w:val="32"/>
    </w:rPr>
  </w:style>
  <w:style w:type="paragraph" w:customStyle="1" w:styleId="82">
    <w:name w:val="目录"/>
    <w:link w:val="83"/>
    <w:qFormat/>
    <w:uiPriority w:val="0"/>
    <w:pPr>
      <w:snapToGrid w:val="0"/>
      <w:spacing w:after="200" w:afterLines="200"/>
      <w:jc w:val="center"/>
    </w:pPr>
    <w:rPr>
      <w:rFonts w:ascii="Times New Roman" w:hAnsi="Times New Roman" w:eastAsia="黑体" w:cs="微软雅黑"/>
      <w:snapToGrid w:val="0"/>
      <w:sz w:val="32"/>
      <w:szCs w:val="30"/>
      <w:lang w:val="en-US" w:eastAsia="zh-CN" w:bidi="ar-SA"/>
    </w:rPr>
  </w:style>
  <w:style w:type="character" w:customStyle="1" w:styleId="83">
    <w:name w:val="样式1 Char"/>
    <w:link w:val="82"/>
    <w:qFormat/>
    <w:uiPriority w:val="0"/>
    <w:rPr>
      <w:rFonts w:hint="default" w:ascii="Times New Roman" w:hAnsi="Times New Roman" w:eastAsia="黑体" w:cs="微软雅黑"/>
      <w:snapToGrid w:val="0"/>
      <w:sz w:val="32"/>
      <w:szCs w:val="30"/>
    </w:rPr>
  </w:style>
  <w:style w:type="paragraph" w:customStyle="1" w:styleId="84">
    <w:name w:val="表格内容"/>
    <w:next w:val="1"/>
    <w:qFormat/>
    <w:uiPriority w:val="0"/>
    <w:pPr>
      <w:snapToGrid w:val="0"/>
      <w:spacing w:line="400" w:lineRule="exact"/>
      <w:jc w:val="center"/>
    </w:pPr>
    <w:rPr>
      <w:rFonts w:ascii="Times New Roman" w:hAnsi="Times New Roman" w:eastAsia="宋体" w:cs="Times New Roman"/>
      <w:bCs/>
      <w:snapToGrid w:val="0"/>
      <w:sz w:val="21"/>
      <w:szCs w:val="28"/>
      <w:lang w:val="en-US" w:eastAsia="zh-CN" w:bidi="ar-SA"/>
    </w:rPr>
  </w:style>
  <w:style w:type="paragraph" w:customStyle="1" w:styleId="85">
    <w:name w:val="算法"/>
    <w:basedOn w:val="1"/>
    <w:qFormat/>
    <w:uiPriority w:val="0"/>
    <w:pPr>
      <w:tabs>
        <w:tab w:val="left" w:pos="420"/>
      </w:tabs>
      <w:ind w:firstLine="0" w:firstLineChars="0"/>
    </w:pPr>
  </w:style>
  <w:style w:type="paragraph" w:customStyle="1" w:styleId="86">
    <w:name w:val="公式段落"/>
    <w:basedOn w:val="1"/>
    <w:link w:val="87"/>
    <w:qFormat/>
    <w:uiPriority w:val="0"/>
    <w:pPr>
      <w:spacing w:before="120" w:after="120" w:line="360" w:lineRule="auto"/>
    </w:pPr>
    <w:rPr>
      <w:rFonts w:ascii="Times New Roman" w:hAnsi="Times New Roman"/>
    </w:rPr>
  </w:style>
  <w:style w:type="character" w:customStyle="1" w:styleId="87">
    <w:name w:val="公式段落 字符"/>
    <w:basedOn w:val="32"/>
    <w:link w:val="86"/>
    <w:qFormat/>
    <w:uiPriority w:val="0"/>
    <w:rPr>
      <w:rFonts w:ascii="Times New Roman" w:hAnsi="Times New Roman" w:eastAsia="宋体"/>
      <w:lang w:eastAsia="zh-CN"/>
    </w:rPr>
  </w:style>
  <w:style w:type="paragraph" w:customStyle="1" w:styleId="88">
    <w:name w:val="表格内文字"/>
    <w:basedOn w:val="1"/>
    <w:qFormat/>
    <w:uiPriority w:val="0"/>
    <w:pPr>
      <w:ind w:firstLine="0" w:firstLineChars="0"/>
      <w:jc w:val="center"/>
    </w:pPr>
    <w:rPr>
      <w:rFonts w:ascii="Times New Roman" w:hAnsi="Times New Roman"/>
      <w:sz w:val="21"/>
    </w:rPr>
  </w:style>
  <w:style w:type="paragraph" w:customStyle="1" w:styleId="89">
    <w:name w:val="参考文献附录致谢"/>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customStyle="1" w:styleId="90">
    <w:name w:val="参考文献1-9"/>
    <w:qFormat/>
    <w:uiPriority w:val="0"/>
    <w:pPr>
      <w:adjustRightInd w:val="0"/>
      <w:snapToGrid w:val="0"/>
      <w:spacing w:line="400" w:lineRule="exact"/>
      <w:ind w:left="340" w:hanging="340"/>
      <w:jc w:val="both"/>
    </w:pPr>
    <w:rPr>
      <w:rFonts w:ascii="Times New Roman" w:hAnsi="Times New Roman" w:eastAsia="宋体" w:cs="Times New Roman"/>
      <w:snapToGrid w:val="0"/>
      <w:sz w:val="21"/>
      <w:szCs w:val="21"/>
      <w:lang w:val="en-US" w:eastAsia="zh-CN" w:bidi="ar-SA"/>
    </w:rPr>
  </w:style>
  <w:style w:type="paragraph" w:customStyle="1" w:styleId="91">
    <w:name w:val="参考文献10"/>
    <w:qFormat/>
    <w:uiPriority w:val="0"/>
    <w:pPr>
      <w:snapToGrid w:val="0"/>
      <w:spacing w:line="400" w:lineRule="exact"/>
      <w:ind w:left="420" w:hanging="420"/>
      <w:jc w:val="both"/>
    </w:pPr>
    <w:rPr>
      <w:rFonts w:ascii="Times New Roman" w:hAnsi="Times New Roman" w:eastAsia="宋体" w:cs="Times New Roman"/>
      <w:snapToGrid w:val="0"/>
      <w:sz w:val="21"/>
      <w:szCs w:val="21"/>
      <w:lang w:val="en-US" w:eastAsia="zh-CN" w:bidi="ar-SA"/>
    </w:rPr>
  </w:style>
  <w:style w:type="paragraph" w:customStyle="1" w:styleId="92">
    <w:name w:val="图名"/>
    <w:next w:val="1"/>
    <w:qFormat/>
    <w:uiPriority w:val="0"/>
    <w:pPr>
      <w:snapToGrid w:val="0"/>
      <w:spacing w:line="400" w:lineRule="exact"/>
      <w:jc w:val="center"/>
    </w:pPr>
    <w:rPr>
      <w:rFonts w:ascii="Times New Roman" w:hAnsi="Times New Roman" w:eastAsia="楷体" w:cs="Times New Roman"/>
      <w:snapToGrid w:val="0"/>
      <w:sz w:val="21"/>
      <w:szCs w:val="22"/>
      <w:lang w:val="en-US" w:eastAsia="zh-CN" w:bidi="ar-SA"/>
    </w:rPr>
  </w:style>
  <w:style w:type="character" w:customStyle="1" w:styleId="93">
    <w:name w:val="keywords1234 Char"/>
    <w:link w:val="70"/>
    <w:qFormat/>
    <w:uiPriority w:val="0"/>
    <w:rPr>
      <w:rFonts w:ascii="Times New Roman" w:hAnsi="Times New Roman" w:eastAsia="宋体" w:cs="Times New Roman"/>
      <w:snapToGrid w:val="0"/>
      <w:kern w:val="44"/>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0" Type="http://schemas.openxmlformats.org/officeDocument/2006/relationships/fontTable" Target="fontTable.xml"/><Relationship Id="rId7" Type="http://schemas.openxmlformats.org/officeDocument/2006/relationships/footer" Target="footer1.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27.png"/><Relationship Id="rId66" Type="http://schemas.openxmlformats.org/officeDocument/2006/relationships/image" Target="media/image26.png"/><Relationship Id="rId65" Type="http://schemas.openxmlformats.org/officeDocument/2006/relationships/image" Target="media/image25.png"/><Relationship Id="rId64" Type="http://schemas.openxmlformats.org/officeDocument/2006/relationships/image" Target="media/image24.png"/><Relationship Id="rId63" Type="http://schemas.openxmlformats.org/officeDocument/2006/relationships/image" Target="media/image23.png"/><Relationship Id="rId62" Type="http://schemas.openxmlformats.org/officeDocument/2006/relationships/image" Target="media/image22.png"/><Relationship Id="rId61" Type="http://schemas.openxmlformats.org/officeDocument/2006/relationships/image" Target="media/image21.png"/><Relationship Id="rId60" Type="http://schemas.openxmlformats.org/officeDocument/2006/relationships/image" Target="media/image20.png"/><Relationship Id="rId6" Type="http://schemas.openxmlformats.org/officeDocument/2006/relationships/header" Target="header2.xml"/><Relationship Id="rId59" Type="http://schemas.openxmlformats.org/officeDocument/2006/relationships/image" Target="media/image19.png"/><Relationship Id="rId58" Type="http://schemas.openxmlformats.org/officeDocument/2006/relationships/image" Target="media/image18.png"/><Relationship Id="rId57" Type="http://schemas.openxmlformats.org/officeDocument/2006/relationships/image" Target="media/image17.png"/><Relationship Id="rId56" Type="http://schemas.openxmlformats.org/officeDocument/2006/relationships/image" Target="media/image16.png"/><Relationship Id="rId55" Type="http://schemas.openxmlformats.org/officeDocument/2006/relationships/image" Target="media/image15.png"/><Relationship Id="rId54" Type="http://schemas.openxmlformats.org/officeDocument/2006/relationships/image" Target="media/image14.png"/><Relationship Id="rId53" Type="http://schemas.openxmlformats.org/officeDocument/2006/relationships/image" Target="media/image13.png"/><Relationship Id="rId52" Type="http://schemas.openxmlformats.org/officeDocument/2006/relationships/image" Target="media/image12.png"/><Relationship Id="rId51" Type="http://schemas.openxmlformats.org/officeDocument/2006/relationships/image" Target="media/image11.png"/><Relationship Id="rId50" Type="http://schemas.openxmlformats.org/officeDocument/2006/relationships/image" Target="media/image10.png"/><Relationship Id="rId5" Type="http://schemas.openxmlformats.org/officeDocument/2006/relationships/header" Target="header1.xml"/><Relationship Id="rId49" Type="http://schemas.openxmlformats.org/officeDocument/2006/relationships/image" Target="media/image9.png"/><Relationship Id="rId48" Type="http://schemas.openxmlformats.org/officeDocument/2006/relationships/image" Target="media/image8.png"/><Relationship Id="rId47"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1.png"/><Relationship Id="rId40"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oter" Target="footer9.xml"/><Relationship Id="rId38" Type="http://schemas.openxmlformats.org/officeDocument/2006/relationships/header" Target="header26.xml"/><Relationship Id="rId37" Type="http://schemas.openxmlformats.org/officeDocument/2006/relationships/header" Target="header25.xml"/><Relationship Id="rId36" Type="http://schemas.openxmlformats.org/officeDocument/2006/relationships/header" Target="header24.xml"/><Relationship Id="rId35" Type="http://schemas.openxmlformats.org/officeDocument/2006/relationships/header" Target="header23.xml"/><Relationship Id="rId34" Type="http://schemas.openxmlformats.org/officeDocument/2006/relationships/header" Target="header22.xml"/><Relationship Id="rId33" Type="http://schemas.openxmlformats.org/officeDocument/2006/relationships/header" Target="header21.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footer" Target="footer8.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96</Pages>
  <Words>56509</Words>
  <Characters>72894</Characters>
  <Lines>1910</Lines>
  <Paragraphs>1352</Paragraphs>
  <TotalTime>8</TotalTime>
  <ScaleCrop>false</ScaleCrop>
  <LinksUpToDate>false</LinksUpToDate>
  <CharactersWithSpaces>75980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Lin</cp:lastModifiedBy>
  <cp:lastPrinted>2009-09-04T06:51:00Z</cp:lastPrinted>
  <dcterms:modified xsi:type="dcterms:W3CDTF">2026-03-18T08:51:57Z</dcterms:modified>
  <dc:title>_x0001_</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8206D3CE19C44B5F9475CD92E92E9C92_13</vt:lpwstr>
  </property>
  <property fmtid="{D5CDD505-2E9C-101B-9397-08002B2CF9AE}" pid="5" name="KSOTemplateDocerSaveRecord">
    <vt:lpwstr>eyJoZGlkIjoiOTljNTZhNjM1ODVlMzg3YWNlZmI3NzU4NDk5MGQwOWYiLCJ1c2VySWQiOiIxNTM1NzUxMjI1In0=</vt:lpwstr>
  </property>
</Properties>
</file>