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6BB8C07">
      <w:pPr>
        <w:sectPr>
          <w:headerReference r:id="rId5" w:type="default"/>
          <w:footerReference r:id="rId7" w:type="default"/>
          <w:headerReference r:id="rId6" w:type="even"/>
          <w:footerReference r:id="rId8" w:type="even"/>
          <w:footnotePr>
            <w:numFmt w:val="decimalEnclosedCircleChinese"/>
            <w:numRestart w:val="eachPage"/>
          </w:footnotePr>
          <w:type w:val="evenPage"/>
          <w:pgSz w:w="11906" w:h="16838"/>
          <w:pgMar w:top="1440" w:right="1797" w:bottom="1440" w:left="1797" w:header="850" w:footer="992" w:gutter="0"/>
          <w:cols w:space="720" w:num="1"/>
          <w:docGrid w:type="lines" w:linePitch="326" w:charSpace="0"/>
        </w:sectPr>
      </w:pPr>
      <w:bookmarkStart w:id="0" w:name="_Toc19851_WPSOffice_Level2"/>
      <w:bookmarkStart w:id="1" w:name="_Toc32753_WPSOffice_Level2"/>
      <w:bookmarkStart w:id="2" w:name="_Toc152619889"/>
      <w:bookmarkStart w:id="3" w:name="_Toc15020_WPSOffice_Level2"/>
      <w:bookmarkStart w:id="4" w:name="_Toc320892636"/>
      <w:bookmarkStart w:id="5" w:name="_Toc533261391"/>
      <w:bookmarkStart w:id="6" w:name="_Toc532872738"/>
    </w:p>
    <w:p w14:paraId="273B656F">
      <w:pPr>
        <w:pStyle w:val="2"/>
        <w:spacing w:after="652"/>
      </w:pPr>
      <w:bookmarkStart w:id="7" w:name="_Toc26156"/>
      <w:r>
        <w:t xml:space="preserve">第三章 </w:t>
      </w:r>
      <w:r>
        <w:rPr>
          <w:rFonts w:hint="eastAsia"/>
        </w:rPr>
        <w:t xml:space="preserve"> 面向电力场景的训推可视平台与RAG应用系统</w:t>
      </w:r>
      <w:bookmarkEnd w:id="7"/>
    </w:p>
    <w:p w14:paraId="2CAF1137">
      <w:pPr>
        <w:ind w:firstLine="480"/>
      </w:pPr>
      <w:r>
        <w:rPr>
          <w:rFonts w:hint="eastAsia"/>
        </w:rPr>
        <w:t>伴随着人工智能技术的迅猛发展，其高效智能、实时响应和精准分析等优势逐步深入到电力智能调度、设备监控、故障诊断等业务场景，为庞大且复杂的电力系统带来了全新的技术支持。与此同时，系统结构由传统单点应用演化为多源数据、多类模型、多层资源共同作用的复杂体系。为了支撑电力人工智能应用的平稳运行，本文首先研制了基于数字孪生的AI模型训推一体可视化平台，通过数据资产管理、模型训推一体化以及孪生推演等方式形成业务模型研发的可信基础支撑。在此基础上，本文进一步研发了面向电力调度场景的RAG应用系统，将规程标准、运行案例与专家知识组织为可检索、可调用、可追溯的外部知识，并通过调度助手实现检索增强生成对话。在系统研发过程中分析发现，平台在数据资产管理、模型过程可视化等方面已具备较好的可信支撑能力，而接入开放知识源的RAG系统却暴露出新的安全隐患。</w:t>
      </w:r>
    </w:p>
    <w:p w14:paraId="5334462B">
      <w:pPr>
        <w:pStyle w:val="3"/>
        <w:spacing w:before="163" w:after="163"/>
      </w:pPr>
      <w:bookmarkStart w:id="8" w:name="_Toc22587"/>
      <w:r>
        <w:t>3.1</w:t>
      </w:r>
      <w:r>
        <w:rPr>
          <w:rFonts w:hint="eastAsia"/>
        </w:rPr>
        <w:t xml:space="preserve">  面向电力场景的AI模型训推一体可视平台</w:t>
      </w:r>
      <w:bookmarkEnd w:id="8"/>
    </w:p>
    <w:p w14:paraId="1774BBA3">
      <w:pPr>
        <w:ind w:firstLine="480"/>
      </w:pPr>
      <w:r>
        <w:rPr>
          <w:rFonts w:hint="eastAsia"/>
        </w:rPr>
        <w:t>电力场景中的AI应用并不是对单一模型的孤立部署调用，而是建立在多源数据接入、模型持续迭代、资源统一调度以及业务协同之上的系统工程。围绕这一特征，本节首先面向电力人工智能应用的一般研发与运行过程，围绕数据与模型资产管理、训推一体化运行以及数字孪生推演三类核心能力进行研发，构成可信AI平台底座。</w:t>
      </w:r>
    </w:p>
    <w:p w14:paraId="744F11C9">
      <w:pPr>
        <w:pStyle w:val="4"/>
      </w:pPr>
      <w:bookmarkStart w:id="9" w:name="_Toc22089"/>
      <w:r>
        <w:t>3.1.1</w:t>
      </w:r>
      <w:r>
        <w:rPr>
          <w:rFonts w:hint="eastAsia"/>
        </w:rPr>
        <w:t xml:space="preserve">  平台总体架构</w:t>
      </w:r>
      <w:bookmarkEnd w:id="9"/>
    </w:p>
    <w:p w14:paraId="186A475B">
      <w:pPr>
        <w:ind w:firstLine="480"/>
      </w:pPr>
      <w:r>
        <w:rPr>
          <w:rFonts w:hint="eastAsia"/>
        </w:rPr>
        <w:t>平台总体架构遵循“虚实一体、分层解耦、过程可视、安全可信”的设计原则，形成由孪生建模层、数据治理层、模型训推层、业务应用层构成的四层总体架构，如图3-1所示。</w:t>
      </w:r>
    </w:p>
    <w:p w14:paraId="404020EF">
      <w:pPr>
        <w:ind w:firstLine="480"/>
      </w:pPr>
      <w:r>
        <w:rPr>
          <w:rFonts w:hint="eastAsia"/>
        </w:rPr>
        <w:t>孪生建模层位于架构最底部，是整个平台运行资源支撑与虚实映射的基础层。该层将服务器、GPU、存储、网络、推理节点、训练节点等物理基础设施作为实体对象，并通过监控代理、接口采集和状态同步机制，在数字空间中构建与之对应的孪生对象，进而建立物理资源到数字实体的映射关系。该层使得物理世界中的设备、服务和过程在数字空间中拥有可计算、可关联、可追溯的对应体，从而为后续态势统一表达与孪生推演分析提供统一语义与可追溯的结构化载体。</w:t>
      </w:r>
    </w:p>
    <w:p w14:paraId="773C5779">
      <w:pPr>
        <w:ind w:firstLine="480"/>
      </w:pPr>
      <w:r>
        <w:rPr>
          <w:rFonts w:hint="eastAsia"/>
        </w:rPr>
        <w:t>数据治理层位于孪生建模层之上，是平台实现数据规范化组织和可信流转的关键层。该层针对平台海量多源异构数据全生命周期管理需求，承担数据接入、清洗、组织、分类分级、数据集构建、标注管理、资产管理和血缘追踪等任务。该层通过数据治理流程实现原始数据向标准化、可管理数据对象的转化，使数据在进入模型训练和业务应用之前即具备来源明确、结构清晰、流转可追和状态可控等特征，承担平台可信运行的基础保障作用。</w:t>
      </w:r>
    </w:p>
    <w:p w14:paraId="60F4B750">
      <w:pPr>
        <w:spacing w:line="240" w:lineRule="auto"/>
        <w:ind w:firstLine="0" w:firstLineChars="0"/>
        <w:jc w:val="center"/>
        <w:rPr>
          <w:b/>
          <w:bCs/>
        </w:rPr>
      </w:pPr>
      <w:r>
        <w:rPr>
          <w:rFonts w:hint="eastAsia"/>
          <w:b/>
          <w:bCs/>
        </w:rPr>
        <w:drawing>
          <wp:inline distT="0" distB="0" distL="114300" distR="114300">
            <wp:extent cx="5276850" cy="3115945"/>
            <wp:effectExtent l="0" t="0" r="11430" b="8255"/>
            <wp:docPr id="65" name="图片 65" descr="fig3-1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fig3-1new"/>
                    <pic:cNvPicPr>
                      <a:picLocks noChangeAspect="1"/>
                    </pic:cNvPicPr>
                  </pic:nvPicPr>
                  <pic:blipFill>
                    <a:blip r:embed="rId19"/>
                    <a:stretch>
                      <a:fillRect/>
                    </a:stretch>
                  </pic:blipFill>
                  <pic:spPr>
                    <a:xfrm>
                      <a:off x="0" y="0"/>
                      <a:ext cx="5276850" cy="3115945"/>
                    </a:xfrm>
                    <a:prstGeom prst="rect">
                      <a:avLst/>
                    </a:prstGeom>
                  </pic:spPr>
                </pic:pic>
              </a:graphicData>
            </a:graphic>
          </wp:inline>
        </w:drawing>
      </w:r>
    </w:p>
    <w:p w14:paraId="272969BB">
      <w:pPr>
        <w:pStyle w:val="98"/>
      </w:pPr>
      <w:r>
        <w:rPr>
          <w:rFonts w:hint="eastAsia"/>
        </w:rPr>
        <w:t>图3-1 平台总体架构图</w:t>
      </w:r>
    </w:p>
    <w:p w14:paraId="7AC9F376">
      <w:pPr>
        <w:ind w:firstLine="480"/>
      </w:pPr>
      <w:r>
        <w:rPr>
          <w:rFonts w:hint="eastAsia"/>
        </w:rPr>
        <w:t>模型训推层展现模型开发全过程画像，是平台贯通模型开发、训练部署和在线运行的核心层。</w:t>
      </w:r>
      <w:r>
        <w:t>该层强调把训练与推理视为同一条可追踪链路</w:t>
      </w:r>
      <w:r>
        <w:rPr>
          <w:rFonts w:hint="eastAsia"/>
        </w:rPr>
        <w:t>，对训练任务、模型版本、实验参数、评估结果、部署服务和在线推理状态进行统一管理，通过训推过程可视化使模型从“不可见的算法实现”转变为“可描述、可管理、可监测的数字对象”，形成统一的模型生命周期管理与可视化监测能力，是实现可信训练与可信推理的重要环节。</w:t>
      </w:r>
    </w:p>
    <w:p w14:paraId="308DEF7A">
      <w:pPr>
        <w:ind w:firstLine="480"/>
      </w:pPr>
      <w:r>
        <w:rPr>
          <w:rFonts w:hint="eastAsia"/>
        </w:rPr>
        <w:t>业务应用层是平台能力面向电力业务场景的承载层。该层联动呈现算力、数据、模型以及业务链路，面向具体电力业务场景组织应用服务，支持从业务结果反向定位到模型版本、知识证据与资源状态，实现可解释、可审计的可信推理流程，并形成用户可直接交互的功能入口，从而使整个平台形成由底层资源到上层业务的可观测、可追踪架构闭环。</w:t>
      </w:r>
    </w:p>
    <w:p w14:paraId="5028EDAA">
      <w:pPr>
        <w:pStyle w:val="4"/>
      </w:pPr>
      <w:bookmarkStart w:id="10" w:name="_Toc2269"/>
      <w:r>
        <w:t xml:space="preserve">3.1.2  </w:t>
      </w:r>
      <w:r>
        <w:rPr>
          <w:rFonts w:hint="eastAsia"/>
        </w:rPr>
        <w:t>平台功能设计</w:t>
      </w:r>
      <w:bookmarkEnd w:id="10"/>
    </w:p>
    <w:p w14:paraId="4D328480">
      <w:pPr>
        <w:ind w:firstLine="480"/>
      </w:pPr>
      <w:r>
        <w:rPr>
          <w:rFonts w:hint="eastAsia"/>
        </w:rPr>
        <w:t>在总体架构基础上，平台进一步围绕电力人工智能应用的实际研发与运行流程，形成由数据资产管理、模型训推开发以及孪生推演等核心模块构成的功能逻辑体系，如图3-2所示。</w:t>
      </w:r>
    </w:p>
    <w:p w14:paraId="2611F200">
      <w:pPr>
        <w:pStyle w:val="5"/>
        <w:ind w:firstLine="480"/>
      </w:pPr>
      <w:r>
        <w:rPr>
          <w:rFonts w:hint="eastAsia"/>
        </w:rPr>
        <w:t>3.1.2.1  数据资产管理</w:t>
      </w:r>
    </w:p>
    <w:p w14:paraId="197DB921">
      <w:pPr>
        <w:ind w:firstLine="480"/>
      </w:pPr>
      <w:r>
        <w:rPr>
          <w:rFonts w:hint="eastAsia"/>
        </w:rPr>
        <w:t>数据资产管理的核心目标，是将原本分散、异构且难以复用的数据对象和模型对象转化为具有明确边界、明确属性和明确关系的可管理资产。平台面向网页、文件服务器、数据库和本地文件等多种来源提供统一接入能力，并通过任务化方式记录采集来源、执行状态和目标位置，使原始数据在进入平台时即具备来源信息。对接入后的数据，平台按照结构化和非结构化两类分别执行规范化清洗处理，如图3-3所示：前者侧重字段清洗、异常值处理、缺失补全和重复消解，后者侧重格式解析、标签去除、冗余过滤、编码统一和必要脱敏。经过这一过程，数据对象由原始材料转化为可被训练、检索和审计使用的标准化资源。</w:t>
      </w:r>
    </w:p>
    <w:p w14:paraId="0733D346">
      <w:pPr>
        <w:spacing w:line="240" w:lineRule="auto"/>
        <w:ind w:firstLine="0" w:firstLineChars="0"/>
        <w:jc w:val="center"/>
      </w:pPr>
      <w:r>
        <w:rPr>
          <w:rFonts w:hint="eastAsia"/>
        </w:rPr>
        <w:drawing>
          <wp:inline distT="0" distB="0" distL="114300" distR="114300">
            <wp:extent cx="3793490" cy="3106420"/>
            <wp:effectExtent l="0" t="0" r="1270" b="2540"/>
            <wp:docPr id="5" name="图片 5" descr="fig3-2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new"/>
                    <pic:cNvPicPr>
                      <a:picLocks noChangeAspect="1"/>
                    </pic:cNvPicPr>
                  </pic:nvPicPr>
                  <pic:blipFill>
                    <a:blip r:embed="rId20"/>
                    <a:stretch>
                      <a:fillRect/>
                    </a:stretch>
                  </pic:blipFill>
                  <pic:spPr>
                    <a:xfrm>
                      <a:off x="0" y="0"/>
                      <a:ext cx="3793490" cy="3106420"/>
                    </a:xfrm>
                    <a:prstGeom prst="rect">
                      <a:avLst/>
                    </a:prstGeom>
                  </pic:spPr>
                </pic:pic>
              </a:graphicData>
            </a:graphic>
          </wp:inline>
        </w:drawing>
      </w:r>
    </w:p>
    <w:p w14:paraId="6A3CE551">
      <w:pPr>
        <w:pStyle w:val="98"/>
      </w:pPr>
      <w:r>
        <w:rPr>
          <w:rFonts w:hint="eastAsia"/>
        </w:rPr>
        <w:t>图3-2 平台功能模块图</w:t>
      </w:r>
    </w:p>
    <w:p w14:paraId="3D3639CE">
      <w:pPr>
        <w:pStyle w:val="98"/>
        <w:spacing w:line="240" w:lineRule="auto"/>
      </w:pPr>
      <w:r>
        <w:rPr>
          <w:rFonts w:hint="eastAsia"/>
        </w:rPr>
        <w:drawing>
          <wp:inline distT="0" distB="0" distL="114300" distR="114300">
            <wp:extent cx="5266690" cy="2528570"/>
            <wp:effectExtent l="0" t="0" r="6350" b="1270"/>
            <wp:docPr id="24" name="图片 24" descr="fig3-清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清洗"/>
                    <pic:cNvPicPr>
                      <a:picLocks noChangeAspect="1"/>
                    </pic:cNvPicPr>
                  </pic:nvPicPr>
                  <pic:blipFill>
                    <a:blip r:embed="rId21"/>
                    <a:stretch>
                      <a:fillRect/>
                    </a:stretch>
                  </pic:blipFill>
                  <pic:spPr>
                    <a:xfrm>
                      <a:off x="0" y="0"/>
                      <a:ext cx="5266690" cy="2528570"/>
                    </a:xfrm>
                    <a:prstGeom prst="rect">
                      <a:avLst/>
                    </a:prstGeom>
                  </pic:spPr>
                </pic:pic>
              </a:graphicData>
            </a:graphic>
          </wp:inline>
        </w:drawing>
      </w:r>
      <w:r>
        <w:rPr>
          <w:rFonts w:hint="eastAsia"/>
        </w:rPr>
        <w:t>图3-3 数据清洗功能界面</w:t>
      </w:r>
    </w:p>
    <w:p w14:paraId="64546475">
      <w:pPr>
        <w:ind w:firstLine="480"/>
      </w:pPr>
      <w:r>
        <w:rPr>
          <w:rFonts w:hint="eastAsia"/>
        </w:rPr>
        <w:t>在数据管理基础上，平台进一步纵深构建资产化与追踪功能。首先依据《能源行业数据安全管理办法（试行）》等国家标准，对数据对象进行分类分级，区分其业务属性、敏感程度和使用层级，如表3-1所示。然后通过资产目录和资产明细功能对平台内的数据资源进行集中编目、检索与展示，使原本分散在不同流程中的数据能够以资产形式持续维护，如图3-4所示。之后再通过血缘追踪机制记录数据从采集、清洗、标注、组织到使用的全过程关系，从而支撑数据来源追溯、加工路径分析和结果责任定位。由此，平台中的数据不再只是被动存储的内容，而是成为可持续维护、可视化管理、可追踪流转的核心资源，为后续模型训练和业务应用提供了稳定的数据底座。</w:t>
      </w:r>
    </w:p>
    <w:p w14:paraId="149EC76E">
      <w:pPr>
        <w:pStyle w:val="9"/>
      </w:pPr>
      <w:r>
        <w:rPr>
          <w:rFonts w:hint="eastAsia"/>
        </w:rPr>
        <w:t>表3-1 数据分级分类管理规范</w:t>
      </w:r>
    </w:p>
    <w:tbl>
      <w:tblPr>
        <w:tblStyle w:val="37"/>
        <w:tblW w:w="8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2137"/>
        <w:gridCol w:w="2138"/>
        <w:gridCol w:w="2585"/>
      </w:tblGrid>
      <w:tr w14:paraId="4516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2A558228">
            <w:pPr>
              <w:ind w:firstLine="0" w:firstLineChars="0"/>
              <w:jc w:val="center"/>
              <w:rPr>
                <w:sz w:val="21"/>
                <w:szCs w:val="21"/>
              </w:rPr>
            </w:pPr>
            <w:r>
              <w:rPr>
                <w:rFonts w:hint="eastAsia"/>
                <w:sz w:val="21"/>
                <w:szCs w:val="21"/>
              </w:rPr>
              <w:t>数据类别</w:t>
            </w:r>
          </w:p>
        </w:tc>
        <w:tc>
          <w:tcPr>
            <w:tcW w:w="2137" w:type="dxa"/>
            <w:vAlign w:val="center"/>
          </w:tcPr>
          <w:p w14:paraId="2D6EFF0A">
            <w:pPr>
              <w:pStyle w:val="94"/>
              <w:rPr>
                <w:szCs w:val="21"/>
              </w:rPr>
            </w:pPr>
            <w:r>
              <w:rPr>
                <w:rFonts w:hint="eastAsia"/>
                <w:szCs w:val="21"/>
              </w:rPr>
              <w:t>公开级</w:t>
            </w:r>
          </w:p>
        </w:tc>
        <w:tc>
          <w:tcPr>
            <w:tcW w:w="2138" w:type="dxa"/>
            <w:vAlign w:val="center"/>
          </w:tcPr>
          <w:p w14:paraId="163AF98D">
            <w:pPr>
              <w:pStyle w:val="94"/>
              <w:rPr>
                <w:szCs w:val="21"/>
              </w:rPr>
            </w:pPr>
            <w:r>
              <w:rPr>
                <w:rFonts w:hint="eastAsia"/>
                <w:szCs w:val="21"/>
              </w:rPr>
              <w:t>重要级</w:t>
            </w:r>
          </w:p>
        </w:tc>
        <w:tc>
          <w:tcPr>
            <w:tcW w:w="2585" w:type="dxa"/>
            <w:vAlign w:val="center"/>
          </w:tcPr>
          <w:p w14:paraId="6F8464AC">
            <w:pPr>
              <w:pStyle w:val="94"/>
              <w:rPr>
                <w:szCs w:val="21"/>
              </w:rPr>
            </w:pPr>
            <w:r>
              <w:rPr>
                <w:rFonts w:hint="eastAsia"/>
                <w:szCs w:val="21"/>
              </w:rPr>
              <w:t>核心级</w:t>
            </w:r>
          </w:p>
        </w:tc>
      </w:tr>
      <w:tr w14:paraId="1C0E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1DAD7A35">
            <w:pPr>
              <w:pStyle w:val="94"/>
              <w:rPr>
                <w:szCs w:val="21"/>
              </w:rPr>
            </w:pPr>
            <w:r>
              <w:rPr>
                <w:rFonts w:hint="eastAsia"/>
                <w:szCs w:val="21"/>
              </w:rPr>
              <w:t>设备数据类</w:t>
            </w:r>
          </w:p>
        </w:tc>
        <w:tc>
          <w:tcPr>
            <w:tcW w:w="2137" w:type="dxa"/>
          </w:tcPr>
          <w:p w14:paraId="23360CD6">
            <w:pPr>
              <w:pStyle w:val="94"/>
              <w:rPr>
                <w:szCs w:val="21"/>
              </w:rPr>
            </w:pPr>
            <w:r>
              <w:rPr>
                <w:rFonts w:hint="eastAsia"/>
                <w:szCs w:val="21"/>
              </w:rPr>
              <w:t>设备型号、台账基础信息等可公开资料</w:t>
            </w:r>
          </w:p>
        </w:tc>
        <w:tc>
          <w:tcPr>
            <w:tcW w:w="2138" w:type="dxa"/>
          </w:tcPr>
          <w:p w14:paraId="6B972F74">
            <w:pPr>
              <w:pStyle w:val="94"/>
              <w:rPr>
                <w:szCs w:val="21"/>
              </w:rPr>
            </w:pPr>
            <w:r>
              <w:rPr>
                <w:rFonts w:ascii="宋体" w:hAnsi="宋体" w:cs="宋体"/>
                <w:szCs w:val="21"/>
              </w:rPr>
              <w:t>设备运行状态、告警信息、健康指标等</w:t>
            </w:r>
          </w:p>
        </w:tc>
        <w:tc>
          <w:tcPr>
            <w:tcW w:w="2585" w:type="dxa"/>
          </w:tcPr>
          <w:p w14:paraId="22045A72">
            <w:pPr>
              <w:pStyle w:val="94"/>
              <w:rPr>
                <w:szCs w:val="21"/>
              </w:rPr>
            </w:pPr>
            <w:r>
              <w:rPr>
                <w:rFonts w:ascii="宋体" w:hAnsi="宋体" w:cs="宋体"/>
                <w:szCs w:val="21"/>
              </w:rPr>
              <w:t>关键设备参数、保护定值、拓扑关联等敏感信息</w:t>
            </w:r>
          </w:p>
        </w:tc>
      </w:tr>
      <w:tr w14:paraId="087E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75E02837">
            <w:pPr>
              <w:pStyle w:val="94"/>
              <w:rPr>
                <w:szCs w:val="21"/>
              </w:rPr>
            </w:pPr>
            <w:r>
              <w:rPr>
                <w:rFonts w:hint="eastAsia"/>
                <w:szCs w:val="21"/>
              </w:rPr>
              <w:t>运行数据类</w:t>
            </w:r>
          </w:p>
        </w:tc>
        <w:tc>
          <w:tcPr>
            <w:tcW w:w="2137" w:type="dxa"/>
          </w:tcPr>
          <w:p w14:paraId="3373CD87">
            <w:pPr>
              <w:pStyle w:val="94"/>
              <w:rPr>
                <w:szCs w:val="21"/>
              </w:rPr>
            </w:pPr>
            <w:r>
              <w:rPr>
                <w:rFonts w:ascii="宋体" w:hAnsi="宋体" w:cs="宋体"/>
                <w:szCs w:val="21"/>
              </w:rPr>
              <w:t>历史负荷/电量统计报表等对外发布数据</w:t>
            </w:r>
          </w:p>
        </w:tc>
        <w:tc>
          <w:tcPr>
            <w:tcW w:w="2138" w:type="dxa"/>
          </w:tcPr>
          <w:p w14:paraId="7CA07E25">
            <w:pPr>
              <w:pStyle w:val="94"/>
              <w:rPr>
                <w:szCs w:val="21"/>
              </w:rPr>
            </w:pPr>
            <w:r>
              <w:rPr>
                <w:rFonts w:ascii="宋体" w:hAnsi="宋体" w:cs="宋体"/>
                <w:szCs w:val="21"/>
              </w:rPr>
              <w:t>区域运行曲线、潮流分析结果等</w:t>
            </w:r>
          </w:p>
        </w:tc>
        <w:tc>
          <w:tcPr>
            <w:tcW w:w="2585" w:type="dxa"/>
          </w:tcPr>
          <w:p w14:paraId="341443EF">
            <w:pPr>
              <w:pStyle w:val="94"/>
              <w:rPr>
                <w:szCs w:val="21"/>
              </w:rPr>
            </w:pPr>
            <w:r>
              <w:rPr>
                <w:rFonts w:ascii="宋体" w:hAnsi="宋体" w:cs="宋体"/>
                <w:szCs w:val="21"/>
              </w:rPr>
              <w:t>实时量测数据、关键断面潮流、越限与风险数据</w:t>
            </w:r>
          </w:p>
        </w:tc>
      </w:tr>
      <w:tr w14:paraId="2F08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08D4C670">
            <w:pPr>
              <w:pStyle w:val="94"/>
              <w:rPr>
                <w:szCs w:val="21"/>
              </w:rPr>
            </w:pPr>
            <w:r>
              <w:rPr>
                <w:rFonts w:hint="eastAsia"/>
                <w:szCs w:val="21"/>
              </w:rPr>
              <w:t>调度指令类</w:t>
            </w:r>
          </w:p>
        </w:tc>
        <w:tc>
          <w:tcPr>
            <w:tcW w:w="2137" w:type="dxa"/>
          </w:tcPr>
          <w:p w14:paraId="65CD66B7">
            <w:pPr>
              <w:pStyle w:val="94"/>
              <w:rPr>
                <w:szCs w:val="21"/>
              </w:rPr>
            </w:pPr>
            <w:r>
              <w:rPr>
                <w:rFonts w:ascii="宋体" w:hAnsi="宋体" w:cs="宋体"/>
                <w:szCs w:val="21"/>
              </w:rPr>
              <w:t>经审定公开的调度公告或计划摘要</w:t>
            </w:r>
          </w:p>
        </w:tc>
        <w:tc>
          <w:tcPr>
            <w:tcW w:w="2138" w:type="dxa"/>
          </w:tcPr>
          <w:p w14:paraId="13EA64E2">
            <w:pPr>
              <w:pStyle w:val="94"/>
              <w:rPr>
                <w:szCs w:val="21"/>
              </w:rPr>
            </w:pPr>
            <w:r>
              <w:rPr>
                <w:rFonts w:ascii="宋体" w:hAnsi="宋体" w:cs="宋体"/>
                <w:szCs w:val="21"/>
              </w:rPr>
              <w:t>日前/日内运行方式调整与常规操作指令</w:t>
            </w:r>
          </w:p>
        </w:tc>
        <w:tc>
          <w:tcPr>
            <w:tcW w:w="2585" w:type="dxa"/>
          </w:tcPr>
          <w:p w14:paraId="222CE2E2">
            <w:pPr>
              <w:pStyle w:val="94"/>
              <w:rPr>
                <w:szCs w:val="21"/>
              </w:rPr>
            </w:pPr>
            <w:r>
              <w:rPr>
                <w:rFonts w:ascii="宋体" w:hAnsi="宋体" w:cs="宋体"/>
                <w:szCs w:val="21"/>
              </w:rPr>
              <w:t>实时调度命令、应急处置指令、重要用户保供策略</w:t>
            </w:r>
          </w:p>
        </w:tc>
      </w:tr>
      <w:tr w14:paraId="63B6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7C182E02">
            <w:pPr>
              <w:pStyle w:val="94"/>
              <w:rPr>
                <w:szCs w:val="21"/>
              </w:rPr>
            </w:pPr>
            <w:r>
              <w:rPr>
                <w:rFonts w:hint="eastAsia"/>
                <w:szCs w:val="21"/>
              </w:rPr>
              <w:t>历史案例类</w:t>
            </w:r>
          </w:p>
        </w:tc>
        <w:tc>
          <w:tcPr>
            <w:tcW w:w="2137" w:type="dxa"/>
          </w:tcPr>
          <w:p w14:paraId="46AA1031">
            <w:pPr>
              <w:pStyle w:val="94"/>
              <w:rPr>
                <w:szCs w:val="21"/>
              </w:rPr>
            </w:pPr>
            <w:r>
              <w:rPr>
                <w:rFonts w:ascii="宋体" w:hAnsi="宋体" w:cs="宋体"/>
                <w:szCs w:val="21"/>
              </w:rPr>
              <w:t>已公开事故通报、典型案例摘要</w:t>
            </w:r>
          </w:p>
        </w:tc>
        <w:tc>
          <w:tcPr>
            <w:tcW w:w="2138" w:type="dxa"/>
          </w:tcPr>
          <w:p w14:paraId="053BFF3F">
            <w:pPr>
              <w:pStyle w:val="94"/>
              <w:rPr>
                <w:szCs w:val="21"/>
              </w:rPr>
            </w:pPr>
            <w:r>
              <w:rPr>
                <w:rFonts w:ascii="宋体" w:hAnsi="宋体" w:cs="宋体"/>
                <w:szCs w:val="21"/>
              </w:rPr>
              <w:t>内部复盘报告、处置流程与经验总结</w:t>
            </w:r>
          </w:p>
        </w:tc>
        <w:tc>
          <w:tcPr>
            <w:tcW w:w="2585" w:type="dxa"/>
          </w:tcPr>
          <w:p w14:paraId="69BBC663">
            <w:pPr>
              <w:pStyle w:val="94"/>
              <w:rPr>
                <w:szCs w:val="21"/>
              </w:rPr>
            </w:pPr>
            <w:r>
              <w:rPr>
                <w:rFonts w:ascii="宋体" w:hAnsi="宋体" w:cs="宋体"/>
                <w:szCs w:val="21"/>
              </w:rPr>
              <w:t>未公开重大事件细节、涉及关键资产的处置记录</w:t>
            </w:r>
          </w:p>
        </w:tc>
      </w:tr>
      <w:tr w14:paraId="6EAE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72435D50">
            <w:pPr>
              <w:pStyle w:val="94"/>
              <w:rPr>
                <w:szCs w:val="21"/>
              </w:rPr>
            </w:pPr>
            <w:r>
              <w:rPr>
                <w:rFonts w:hint="eastAsia"/>
                <w:szCs w:val="21"/>
              </w:rPr>
              <w:t>专家知识类</w:t>
            </w:r>
          </w:p>
        </w:tc>
        <w:tc>
          <w:tcPr>
            <w:tcW w:w="2137" w:type="dxa"/>
          </w:tcPr>
          <w:p w14:paraId="1D5FB5C8">
            <w:pPr>
              <w:pStyle w:val="94"/>
              <w:rPr>
                <w:szCs w:val="21"/>
              </w:rPr>
            </w:pPr>
            <w:r>
              <w:rPr>
                <w:rFonts w:ascii="宋体" w:hAnsi="宋体" w:cs="宋体"/>
                <w:szCs w:val="21"/>
              </w:rPr>
              <w:t>行业公开论文/标准解读与通用经验</w:t>
            </w:r>
          </w:p>
        </w:tc>
        <w:tc>
          <w:tcPr>
            <w:tcW w:w="2138" w:type="dxa"/>
          </w:tcPr>
          <w:p w14:paraId="7BCD8CE6">
            <w:pPr>
              <w:pStyle w:val="94"/>
              <w:rPr>
                <w:szCs w:val="21"/>
              </w:rPr>
            </w:pPr>
            <w:r>
              <w:rPr>
                <w:rFonts w:ascii="宋体" w:hAnsi="宋体" w:cs="宋体"/>
                <w:szCs w:val="21"/>
              </w:rPr>
              <w:t>内部专家建议、规则库与策略模板</w:t>
            </w:r>
          </w:p>
        </w:tc>
        <w:tc>
          <w:tcPr>
            <w:tcW w:w="2585" w:type="dxa"/>
          </w:tcPr>
          <w:p w14:paraId="17A34C31">
            <w:pPr>
              <w:pStyle w:val="94"/>
              <w:rPr>
                <w:szCs w:val="21"/>
              </w:rPr>
            </w:pPr>
            <w:r>
              <w:rPr>
                <w:rFonts w:ascii="宋体" w:hAnsi="宋体" w:cs="宋体"/>
                <w:szCs w:val="21"/>
              </w:rPr>
              <w:t>专家决策模型、关键策略参数、专有算法/知识产权内容</w:t>
            </w:r>
          </w:p>
        </w:tc>
      </w:tr>
      <w:tr w14:paraId="52D3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3FE382FB">
            <w:pPr>
              <w:pStyle w:val="94"/>
              <w:rPr>
                <w:szCs w:val="21"/>
              </w:rPr>
            </w:pPr>
            <w:r>
              <w:rPr>
                <w:rFonts w:hint="eastAsia"/>
                <w:szCs w:val="21"/>
              </w:rPr>
              <w:t>规程文档类</w:t>
            </w:r>
          </w:p>
        </w:tc>
        <w:tc>
          <w:tcPr>
            <w:tcW w:w="2137" w:type="dxa"/>
          </w:tcPr>
          <w:p w14:paraId="16249DD8">
            <w:pPr>
              <w:pStyle w:val="94"/>
              <w:rPr>
                <w:szCs w:val="21"/>
              </w:rPr>
            </w:pPr>
            <w:r>
              <w:rPr>
                <w:rFonts w:ascii="宋体" w:hAnsi="宋体" w:cs="宋体"/>
                <w:szCs w:val="21"/>
              </w:rPr>
              <w:t>国家/行业标准及公开操作规程</w:t>
            </w:r>
          </w:p>
        </w:tc>
        <w:tc>
          <w:tcPr>
            <w:tcW w:w="2138" w:type="dxa"/>
          </w:tcPr>
          <w:p w14:paraId="15C825F6">
            <w:pPr>
              <w:pStyle w:val="94"/>
              <w:rPr>
                <w:szCs w:val="21"/>
              </w:rPr>
            </w:pPr>
            <w:r>
              <w:rPr>
                <w:rFonts w:ascii="宋体" w:hAnsi="宋体" w:cs="宋体"/>
                <w:szCs w:val="21"/>
              </w:rPr>
              <w:t>企业内部规程、岗位作业指导书</w:t>
            </w:r>
          </w:p>
        </w:tc>
        <w:tc>
          <w:tcPr>
            <w:tcW w:w="2585" w:type="dxa"/>
          </w:tcPr>
          <w:p w14:paraId="3A651493">
            <w:pPr>
              <w:pStyle w:val="94"/>
              <w:rPr>
                <w:szCs w:val="21"/>
              </w:rPr>
            </w:pPr>
            <w:r>
              <w:rPr>
                <w:rFonts w:ascii="宋体" w:hAnsi="宋体" w:cs="宋体"/>
                <w:szCs w:val="21"/>
              </w:rPr>
              <w:t>涉密应急预案、关键设备操作细则与内部控制策略</w:t>
            </w:r>
          </w:p>
        </w:tc>
      </w:tr>
      <w:tr w14:paraId="38AB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0A6AE023">
            <w:pPr>
              <w:pStyle w:val="94"/>
              <w:rPr>
                <w:szCs w:val="21"/>
              </w:rPr>
            </w:pPr>
            <w:r>
              <w:rPr>
                <w:rFonts w:hint="eastAsia"/>
                <w:szCs w:val="21"/>
              </w:rPr>
              <w:t>用户信息类</w:t>
            </w:r>
          </w:p>
        </w:tc>
        <w:tc>
          <w:tcPr>
            <w:tcW w:w="2137" w:type="dxa"/>
          </w:tcPr>
          <w:p w14:paraId="41255783">
            <w:pPr>
              <w:pStyle w:val="94"/>
              <w:rPr>
                <w:szCs w:val="21"/>
              </w:rPr>
            </w:pPr>
            <w:r>
              <w:rPr>
                <w:rFonts w:ascii="宋体" w:hAnsi="宋体" w:cs="宋体"/>
                <w:szCs w:val="21"/>
              </w:rPr>
              <w:t>组织信息、岗位角色等非个人敏感信息</w:t>
            </w:r>
          </w:p>
        </w:tc>
        <w:tc>
          <w:tcPr>
            <w:tcW w:w="2138" w:type="dxa"/>
          </w:tcPr>
          <w:p w14:paraId="509B0A4A">
            <w:pPr>
              <w:pStyle w:val="94"/>
              <w:rPr>
                <w:szCs w:val="21"/>
              </w:rPr>
            </w:pPr>
            <w:r>
              <w:rPr>
                <w:rFonts w:ascii="宋体" w:hAnsi="宋体" w:cs="宋体"/>
                <w:szCs w:val="21"/>
              </w:rPr>
              <w:t>工号、部门、联系方式、权限角色等</w:t>
            </w:r>
          </w:p>
        </w:tc>
        <w:tc>
          <w:tcPr>
            <w:tcW w:w="2585" w:type="dxa"/>
          </w:tcPr>
          <w:p w14:paraId="66E6A095">
            <w:pPr>
              <w:pStyle w:val="94"/>
              <w:rPr>
                <w:szCs w:val="21"/>
              </w:rPr>
            </w:pPr>
            <w:r>
              <w:rPr>
                <w:rFonts w:ascii="宋体" w:hAnsi="宋体" w:cs="宋体"/>
                <w:szCs w:val="21"/>
              </w:rPr>
              <w:t>身份敏感信息、认证凭证、登录与操作审计日志</w:t>
            </w:r>
          </w:p>
        </w:tc>
      </w:tr>
    </w:tbl>
    <w:p w14:paraId="2119DAE7">
      <w:pPr>
        <w:spacing w:line="240" w:lineRule="auto"/>
        <w:ind w:firstLine="0" w:firstLineChars="0"/>
      </w:pPr>
      <w:r>
        <w:rPr>
          <w:rFonts w:hint="eastAsia"/>
        </w:rPr>
        <w:drawing>
          <wp:inline distT="0" distB="0" distL="114300" distR="114300">
            <wp:extent cx="5266690" cy="2528570"/>
            <wp:effectExtent l="0" t="0" r="6350" b="1270"/>
            <wp:docPr id="26" name="图片 26" descr="fig3-4资产明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4资产明细"/>
                    <pic:cNvPicPr>
                      <a:picLocks noChangeAspect="1"/>
                    </pic:cNvPicPr>
                  </pic:nvPicPr>
                  <pic:blipFill>
                    <a:blip r:embed="rId22"/>
                    <a:stretch>
                      <a:fillRect/>
                    </a:stretch>
                  </pic:blipFill>
                  <pic:spPr>
                    <a:xfrm>
                      <a:off x="0" y="0"/>
                      <a:ext cx="5266690" cy="2528570"/>
                    </a:xfrm>
                    <a:prstGeom prst="rect">
                      <a:avLst/>
                    </a:prstGeom>
                  </pic:spPr>
                </pic:pic>
              </a:graphicData>
            </a:graphic>
          </wp:inline>
        </w:drawing>
      </w:r>
    </w:p>
    <w:p w14:paraId="77EF96B9">
      <w:pPr>
        <w:pStyle w:val="98"/>
      </w:pPr>
      <w:r>
        <w:rPr>
          <w:rFonts w:hint="eastAsia"/>
        </w:rPr>
        <w:t>图3-4 数据资产明细界面</w:t>
      </w:r>
    </w:p>
    <w:p w14:paraId="3D7629FF">
      <w:pPr>
        <w:pStyle w:val="5"/>
        <w:ind w:firstLine="480"/>
      </w:pPr>
      <w:r>
        <w:rPr>
          <w:rFonts w:hint="eastAsia"/>
        </w:rPr>
        <w:t>3.1.2.2  模型训推一体化设计</w:t>
      </w:r>
    </w:p>
    <w:p w14:paraId="7935FFF6">
      <w:pPr>
        <w:ind w:firstLine="480"/>
      </w:pPr>
      <w:r>
        <w:rPr>
          <w:rFonts w:hint="eastAsia"/>
        </w:rPr>
        <w:t>模型训推开发是平台的核心能力。</w:t>
      </w:r>
      <w:r>
        <w:t>围绕模型开发过程，平台提供模型任务创建、流程编排、训练参数配置、评估结果展示等功能，使模型训练以任务化方式被统一组织，并与所使用的数据集、算法框架和资源配置建立关联。平台还建设了模型库，对训练完成后的模型和外部导入模型进行统一管理，</w:t>
      </w:r>
      <w:r>
        <w:rPr>
          <w:rFonts w:hint="eastAsia"/>
        </w:rPr>
        <w:t>如图3-5所示。同时，通过模型标签功能从任务类型、应用场景、模型来源和运行环境等维度对模型进行结构化标识，使模型转化为可管理、可筛选、可复用的模型资产，降低模型检索、筛选和复用成本。</w:t>
      </w:r>
      <w:r>
        <w:t>对于需要快速试验和结构迭代的场景，平台还将部分模型结构能力进行模块化沉淀，使特征提取、多尺度融合和注意力机制等常见结构能够以组件形式进行复用，从而增强模型开发的工程化效率</w:t>
      </w:r>
      <w:r>
        <w:rPr>
          <w:rFonts w:hint="eastAsia"/>
        </w:rPr>
        <w:t>。</w:t>
      </w:r>
    </w:p>
    <w:p w14:paraId="27A988E3">
      <w:pPr>
        <w:spacing w:line="240" w:lineRule="auto"/>
        <w:ind w:firstLine="0" w:firstLineChars="0"/>
      </w:pPr>
      <w:r>
        <w:rPr>
          <w:rFonts w:hint="eastAsia"/>
        </w:rPr>
        <w:drawing>
          <wp:inline distT="0" distB="0" distL="114300" distR="114300">
            <wp:extent cx="5266690" cy="2528570"/>
            <wp:effectExtent l="0" t="0" r="6350" b="1270"/>
            <wp:docPr id="30" name="图片 30" descr="fig3-5模型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3-5模型库"/>
                    <pic:cNvPicPr>
                      <a:picLocks noChangeAspect="1"/>
                    </pic:cNvPicPr>
                  </pic:nvPicPr>
                  <pic:blipFill>
                    <a:blip r:embed="rId23"/>
                    <a:stretch>
                      <a:fillRect/>
                    </a:stretch>
                  </pic:blipFill>
                  <pic:spPr>
                    <a:xfrm>
                      <a:off x="0" y="0"/>
                      <a:ext cx="5266690" cy="2528570"/>
                    </a:xfrm>
                    <a:prstGeom prst="rect">
                      <a:avLst/>
                    </a:prstGeom>
                  </pic:spPr>
                </pic:pic>
              </a:graphicData>
            </a:graphic>
          </wp:inline>
        </w:drawing>
      </w:r>
    </w:p>
    <w:p w14:paraId="2DF54482">
      <w:pPr>
        <w:pStyle w:val="98"/>
      </w:pPr>
      <w:r>
        <w:rPr>
          <w:rFonts w:hint="eastAsia"/>
        </w:rPr>
        <w:t>图3-5 模型库界面</w:t>
      </w:r>
    </w:p>
    <w:p w14:paraId="3551F31D">
      <w:pPr>
        <w:spacing w:line="240" w:lineRule="auto"/>
        <w:ind w:firstLine="0" w:firstLineChars="0"/>
      </w:pPr>
      <w:r>
        <w:rPr>
          <w:rFonts w:hint="eastAsia"/>
        </w:rPr>
        <w:drawing>
          <wp:inline distT="0" distB="0" distL="114300" distR="114300">
            <wp:extent cx="5266690" cy="2528570"/>
            <wp:effectExtent l="0" t="0" r="6350" b="1270"/>
            <wp:docPr id="35" name="图片 35" descr="fig3-6训推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ig3-6训推可视化"/>
                    <pic:cNvPicPr>
                      <a:picLocks noChangeAspect="1"/>
                    </pic:cNvPicPr>
                  </pic:nvPicPr>
                  <pic:blipFill>
                    <a:blip r:embed="rId24"/>
                    <a:stretch>
                      <a:fillRect/>
                    </a:stretch>
                  </pic:blipFill>
                  <pic:spPr>
                    <a:xfrm>
                      <a:off x="0" y="0"/>
                      <a:ext cx="5266690" cy="2528570"/>
                    </a:xfrm>
                    <a:prstGeom prst="rect">
                      <a:avLst/>
                    </a:prstGeom>
                  </pic:spPr>
                </pic:pic>
              </a:graphicData>
            </a:graphic>
          </wp:inline>
        </w:drawing>
      </w:r>
    </w:p>
    <w:p w14:paraId="23E868BE">
      <w:pPr>
        <w:pStyle w:val="98"/>
      </w:pPr>
      <w:r>
        <w:rPr>
          <w:rFonts w:hint="eastAsia"/>
        </w:rPr>
        <w:t>图3-6 训练过程可视化界面</w:t>
      </w:r>
    </w:p>
    <w:p w14:paraId="26070642">
      <w:pPr>
        <w:ind w:firstLine="480"/>
      </w:pPr>
      <w:r>
        <w:rPr>
          <w:rFonts w:hint="eastAsia"/>
        </w:rPr>
        <w:t>除了模型开发的流程编排</w:t>
      </w:r>
      <w:r>
        <w:t>，平台进一步提供训推监测功能</w:t>
      </w:r>
      <w:r>
        <w:rPr>
          <w:rFonts w:hint="eastAsia"/>
        </w:rPr>
        <w:t>，如图3-6所示</w:t>
      </w:r>
      <w:r>
        <w:t>。部署服务负责将模型从离线训练结果发布为在线可调用服务，并建立模型版本、服务实例和业务调用之间的稳定关联，使业务系统能够明确调用到具体模型对象。训推可视化监测则对训练阶段和推理阶段进行全过程观测：在训练侧，平台持续展示训练进度、指标变化、评估结果以及CPU、GPU、显存、内存等资源占用情况；在推理侧，平台持续采集服务状态、调用频率、响应时延、吞吐情况和资源消耗等指标。这样，平台不仅能够支撑模型从开发到上线的连续管理，还能够保证模型行为在运行过程中始终处于可观测、可分析和可回溯状态。</w:t>
      </w:r>
    </w:p>
    <w:p w14:paraId="7687E585">
      <w:pPr>
        <w:pStyle w:val="5"/>
        <w:ind w:firstLine="480"/>
      </w:pPr>
      <w:r>
        <w:rPr>
          <w:rFonts w:hint="eastAsia"/>
        </w:rPr>
        <w:t>3.1.2.3  孪生推演</w:t>
      </w:r>
    </w:p>
    <w:p w14:paraId="567D0D76">
      <w:pPr>
        <w:ind w:firstLine="480"/>
      </w:pPr>
      <w:r>
        <w:rPr>
          <w:rFonts w:hint="eastAsia"/>
        </w:rPr>
        <w:t>该功能模块基于前文建立的虚实映射关系，将资源状态、数据状态、模型状态与业务场景统一纳入可计算的数字空间，对候选策略和操作方案进行预演分析，从而提升高安全场景下模型应用的可验证性与辅助决策能力。</w:t>
      </w:r>
    </w:p>
    <w:p w14:paraId="167A424F">
      <w:pPr>
        <w:ind w:firstLine="480"/>
      </w:pPr>
      <w:r>
        <w:rPr>
          <w:rFonts w:hint="eastAsia"/>
        </w:rPr>
        <w:t>如图3-7所示，</w:t>
      </w:r>
      <w:r>
        <w:t>平台以实时采集的资源运行信息、历史业务数据和规则约束为基础，将决策执行过程放入与实际业务场景一致的数字环境中进行动态验证。一方面，平台持续接收来自物理侧的状态数据，对资源负载、服务状态、数据流转和业务上下文进行同步更新，使孪生场景能够反映当前运行条件；另一方面，平台将候选策略输入孪生环境后，不仅考察其是否能够完成预期任务，还进一步分析该策略对后续业务状态、关联对象和系统运行边界的影响</w:t>
      </w:r>
      <w:r>
        <w:rPr>
          <w:rFonts w:hint="eastAsia"/>
        </w:rPr>
        <w:t>，进而形成</w:t>
      </w:r>
      <w:r>
        <w:t>由状态感知、方案推演、结果验证到策略优化构成的闭环链路。</w:t>
      </w:r>
    </w:p>
    <w:p w14:paraId="6B4E8D64">
      <w:pPr>
        <w:spacing w:line="240" w:lineRule="auto"/>
        <w:ind w:firstLine="0" w:firstLineChars="0"/>
      </w:pPr>
      <w:r>
        <w:rPr>
          <w:rFonts w:hint="eastAsia"/>
        </w:rPr>
        <w:drawing>
          <wp:inline distT="0" distB="0" distL="114300" distR="114300">
            <wp:extent cx="5266690" cy="2528570"/>
            <wp:effectExtent l="0" t="0" r="6350" b="1270"/>
            <wp:docPr id="36" name="图片 36" descr="孪生推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孪生推演"/>
                    <pic:cNvPicPr>
                      <a:picLocks noChangeAspect="1"/>
                    </pic:cNvPicPr>
                  </pic:nvPicPr>
                  <pic:blipFill>
                    <a:blip r:embed="rId25"/>
                    <a:stretch>
                      <a:fillRect/>
                    </a:stretch>
                  </pic:blipFill>
                  <pic:spPr>
                    <a:xfrm>
                      <a:off x="0" y="0"/>
                      <a:ext cx="5266690" cy="2528570"/>
                    </a:xfrm>
                    <a:prstGeom prst="rect">
                      <a:avLst/>
                    </a:prstGeom>
                  </pic:spPr>
                </pic:pic>
              </a:graphicData>
            </a:graphic>
          </wp:inline>
        </w:drawing>
      </w:r>
    </w:p>
    <w:p w14:paraId="3F93141D">
      <w:pPr>
        <w:pStyle w:val="98"/>
      </w:pPr>
      <w:r>
        <w:rPr>
          <w:rFonts w:hint="eastAsia"/>
        </w:rPr>
        <w:t>图3-7 孪生推演操作界面</w:t>
      </w:r>
    </w:p>
    <w:p w14:paraId="08776DD6">
      <w:pPr>
        <w:pStyle w:val="3"/>
        <w:spacing w:before="163" w:after="163"/>
      </w:pPr>
      <w:bookmarkStart w:id="11" w:name="_Toc11930"/>
      <w:r>
        <w:t>3.</w:t>
      </w:r>
      <w:r>
        <w:rPr>
          <w:rFonts w:hint="eastAsia"/>
        </w:rPr>
        <w:t>2</w:t>
      </w:r>
      <w:r>
        <w:t xml:space="preserve">  电力调度RAG应用系统</w:t>
      </w:r>
      <w:bookmarkEnd w:id="11"/>
    </w:p>
    <w:p w14:paraId="68BD614A">
      <w:pPr>
        <w:ind w:firstLine="480"/>
      </w:pPr>
      <w:r>
        <w:rPr>
          <w:rFonts w:hint="eastAsia"/>
        </w:rPr>
        <w:t>在知识驱动和智能化加速演进的背景下，知识能力已成为激发新质生产力、企业竞争力的核心因素。电力系统作为典型的知识密集型行业，其调度运行、故障处置、设备运维和应急指挥等业务高度依赖规程标准、历史案例和专家经验。随着电网规模扩大、运行方式日益复杂以及新型电力系统持续演进，传统依赖人工查阅文档和经验判断的知识使用方式已难以满足实时性、专业性和精细化要求。鉴于此，本节在前述系统基础上，进一步开发面向电力调度业务的RAG应用系统，将领域知识库构建与大语言模型生成能力相结合，通过检索增强生成机制将规程标准、历史案例与专家知识引入，辅助完成面向具体运行态势的调度决策与指令生成，为电力场景下知识驱动的辅助决策提供系统支撑。</w:t>
      </w:r>
    </w:p>
    <w:p w14:paraId="444A36B7">
      <w:pPr>
        <w:pStyle w:val="4"/>
      </w:pPr>
      <w:bookmarkStart w:id="12" w:name="_Toc31208"/>
      <w:r>
        <w:t>3.</w:t>
      </w:r>
      <w:r>
        <w:rPr>
          <w:rFonts w:hint="eastAsia"/>
        </w:rPr>
        <w:t>2</w:t>
      </w:r>
      <w:r>
        <w:t xml:space="preserve">.1  </w:t>
      </w:r>
      <w:r>
        <w:rPr>
          <w:rFonts w:hint="eastAsia"/>
        </w:rPr>
        <w:t>需求分析</w:t>
      </w:r>
      <w:bookmarkEnd w:id="12"/>
    </w:p>
    <w:p w14:paraId="6E21D45B">
      <w:pPr>
        <w:ind w:firstLine="480"/>
      </w:pPr>
      <w:r>
        <w:rPr>
          <w:rFonts w:hint="eastAsia"/>
        </w:rPr>
        <w:t>调度人员在面对运行方式调整、异常工况判断和故障处置问题时，往往需要同时参考规程标准、历史案例和专家经验。传统方式主要依赖人工查阅文档和经验匹配，不仅检索效率有限，而且难以在复杂运行态势下快速完成知识整合。因此，电力调度RAG应用系统的核心目标旨在通过整合内部以及网络上公开的规程标准、运行案例以及专家经验中凝练的专业知识，使得大语言模型为操作人员所需决策与操作给出有据可依的回复。</w:t>
      </w:r>
    </w:p>
    <w:p w14:paraId="22DCAB02">
      <w:pPr>
        <w:ind w:firstLine="480"/>
      </w:pPr>
      <w:r>
        <w:rPr>
          <w:rFonts w:hint="eastAsia"/>
        </w:rPr>
        <w:t>围绕该目标，系统在功能层面形成知识准备、辅助问答以及决策审计三类需求。具体而言，系统首先需要支持内部规程、运行手册、事故案例以及外部公开资料的统一接入，并能够完成清洗、切分、向量化和索引构建，使不同来源的知识转化为统一可检索对象。其次，系统需要在用户输入具体运行场景、调度目标或处置问题后，能够从知识库中召回相关证据，并将其与用户问题共同组织为增强上下文，从而生成有依据的回复结果。最后，系统还需要记录问题内容、召回证据、生成答案、执行时间和操作用户等信息，形成后续复盘和评估所需的审计数据。</w:t>
      </w:r>
    </w:p>
    <w:p w14:paraId="069940A0">
      <w:pPr>
        <w:ind w:firstLine="480"/>
      </w:pPr>
      <w:r>
        <w:t>除上述功能性需求外，电力调度RAG应用系统还需满足性能、可靠性、可扩展性与安全性等非功能性需求。在性能方面，系统应具备较好的交互响应与结果展示能力，以保证调度问答过程的连续性与可用性</w:t>
      </w:r>
      <w:r>
        <w:rPr>
          <w:rFonts w:hint="eastAsia"/>
        </w:rPr>
        <w:t>；</w:t>
      </w:r>
      <w:r>
        <w:t>在可靠性方面，系统应能够支持知识接入、问答交互与审计记录等关键流程的稳定运行，并在异常中断、服务波动或环境故障情况下具备较好的容错与恢复能力，保证知识库数据、问答记录和审计信息的完整保存</w:t>
      </w:r>
      <w:r>
        <w:rPr>
          <w:rFonts w:hint="eastAsia"/>
        </w:rPr>
        <w:t>；</w:t>
      </w:r>
      <w:r>
        <w:t>在可扩展性方面，系统应采用模块化设计，使知识接入方式、嵌入模型、检索策略和大语言模型能够按需替换与扩展，以适应后续业务场景变化和系统能力演进</w:t>
      </w:r>
      <w:r>
        <w:rPr>
          <w:rFonts w:hint="eastAsia"/>
        </w:rPr>
        <w:t>；最后，在安全性方面，考虑到系统需要处理内部规程、调度记录和用户操作日志等敏感信息，应通过权限控制、日志留痕和数据保护机制保障知识资源、问答过程与审计数据的受控访问，从而满足电力场景下对系统稳定运行和安全使用的基本要求。</w:t>
      </w:r>
    </w:p>
    <w:p w14:paraId="4050E5E2">
      <w:pPr>
        <w:pStyle w:val="4"/>
      </w:pPr>
      <w:bookmarkStart w:id="13" w:name="_Toc17306"/>
      <w:r>
        <w:t>3.</w:t>
      </w:r>
      <w:r>
        <w:rPr>
          <w:rFonts w:hint="eastAsia"/>
        </w:rPr>
        <w:t>2</w:t>
      </w:r>
      <w:r>
        <w:t xml:space="preserve">.2  </w:t>
      </w:r>
      <w:r>
        <w:rPr>
          <w:rFonts w:hint="eastAsia"/>
        </w:rPr>
        <w:t>系统功能设计与实现</w:t>
      </w:r>
      <w:bookmarkEnd w:id="13"/>
    </w:p>
    <w:p w14:paraId="7A8FEBEF">
      <w:pPr>
        <w:ind w:firstLine="480"/>
      </w:pPr>
      <w:r>
        <w:rPr>
          <w:rFonts w:hint="eastAsia"/>
        </w:rPr>
        <w:t>在完成系统总体设计之后，本节进一步围绕知识库管理、调度助手和决策审计三个核心功能模块进行设计与实现。</w:t>
      </w:r>
    </w:p>
    <w:p w14:paraId="7E5B320C">
      <w:pPr>
        <w:pStyle w:val="5"/>
        <w:ind w:firstLine="480"/>
      </w:pPr>
      <w:r>
        <w:rPr>
          <w:rFonts w:hint="eastAsia"/>
        </w:rPr>
        <w:t>3.2.2.1  知识库管理</w:t>
      </w:r>
    </w:p>
    <w:p w14:paraId="0B9BEAE0">
      <w:pPr>
        <w:ind w:firstLine="480"/>
      </w:pPr>
      <w:r>
        <w:t>知识库管理模块是电力调度RAG应用系统中承载知识准备阶段的核心模块，主要负责完成知识库对象创建、知识文档接入以及知识处理入库等功能，使分散的规程标准、事故预案、操作票规范和案例资料转化为可检索的知识资源。图3-</w:t>
      </w:r>
      <w:r>
        <w:rPr>
          <w:rFonts w:hint="eastAsia"/>
        </w:rPr>
        <w:t>8</w:t>
      </w:r>
      <w:r>
        <w:t>为知识库管理核心类图。</w:t>
      </w:r>
      <w:r>
        <w:rPr>
          <w:rFonts w:hint="eastAsia"/>
        </w:rPr>
        <w:t>该模块的实现主要依靠以下类：</w:t>
      </w:r>
    </w:p>
    <w:p w14:paraId="778E583B">
      <w:pPr>
        <w:ind w:firstLine="480"/>
      </w:pPr>
      <w:r>
        <w:t>KnowledgeBase类用于表示知识库实体，封装知识库标识、名称、描述以及文档数、分块数和字数等统计信息，并提供序列化与反序列化接口。</w:t>
      </w:r>
    </w:p>
    <w:p w14:paraId="2ADBCCDD">
      <w:pPr>
        <w:ind w:firstLine="480"/>
      </w:pPr>
      <w:r>
        <w:t>Document类用于表示知识库中的单篇文档，记录文件路径、文件大小、处理状态以及chunk_size、chunk_overlap等分块参数。</w:t>
      </w:r>
    </w:p>
    <w:p w14:paraId="4D4F16D2">
      <w:pPr>
        <w:ind w:firstLine="480"/>
      </w:pPr>
      <w:r>
        <w:t>Chunk类用于表示文档切分后的知识片段，保存片段文本、向量嵌入、元数据及其在原文中的位置索引信息。</w:t>
      </w:r>
    </w:p>
    <w:p w14:paraId="6E2B5CA3">
      <w:pPr>
        <w:ind w:firstLine="480"/>
      </w:pPr>
      <w:r>
        <w:t>TextExtractor类负责解析PDF、Word和纯文本等异构文档，并将其统一转换为后续处理所需的纯文本内容。</w:t>
      </w:r>
    </w:p>
    <w:p w14:paraId="108DDE11">
      <w:pPr>
        <w:ind w:firstLine="480"/>
      </w:pPr>
      <w:r>
        <w:t>TextCleaner类负责执行HTML标签去除、空白压缩、手机号与身份证号脱敏等文本清洗规则，以降低原始文本噪声。</w:t>
      </w:r>
    </w:p>
    <w:p w14:paraId="2D8CE79A">
      <w:pPr>
        <w:ind w:firstLine="480"/>
      </w:pPr>
      <w:r>
        <w:t>TextChunker类负责基于滑动窗口策略对文本进行切分，并支持块大小与重叠长度等参数配置。</w:t>
      </w:r>
    </w:p>
    <w:p w14:paraId="119DC5FB">
      <w:pPr>
        <w:ind w:firstLine="480"/>
      </w:pPr>
      <w:r>
        <w:t>VectorStore类负责封装ChromaDB持久化客户端操作，实现向量集合管理、批量写入、分页查询与语义检索等功能。</w:t>
      </w:r>
    </w:p>
    <w:p w14:paraId="6CC0E926">
      <w:pPr>
        <w:ind w:firstLine="480"/>
      </w:pPr>
      <w:r>
        <w:t>MetadataManager类负责知识库与文档注册信息的JSON持久化读写，并维护系统的结构化元数据。</w:t>
      </w:r>
    </w:p>
    <w:p w14:paraId="3FBD5522">
      <w:pPr>
        <w:ind w:firstLine="480"/>
      </w:pPr>
      <w:r>
        <w:t>CleanResult类用于保存文本清洗前后内容、长度变化、压缩率及已应用规则列表等清洗结果信息。</w:t>
      </w:r>
    </w:p>
    <w:p w14:paraId="5D77DCC8">
      <w:pPr>
        <w:spacing w:line="240" w:lineRule="auto"/>
        <w:ind w:firstLine="0" w:firstLineChars="0"/>
      </w:pPr>
      <w:r>
        <w:drawing>
          <wp:inline distT="0" distB="0" distL="114300" distR="114300">
            <wp:extent cx="5268595" cy="5575300"/>
            <wp:effectExtent l="0" t="0" r="4445" b="2540"/>
            <wp:docPr id="11" name="图片 11" descr="fig3-10知识库管理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3-10知识库管理类图"/>
                    <pic:cNvPicPr>
                      <a:picLocks noChangeAspect="1"/>
                    </pic:cNvPicPr>
                  </pic:nvPicPr>
                  <pic:blipFill>
                    <a:blip r:embed="rId26"/>
                    <a:srcRect t="2358"/>
                    <a:stretch>
                      <a:fillRect/>
                    </a:stretch>
                  </pic:blipFill>
                  <pic:spPr>
                    <a:xfrm>
                      <a:off x="0" y="0"/>
                      <a:ext cx="5268595" cy="5575300"/>
                    </a:xfrm>
                    <a:prstGeom prst="rect">
                      <a:avLst/>
                    </a:prstGeom>
                  </pic:spPr>
                </pic:pic>
              </a:graphicData>
            </a:graphic>
          </wp:inline>
        </w:drawing>
      </w:r>
    </w:p>
    <w:p w14:paraId="5A5DBFEB">
      <w:pPr>
        <w:pStyle w:val="98"/>
      </w:pPr>
      <w:r>
        <w:rPr>
          <w:rFonts w:hint="eastAsia"/>
        </w:rPr>
        <w:t>图3-8 知识库管理模块类图</w:t>
      </w:r>
    </w:p>
    <w:p w14:paraId="59987D5A">
      <w:pPr>
        <w:ind w:firstLine="480"/>
      </w:pPr>
      <w:r>
        <w:rPr>
          <w:rFonts w:hint="eastAsia"/>
        </w:rPr>
        <w:t>在知识接入与预处理方面，系统提供文档上传和网页采集两种知识采集方式。其中文档上传主要面向调度规程、运行手册和内部案例等本地资料，网页采集则主要面向外部公开知识源的文本获取。原始文档进入知识库后，系统首先完成文本解析，并依据预设规则执行文本清洗，去除无关标签、冗余说明、异常字符和重复内容，从而降低原始资料中的噪声干扰，提高后续知识处理质量。如图3-9所示，知识库管理界面提供了知识库新建入口和统一管理页面，用户可在该界面中完成知识库创建，并进一步进入相应知识库执行文档上传与知识接入操作。</w:t>
      </w:r>
    </w:p>
    <w:p w14:paraId="4A0DBD83">
      <w:pPr>
        <w:ind w:firstLine="480"/>
      </w:pPr>
      <w:r>
        <w:t>在完成文档采集与清洗后，系统进一步对文本执行切分、向量化与入库处理。考虑到</w:t>
      </w:r>
      <w:r>
        <w:rPr>
          <w:rFonts w:hint="eastAsia"/>
        </w:rPr>
        <w:t>文档或网页信息</w:t>
      </w:r>
      <w:r>
        <w:t>通常篇幅较长，系统按照设定</w:t>
      </w:r>
      <w:r>
        <w:rPr>
          <w:rFonts w:hint="eastAsia"/>
        </w:rPr>
        <w:t>语段大小</w:t>
      </w:r>
      <w:r>
        <w:t>将文本切分为多个适于语义检索的知识片段，并调用嵌入模型生成对应的向量表示；随后将文本片段、向量结果以及文档来源、所属知识库等元数据一并写入向量数据库，形成可供后续检索调用的知识底座。如图3-</w:t>
      </w:r>
      <w:r>
        <w:rPr>
          <w:rFonts w:hint="eastAsia"/>
        </w:rPr>
        <w:t>10</w:t>
      </w:r>
      <w:r>
        <w:t>所示</w:t>
      </w:r>
      <w:r>
        <w:rPr>
          <w:rFonts w:hint="eastAsia"/>
        </w:rPr>
        <w:t>为</w:t>
      </w:r>
      <w:r>
        <w:t>知识处理相关配置与执行结果。</w:t>
      </w:r>
    </w:p>
    <w:p w14:paraId="0C2C1FF0">
      <w:pPr>
        <w:spacing w:line="240" w:lineRule="auto"/>
        <w:ind w:firstLine="0" w:firstLineChars="0"/>
      </w:pPr>
      <w:r>
        <w:rPr>
          <w:rFonts w:hint="eastAsia"/>
        </w:rPr>
        <w:drawing>
          <wp:inline distT="0" distB="0" distL="114300" distR="114300">
            <wp:extent cx="5266690" cy="2528570"/>
            <wp:effectExtent l="0" t="0" r="6350" b="1270"/>
            <wp:docPr id="41" name="图片 41" descr="fig3-11知识库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ig3-11知识库管理界面"/>
                    <pic:cNvPicPr>
                      <a:picLocks noChangeAspect="1"/>
                    </pic:cNvPicPr>
                  </pic:nvPicPr>
                  <pic:blipFill>
                    <a:blip r:embed="rId27"/>
                    <a:stretch>
                      <a:fillRect/>
                    </a:stretch>
                  </pic:blipFill>
                  <pic:spPr>
                    <a:xfrm>
                      <a:off x="0" y="0"/>
                      <a:ext cx="5266690" cy="2528570"/>
                    </a:xfrm>
                    <a:prstGeom prst="rect">
                      <a:avLst/>
                    </a:prstGeom>
                  </pic:spPr>
                </pic:pic>
              </a:graphicData>
            </a:graphic>
          </wp:inline>
        </w:drawing>
      </w:r>
    </w:p>
    <w:p w14:paraId="13D1E965">
      <w:pPr>
        <w:pStyle w:val="98"/>
      </w:pPr>
      <w:r>
        <w:rPr>
          <w:rFonts w:hint="eastAsia"/>
        </w:rPr>
        <w:t>图3-9 知识库管理界面</w:t>
      </w:r>
    </w:p>
    <w:p w14:paraId="76F38BCC">
      <w:pPr>
        <w:spacing w:line="240" w:lineRule="auto"/>
        <w:ind w:firstLine="0" w:firstLineChars="0"/>
      </w:pPr>
      <w:r>
        <w:rPr>
          <w:rFonts w:hint="eastAsia"/>
        </w:rPr>
        <w:drawing>
          <wp:inline distT="0" distB="0" distL="114300" distR="114300">
            <wp:extent cx="5263515" cy="2520315"/>
            <wp:effectExtent l="0" t="0" r="9525" b="9525"/>
            <wp:docPr id="38" name="图片 38" descr="fig3-切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ig3-切割"/>
                    <pic:cNvPicPr>
                      <a:picLocks noChangeAspect="1"/>
                    </pic:cNvPicPr>
                  </pic:nvPicPr>
                  <pic:blipFill>
                    <a:blip r:embed="rId28"/>
                    <a:stretch>
                      <a:fillRect/>
                    </a:stretch>
                  </pic:blipFill>
                  <pic:spPr>
                    <a:xfrm>
                      <a:off x="0" y="0"/>
                      <a:ext cx="5263515" cy="2520315"/>
                    </a:xfrm>
                    <a:prstGeom prst="rect">
                      <a:avLst/>
                    </a:prstGeom>
                  </pic:spPr>
                </pic:pic>
              </a:graphicData>
            </a:graphic>
          </wp:inline>
        </w:drawing>
      </w:r>
    </w:p>
    <w:p w14:paraId="78471594">
      <w:pPr>
        <w:pStyle w:val="98"/>
      </w:pPr>
      <w:r>
        <w:rPr>
          <w:rFonts w:hint="eastAsia"/>
        </w:rPr>
        <w:t>图3-10 知识切分入库界面</w:t>
      </w:r>
    </w:p>
    <w:p w14:paraId="5A13D45D">
      <w:pPr>
        <w:pStyle w:val="5"/>
        <w:ind w:firstLine="480"/>
      </w:pPr>
      <w:r>
        <w:rPr>
          <w:rFonts w:hint="eastAsia"/>
        </w:rPr>
        <w:t>3.2.2.2  调度助手</w:t>
      </w:r>
    </w:p>
    <w:p w14:paraId="45C6C887">
      <w:pPr>
        <w:ind w:firstLine="480"/>
      </w:pPr>
      <w:r>
        <w:rPr>
          <w:rFonts w:hint="eastAsia"/>
        </w:rPr>
        <w:t>调度助手模块是承载用户问答阶段的核心模块，主要负责完成从用户问题输入到检索增强生成回复的全过程处理，是系统面向调度员提供辅助决策能力的主要交互入口。图3-11为调度助手核心类图。该模块的实现主要依靠以下类：</w:t>
      </w:r>
    </w:p>
    <w:p w14:paraId="7607CD97">
      <w:pPr>
        <w:ind w:firstLine="480"/>
      </w:pPr>
      <w:r>
        <w:rPr>
          <w:rFonts w:hint="eastAsia"/>
        </w:rPr>
        <w:t>Conversation类用于封装一次完整会话，记录会话标识、标题、时间戳及有序消息列表等信息。</w:t>
      </w:r>
    </w:p>
    <w:p w14:paraId="2466FEF0">
      <w:pPr>
        <w:ind w:firstLine="480"/>
      </w:pPr>
      <w:r>
        <w:rPr>
          <w:rFonts w:hint="eastAsia"/>
        </w:rPr>
        <w:t>Message类用于表示单条对话消息，记录消息角色、文本内容、发送时间及引用来源列表。</w:t>
      </w:r>
    </w:p>
    <w:p w14:paraId="1E4EF204">
      <w:pPr>
        <w:ind w:firstLine="480"/>
      </w:pPr>
      <w:r>
        <w:rPr>
          <w:rFonts w:hint="eastAsia"/>
        </w:rPr>
        <w:t>Reference类用于表示检索命中的引用证据，保存文档标题、章节位置、相关度评分和摘要内容等信息。</w:t>
      </w:r>
    </w:p>
    <w:p w14:paraId="55A7391A">
      <w:pPr>
        <w:ind w:firstLine="480"/>
      </w:pPr>
      <w:r>
        <w:rPr>
          <w:rFonts w:hint="eastAsia"/>
        </w:rPr>
        <w:t>Retriever类负责集成BM25稀疏检索、SentenceTransformer稠密检索和RRF融合检索，从向量库中召回候选知识片段。</w:t>
      </w:r>
    </w:p>
    <w:p w14:paraId="0B467663">
      <w:pPr>
        <w:ind w:firstLine="480"/>
      </w:pPr>
      <w:r>
        <w:rPr>
          <w:rFonts w:hint="eastAsia"/>
        </w:rPr>
        <w:t>Reranker类负责基于CrossEncoder交叉编码模型对候选片段进行精细打分，并筛选与查询最相关的Top-K证据。</w:t>
      </w:r>
    </w:p>
    <w:p w14:paraId="29386292">
      <w:pPr>
        <w:ind w:firstLine="480"/>
      </w:pPr>
      <w:r>
        <w:rPr>
          <w:rFonts w:hint="eastAsia"/>
        </w:rPr>
        <w:t>LLMGenerator类负责封装通义千问Qwen API调用逻辑，完成增强提示构造、回答生成、多模型切换及连接状态检测等功能。</w:t>
      </w:r>
    </w:p>
    <w:p w14:paraId="732A5420">
      <w:pPr>
        <w:ind w:firstLine="480"/>
      </w:pPr>
      <w:r>
        <w:rPr>
          <w:rFonts w:hint="eastAsia"/>
        </w:rPr>
        <w:t>RAGPipeline类负责编排“混合检索—交叉编码重排—大模型生成”的完整RAG流程，并聚合Retriever、Reranker和LLMGenerator三个核心组件。</w:t>
      </w:r>
    </w:p>
    <w:p w14:paraId="39EA4EB4">
      <w:pPr>
        <w:ind w:firstLine="480"/>
      </w:pPr>
      <w:r>
        <w:rPr>
          <w:rFonts w:hint="eastAsia"/>
        </w:rPr>
        <w:t>RAGResult类用于封装RAG流程输出，统一保存生成答案、检索上下文及引用来源等结果信息。</w:t>
      </w:r>
    </w:p>
    <w:p w14:paraId="6CDA2BA0">
      <w:pPr>
        <w:ind w:firstLine="480"/>
      </w:pPr>
      <w:r>
        <w:rPr>
          <w:rFonts w:hint="eastAsia"/>
        </w:rPr>
        <w:t>ConversationManager类负责会话历史的JSON持久化管理，并提供会话创建、消息追加和历史查询等接口。</w:t>
      </w:r>
    </w:p>
    <w:p w14:paraId="08C889F9">
      <w:pPr>
        <w:ind w:firstLine="480"/>
      </w:pPr>
      <w:r>
        <w:rPr>
          <w:rFonts w:hint="eastAsia"/>
        </w:rPr>
        <w:t>在用户交互方面，调度助手以对话界面形式提供问题输入、历史会话展示和结果输出功能。如图3-12所示，调度助手界面左侧展示历史会话列表，右侧提供问题输入区、推荐问题区和回答展示区，使系统具备较好的业务交互性和连续对话能力。</w:t>
      </w:r>
    </w:p>
    <w:p w14:paraId="1061B7DA">
      <w:pPr>
        <w:ind w:firstLine="480"/>
      </w:pPr>
      <w:r>
        <w:rPr>
          <w:rFonts w:hint="eastAsia"/>
        </w:rPr>
        <w:t>在内部执行逻辑上，调度员首先输入当前运行态势与调度目标，系统在接收到其查询后，先对查询进行向量化表示，再基于已连接知识库执行语义检索，召回与当前问题最相关的知识片段；随后将召回结果与用户问题共同组织为增强提示输入大语言模型，最终生成面向电力调度场景的回复内容并返回前端。系统</w:t>
      </w:r>
      <w:r>
        <w:t>提示模板的典型格式为：</w:t>
      </w:r>
      <w:r>
        <w:rPr>
          <w:rFonts w:hint="eastAsia"/>
        </w:rPr>
        <w:t>“</w:t>
      </w:r>
      <w:r>
        <w:t>根据以下参考文档回答问题。参考文档：[文档1][文档2]</w:t>
      </w:r>
      <w:r>
        <w:rPr>
          <w:rFonts w:hint="eastAsia"/>
        </w:rPr>
        <w:t>……</w:t>
      </w:r>
      <w:r>
        <w:t>问题：[用户查询]</w:t>
      </w:r>
      <w:r>
        <w:rPr>
          <w:rFonts w:hint="eastAsia"/>
        </w:rPr>
        <w:t>”</w:t>
      </w:r>
      <w:r>
        <w:t>。</w:t>
      </w:r>
    </w:p>
    <w:p w14:paraId="0FD6E7FC">
      <w:pPr>
        <w:spacing w:line="240" w:lineRule="auto"/>
        <w:ind w:firstLine="0" w:firstLineChars="0"/>
      </w:pPr>
      <w:r>
        <w:rPr>
          <w:rFonts w:hint="eastAsia"/>
        </w:rPr>
        <w:drawing>
          <wp:inline distT="0" distB="0" distL="114300" distR="114300">
            <wp:extent cx="5263515" cy="2473325"/>
            <wp:effectExtent l="0" t="0" r="9525" b="10795"/>
            <wp:docPr id="18" name="图片 18" descr="fig3-13调度助手模块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3-13调度助手模块类图"/>
                    <pic:cNvPicPr>
                      <a:picLocks noChangeAspect="1"/>
                    </pic:cNvPicPr>
                  </pic:nvPicPr>
                  <pic:blipFill>
                    <a:blip r:embed="rId29"/>
                    <a:srcRect t="3230"/>
                    <a:stretch>
                      <a:fillRect/>
                    </a:stretch>
                  </pic:blipFill>
                  <pic:spPr>
                    <a:xfrm>
                      <a:off x="0" y="0"/>
                      <a:ext cx="5263515" cy="2473325"/>
                    </a:xfrm>
                    <a:prstGeom prst="rect">
                      <a:avLst/>
                    </a:prstGeom>
                  </pic:spPr>
                </pic:pic>
              </a:graphicData>
            </a:graphic>
          </wp:inline>
        </w:drawing>
      </w:r>
    </w:p>
    <w:p w14:paraId="428E7475">
      <w:pPr>
        <w:pStyle w:val="98"/>
        <w:rPr>
          <w:rFonts w:eastAsia="宋体"/>
        </w:rPr>
      </w:pPr>
      <w:r>
        <w:rPr>
          <w:rFonts w:hint="eastAsia"/>
        </w:rPr>
        <w:t>图3-11 调度助手模块类图</w:t>
      </w:r>
    </w:p>
    <w:p w14:paraId="6E167209">
      <w:pPr>
        <w:spacing w:line="240" w:lineRule="auto"/>
        <w:ind w:firstLine="0" w:firstLineChars="0"/>
      </w:pPr>
      <w:r>
        <w:rPr>
          <w:rFonts w:hint="eastAsia"/>
        </w:rPr>
        <w:drawing>
          <wp:inline distT="0" distB="0" distL="114300" distR="114300">
            <wp:extent cx="5266690" cy="2528570"/>
            <wp:effectExtent l="0" t="0" r="6350" b="1270"/>
            <wp:docPr id="40" name="图片 40" descr="fig3-14问答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ig3-14问答界面"/>
                    <pic:cNvPicPr>
                      <a:picLocks noChangeAspect="1"/>
                    </pic:cNvPicPr>
                  </pic:nvPicPr>
                  <pic:blipFill>
                    <a:blip r:embed="rId30"/>
                    <a:stretch>
                      <a:fillRect/>
                    </a:stretch>
                  </pic:blipFill>
                  <pic:spPr>
                    <a:xfrm>
                      <a:off x="0" y="0"/>
                      <a:ext cx="5266690" cy="2528570"/>
                    </a:xfrm>
                    <a:prstGeom prst="rect">
                      <a:avLst/>
                    </a:prstGeom>
                  </pic:spPr>
                </pic:pic>
              </a:graphicData>
            </a:graphic>
          </wp:inline>
        </w:drawing>
      </w:r>
    </w:p>
    <w:p w14:paraId="6E21B2AF">
      <w:pPr>
        <w:pStyle w:val="98"/>
      </w:pPr>
      <w:r>
        <w:rPr>
          <w:rFonts w:hint="eastAsia"/>
        </w:rPr>
        <w:t>图3-12 调度助手问答界面</w:t>
      </w:r>
    </w:p>
    <w:p w14:paraId="1DD0E7AD">
      <w:pPr>
        <w:pStyle w:val="5"/>
        <w:ind w:firstLine="480"/>
      </w:pPr>
      <w:r>
        <w:rPr>
          <w:rFonts w:hint="eastAsia"/>
        </w:rPr>
        <w:t>3.2.2.3  决策审计</w:t>
      </w:r>
    </w:p>
    <w:p w14:paraId="72549450">
      <w:pPr>
        <w:ind w:firstLine="480"/>
      </w:pPr>
      <w:r>
        <w:t>决策审计模块主要负责对问答交互过程及其结果进行统一记录、查询与管理，以满足高安全业务场景下对过程留痕、结果复查和责任追踪的要求。该模块围绕日志对象、用户对象、问答记录对象和导出对象进行设计，形成对决策过程的结构化管理机制</w:t>
      </w:r>
      <w:r>
        <w:rPr>
          <w:rFonts w:hint="eastAsia"/>
        </w:rPr>
        <w:t>。图3-13为决策审计模块核心类图，其实现主要依靠以下类：</w:t>
      </w:r>
    </w:p>
    <w:p w14:paraId="31CAB14E">
      <w:pPr>
        <w:ind w:firstLine="480"/>
      </w:pPr>
      <w:r>
        <w:t>DecisionLog类作为决策日志基类，用于定义日志标识、类型、问题摘要、回答摘要、操作用户、耗时和创建时间等通用属性。</w:t>
      </w:r>
    </w:p>
    <w:p w14:paraId="4800DB12">
      <w:pPr>
        <w:ind w:firstLine="480"/>
      </w:pPr>
      <w:r>
        <w:t>ChatDecisionLog类继承DecisionLog，用于记录RAG问答决策全过程，并扩展完整消息记录与检索语段列表等信息。</w:t>
      </w:r>
    </w:p>
    <w:p w14:paraId="63E1244B">
      <w:pPr>
        <w:ind w:firstLine="480"/>
      </w:pPr>
      <w:r>
        <w:t>TwinDecisionLog类继承DecisionLog，用于记录数字孪生推演决策全过程，并扩展场景描述、仿真参数、推演结果和风险等级等内容。</w:t>
      </w:r>
    </w:p>
    <w:p w14:paraId="4F3A3A85">
      <w:pPr>
        <w:ind w:firstLine="480"/>
      </w:pPr>
      <w:r>
        <w:t>RetrievedPassage类用于表示单条检索命中语段，保存文档标题、章节位置、相关度评分和内容摘要等字段。</w:t>
      </w:r>
    </w:p>
    <w:p w14:paraId="07E3E207">
      <w:pPr>
        <w:ind w:firstLine="480"/>
      </w:pPr>
      <w:r>
        <w:t>TwinResult类用于封装孪生推演输出结果，记录结果摘要、受影响线路列表、建议措施及风险等级评定信息。</w:t>
      </w:r>
    </w:p>
    <w:p w14:paraId="4C62D4A0">
      <w:pPr>
        <w:ind w:firstLine="480"/>
      </w:pPr>
      <w:r>
        <w:t>DecisionLogManager类负责从对话历史和推演记录中生成结构化决策日志，并提供分类管理、统计汇总等功能。</w:t>
      </w:r>
    </w:p>
    <w:p w14:paraId="0683CCCE">
      <w:pPr>
        <w:ind w:firstLine="480"/>
      </w:pPr>
      <w:r>
        <w:t>LogExportService类负责将决策日志批量导出为CSV等离线文件，以支持后续复查、归档与审计。</w:t>
      </w:r>
    </w:p>
    <w:p w14:paraId="0954A3AD">
      <w:pPr>
        <w:ind w:firstLine="480"/>
      </w:pPr>
      <w:r>
        <w:t>LogQueryService类负责封装关键词检索、类型筛选和日期范围过滤等多维查询逻辑，以支持历史日志的快速定位与追溯。</w:t>
      </w:r>
    </w:p>
    <w:p w14:paraId="0F17D71A">
      <w:pPr>
        <w:spacing w:line="240" w:lineRule="auto"/>
        <w:ind w:firstLine="0" w:firstLineChars="0"/>
        <w:jc w:val="center"/>
      </w:pPr>
    </w:p>
    <w:p w14:paraId="20A3BD37">
      <w:pPr>
        <w:spacing w:line="240" w:lineRule="auto"/>
        <w:ind w:firstLine="0" w:firstLineChars="0"/>
        <w:jc w:val="center"/>
      </w:pPr>
      <w:r>
        <w:drawing>
          <wp:inline distT="0" distB="0" distL="114300" distR="114300">
            <wp:extent cx="4238625" cy="5116195"/>
            <wp:effectExtent l="0" t="0" r="13335" b="4445"/>
            <wp:docPr id="29" name="图片 29" descr="fig3-15决策审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3-15决策审计类图"/>
                    <pic:cNvPicPr>
                      <a:picLocks noChangeAspect="1"/>
                    </pic:cNvPicPr>
                  </pic:nvPicPr>
                  <pic:blipFill>
                    <a:blip r:embed="rId31"/>
                    <a:srcRect t="3856" b="1376"/>
                    <a:stretch>
                      <a:fillRect/>
                    </a:stretch>
                  </pic:blipFill>
                  <pic:spPr>
                    <a:xfrm>
                      <a:off x="0" y="0"/>
                      <a:ext cx="4238625" cy="5116195"/>
                    </a:xfrm>
                    <a:prstGeom prst="rect">
                      <a:avLst/>
                    </a:prstGeom>
                  </pic:spPr>
                </pic:pic>
              </a:graphicData>
            </a:graphic>
          </wp:inline>
        </w:drawing>
      </w:r>
    </w:p>
    <w:p w14:paraId="449EA65F">
      <w:pPr>
        <w:pStyle w:val="98"/>
      </w:pPr>
      <w:r>
        <w:rPr>
          <w:rFonts w:hint="eastAsia"/>
        </w:rPr>
        <w:t>图3-13 决策审计模块类图</w:t>
      </w:r>
    </w:p>
    <w:p w14:paraId="1561579E">
      <w:pPr>
        <w:ind w:firstLine="480"/>
      </w:pPr>
      <w:r>
        <w:t>在日志记录与展示方面，系统会对每一次调度问答中的问题或场景内容、回答或结论摘要、用户信息、响应耗时、执行时间等关键信息进行结构化保存，并以列表形式统一展示在决策审计界面中</w:t>
      </w:r>
      <w:r>
        <w:rPr>
          <w:rFonts w:hint="eastAsia"/>
        </w:rPr>
        <w:t>。</w:t>
      </w:r>
      <w:r>
        <w:t>如图3-1</w:t>
      </w:r>
      <w:r>
        <w:rPr>
          <w:rFonts w:hint="eastAsia"/>
        </w:rPr>
        <w:t>4</w:t>
      </w:r>
      <w:r>
        <w:t>所示</w:t>
      </w:r>
      <w:r>
        <w:rPr>
          <w:rFonts w:hint="eastAsia"/>
        </w:rPr>
        <w:t>，</w:t>
      </w:r>
      <w:r>
        <w:t>决策日志界面提供了日志列表、字段展示和详情查看入口，能够较直观地呈现系统在电力调度问答过程中的运行记录，使一次问答行为由瞬时交互转化为可持续保存的业务数据。</w:t>
      </w:r>
    </w:p>
    <w:p w14:paraId="526AF85A">
      <w:pPr>
        <w:ind w:firstLine="480"/>
      </w:pPr>
      <w:r>
        <w:t>在日志管理方面，该模块进一步支持关键词查询、分类筛选、记录重置和结果导出等功能，便于用户围绕历史问答结果开展检索、复查和统一管理。同时，日志记录并不仅限于保存最终回答，还保留了问题场景、执行用户和耗时等运行信息，从而为后续的问答质量评估、异常追踪和责任定位提供数据依据。</w:t>
      </w:r>
    </w:p>
    <w:p w14:paraId="6CC6781F">
      <w:pPr>
        <w:spacing w:line="240" w:lineRule="auto"/>
        <w:ind w:firstLine="0" w:firstLineChars="0"/>
      </w:pPr>
      <w:r>
        <w:drawing>
          <wp:inline distT="0" distB="0" distL="114300" distR="114300">
            <wp:extent cx="5266690" cy="2528570"/>
            <wp:effectExtent l="0" t="0" r="6350" b="1270"/>
            <wp:docPr id="39" name="图片 39" descr="fig3-16决策审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ig3-16决策审计"/>
                    <pic:cNvPicPr>
                      <a:picLocks noChangeAspect="1"/>
                    </pic:cNvPicPr>
                  </pic:nvPicPr>
                  <pic:blipFill>
                    <a:blip r:embed="rId32"/>
                    <a:stretch>
                      <a:fillRect/>
                    </a:stretch>
                  </pic:blipFill>
                  <pic:spPr>
                    <a:xfrm>
                      <a:off x="0" y="0"/>
                      <a:ext cx="5266690" cy="2528570"/>
                    </a:xfrm>
                    <a:prstGeom prst="rect">
                      <a:avLst/>
                    </a:prstGeom>
                  </pic:spPr>
                </pic:pic>
              </a:graphicData>
            </a:graphic>
          </wp:inline>
        </w:drawing>
      </w:r>
    </w:p>
    <w:p w14:paraId="14FB3EE4">
      <w:pPr>
        <w:pStyle w:val="98"/>
      </w:pPr>
      <w:r>
        <w:rPr>
          <w:rFonts w:hint="eastAsia"/>
        </w:rPr>
        <w:t>图3-14 知识切分入库界面</w:t>
      </w:r>
    </w:p>
    <w:p w14:paraId="05A86D99">
      <w:pPr>
        <w:pStyle w:val="4"/>
      </w:pPr>
      <w:bookmarkStart w:id="14" w:name="_Toc31"/>
      <w:r>
        <w:t>3.</w:t>
      </w:r>
      <w:r>
        <w:rPr>
          <w:rFonts w:hint="eastAsia"/>
        </w:rPr>
        <w:t>2</w:t>
      </w:r>
      <w:r>
        <w:t>.</w:t>
      </w:r>
      <w:r>
        <w:rPr>
          <w:rFonts w:hint="eastAsia"/>
        </w:rPr>
        <w:t>3</w:t>
      </w:r>
      <w:r>
        <w:t xml:space="preserve">  </w:t>
      </w:r>
      <w:r>
        <w:rPr>
          <w:rFonts w:hint="eastAsia"/>
        </w:rPr>
        <w:t>安全隐患</w:t>
      </w:r>
      <w:bookmarkEnd w:id="14"/>
    </w:p>
    <w:p w14:paraId="298145F9">
      <w:pPr>
        <w:ind w:firstLine="480"/>
      </w:pPr>
      <w:r>
        <w:rPr>
          <w:rFonts w:hint="eastAsia"/>
        </w:rPr>
        <w:t>在平台前期研发过程中，围绕数据侧与模型侧的可信保障，系统已经形成了较为明确的技术基础。数据侧通过多源接入规范、文本清洗、分类分级、资产管理与数据血缘追踪等手段，对数据来源、处理过程和流转关系进行统一管理；模型侧则通过训练推理过程可视化、模型版本控制、部署服务监测以及数字孪生映射等方式，对模型训练、上线部署和在线运行状态进行持续观测与追踪。这些措施在一定程度上保障了平台在数据治理和模型训推层面的可信运行。然而，RAG系统在引入外部知识后，出现了此前在平台研发过程中从未充分显现的安全隐患——语料投毒。</w:t>
      </w:r>
    </w:p>
    <w:p w14:paraId="5F662E8F">
      <w:pPr>
        <w:ind w:firstLine="480"/>
      </w:pPr>
      <w:r>
        <w:rPr>
          <w:rFonts w:hint="eastAsia"/>
        </w:rPr>
        <w:t>首先，风险起点来自知识准备阶段。对于电力调度场景而言，内部上传文档通常来源明确、管理可控，除非存在人为恶意篡改，一般不是主要风险来源。然而能够直接用于构建知识库的内部材料总体上较为有限，系统为了保证知识覆盖范围与更新时效，仍需大量接入网络公开资料。系统虽然能够对采集到的文本进行解析、清洗和格式处理，但此类处理更多只能过滤噪声、重复内容和明显异常，难以对文档中局部事实是否正确、处置逻辑是否合理进行细粒度判断。攻击者可以利用这一漏洞，将经过伪装的错误知识或误导性处置方案混入公开资料之中，借助知识更新过程进入目标知识库。</w:t>
      </w:r>
    </w:p>
    <w:p w14:paraId="6E14FA44">
      <w:pPr>
        <w:ind w:firstLine="480"/>
      </w:pPr>
      <w:r>
        <w:rPr>
          <w:rFonts w:hint="eastAsia"/>
        </w:rPr>
        <w:t>其次，风险会在用户问答阶段进一步放大。调度助手在接收到问题后，需要先基于语义相似度从知识库中召回相关片段，再将其作为外部证据输入大语言模型。但“高相关”并不等同于“高可信”，检索机制关注的是文本在术语表达、场景描述和问题匹配上的接近程度，而不直接判断其内容是否正确。攻击者可以围绕目标问题刻意组织专业术语、故障场景和处置表述，使毒化文本在检索阶段获得较高排序；一旦这些片段进入增强上下文，模型便可能在“有证据支撑”的表面形式下，依据目标者写入的少量错误细节描述，生成具有误导性的调度建议、处置方案或操作意见。</w:t>
      </w:r>
    </w:p>
    <w:p w14:paraId="35D1E622">
      <w:pPr>
        <w:ind w:firstLine="480"/>
      </w:pPr>
      <w:r>
        <w:rPr>
          <w:rFonts w:hint="eastAsia"/>
        </w:rPr>
        <w:t>最后，决策审计阶段虽然提供了日志留存和结果复查能力，但其作用更多体现在事后追溯，而并不能天然消除前两个阶段已经形成的风险。攻击者正可以利用这种“先生成、后审计”的时序特点，使错误结果先进入实际业务视野，再被动等待后续复查发现，从而增强攻击的隐蔽性和现实危害性。</w:t>
      </w:r>
    </w:p>
    <w:p w14:paraId="507681B0">
      <w:pPr>
        <w:ind w:firstLine="480"/>
      </w:pPr>
      <w:r>
        <w:rPr>
          <w:rFonts w:hint="eastAsia"/>
        </w:rPr>
        <w:t>由此可见，电力调度RAG应用的核心安全隐患，本质上表现为开放知识接入、语义检索采信与事后审计之间存在的链式脆弱性。因此，</w:t>
      </w:r>
      <w:r>
        <w:t>本文后续研究将围绕本节所构建的电力调度RAG应用展开。</w:t>
      </w:r>
      <w:r>
        <w:rPr>
          <w:rFonts w:hint="eastAsia"/>
        </w:rPr>
        <w:t>第四章</w:t>
      </w:r>
      <w:r>
        <w:t>重点研究攻击者如何在黑盒条件下</w:t>
      </w:r>
      <w:r>
        <w:rPr>
          <w:rFonts w:hint="eastAsia"/>
        </w:rPr>
        <w:t>隐蔽地</w:t>
      </w:r>
      <w:r>
        <w:t>向知识库注入具有较高检索命中率和</w:t>
      </w:r>
      <w:r>
        <w:rPr>
          <w:rFonts w:hint="eastAsia"/>
        </w:rPr>
        <w:t>生成误导能力</w:t>
      </w:r>
      <w:r>
        <w:t>的毒化文档，从而影响调度助手的证据召回与生成结果；第五章则进一步面向该业务链路中的关键薄弱环节，研究如何通过检索护栏、输入护栏与输出护栏的协同设计，对污染证据进行识别、过滤与抑制，以提升系统在保持正常问答能力前提下的整体安全性。</w:t>
      </w:r>
    </w:p>
    <w:p w14:paraId="6D5A26E2">
      <w:pPr>
        <w:pStyle w:val="3"/>
        <w:spacing w:before="163" w:after="163"/>
      </w:pPr>
      <w:bookmarkStart w:id="15" w:name="_Toc26735"/>
      <w:r>
        <w:t>3.</w:t>
      </w:r>
      <w:r>
        <w:rPr>
          <w:rFonts w:hint="eastAsia"/>
        </w:rPr>
        <w:t>3</w:t>
      </w:r>
      <w:r>
        <w:t xml:space="preserve">  本章小结</w:t>
      </w:r>
      <w:bookmarkEnd w:id="15"/>
    </w:p>
    <w:p w14:paraId="495D4458">
      <w:pPr>
        <w:ind w:firstLine="480"/>
      </w:pPr>
      <w:r>
        <w:rPr>
          <w:rFonts w:hint="eastAsia"/>
        </w:rPr>
        <w:t>本章围绕电力人工智能应用的真实研发需求，构建了面向电力场景的AI模型训推一体平台与电力调度RAG应用系统。首先，通过研发数据与模型资产管理、训推一体化和孪生推演等核心功能，形成了可观测、可追踪、可验证的AI模型训推平台。其次，面向电力调度知识驱动决策场景进行需求分析，研发了由知识库管理、调度助手和决策审计构成的RAG应用系统，形成了从知识准备、检索增强生成到结果留痕的完整业务链路，实现了规程标准、案例经验与大语言模型能力的融合调用。最后，结合系统研发过程，分析识别开放知识接入的安全隐患，明确了后续知识库投毒攻击与防御研究的具体对象与问题边界。</w:t>
      </w:r>
      <w:bookmarkStart w:id="77" w:name="_GoBack"/>
      <w:bookmarkEnd w:id="77"/>
    </w:p>
    <w:p w14:paraId="707B9F04">
      <w:pPr>
        <w:pStyle w:val="2"/>
        <w:spacing w:after="652"/>
        <w:sectPr>
          <w:headerReference r:id="rId9" w:type="default"/>
          <w:headerReference r:id="rId10" w:type="even"/>
          <w:footnotePr>
            <w:numFmt w:val="decimalEnclosedCircleChinese"/>
            <w:numRestart w:val="eachPage"/>
          </w:footnotePr>
          <w:type w:val="oddPage"/>
          <w:pgSz w:w="11906" w:h="16838"/>
          <w:pgMar w:top="1440" w:right="1797" w:bottom="1440" w:left="1797" w:header="850" w:footer="992" w:gutter="0"/>
          <w:cols w:space="720" w:num="1"/>
          <w:docGrid w:type="lines" w:linePitch="326" w:charSpace="0"/>
        </w:sectPr>
      </w:pPr>
      <w:bookmarkStart w:id="16" w:name="_Toc18149"/>
      <w:bookmarkStart w:id="17" w:name="_Toc10585"/>
      <w:bookmarkStart w:id="18" w:name="_Toc17709"/>
      <w:bookmarkStart w:id="19" w:name="_Toc7766_WPSOffice_Level1"/>
      <w:bookmarkStart w:id="20" w:name="_Toc9243"/>
    </w:p>
    <w:p w14:paraId="519047E6">
      <w:pPr>
        <w:ind w:firstLine="480"/>
      </w:pPr>
      <w:r>
        <w:rPr>
          <w:rFonts w:hint="eastAsia"/>
        </w:rPr>
        <w:br w:type="page"/>
      </w:r>
    </w:p>
    <w:p w14:paraId="27232EAE">
      <w:pPr>
        <w:pStyle w:val="2"/>
        <w:spacing w:after="652"/>
      </w:pPr>
      <w:bookmarkStart w:id="21" w:name="_Toc11837"/>
      <w:r>
        <w:rPr>
          <w:rFonts w:hint="eastAsia"/>
        </w:rPr>
        <w:t xml:space="preserve">第四章  </w:t>
      </w:r>
      <w:bookmarkEnd w:id="16"/>
      <w:bookmarkEnd w:id="17"/>
      <w:bookmarkEnd w:id="18"/>
      <w:bookmarkEnd w:id="19"/>
      <w:bookmarkEnd w:id="20"/>
      <w:r>
        <w:rPr>
          <w:rFonts w:hint="eastAsia"/>
        </w:rPr>
        <w:t>基于遗传算法的RAG系统知识库毒化攻击方法</w:t>
      </w:r>
      <w:bookmarkEnd w:id="21"/>
    </w:p>
    <w:p w14:paraId="0BC280D0">
      <w:pPr>
        <w:snapToGrid w:val="0"/>
        <w:ind w:firstLine="480"/>
        <w:rPr>
          <w:snapToGrid w:val="0"/>
        </w:rPr>
      </w:pPr>
      <w:r>
        <w:rPr>
          <w:rFonts w:hint="eastAsia"/>
          <w:snapToGrid w:val="0"/>
        </w:rPr>
        <w:t>基于RAG的电力调度应用在提升了知识覆盖面与决策可行性的同时，引入了知识库投毒的安全隐患。围绕这一课题，早期研究者将RAG投毒视为后门注入问题或白盒假设下基于梯度和反馈驱动的优化问题，然而严苛的白盒限制不适用于现实世界中普遍的黑盒RAG环境。少数研究者也开始通过检索反馈、权威信号等多种方式探索黑盒条件下的RAG投毒，但是在现有困惑度检测和文档改写等防御面前其成功率仍然有限。</w:t>
      </w:r>
    </w:p>
    <w:p w14:paraId="3FD4567F">
      <w:pPr>
        <w:snapToGrid w:val="0"/>
        <w:ind w:firstLine="480"/>
        <w:rPr>
          <w:snapToGrid w:val="0"/>
        </w:rPr>
      </w:pPr>
      <w:r>
        <w:rPr>
          <w:rFonts w:hint="eastAsia"/>
          <w:snapToGrid w:val="0"/>
        </w:rPr>
        <w:t>针对现有攻击方法在真实场景与现有防御措施下的局限性，本章设计了一种基于双目标遗传算法的RAG知识库毒化攻击方法（Bi-Objective Genetic Algorithm for RAG Poisoning，BOGA-RAGP）：首先构建威胁模型并将攻击问题抽象为“检索命中”与“生成误导”的双目标优化，然后在基于查询扩展得到凝练语义中心后，通过交叉、变异、评估和种群更新等操作进行有针对性的改进，最终输出用于知识库投毒的对抗文档，并通过一系列严谨的实验设计与验证，检验了所提算法的攻击有效性。</w:t>
      </w:r>
    </w:p>
    <w:p w14:paraId="5007230C">
      <w:pPr>
        <w:snapToGrid w:val="0"/>
        <w:ind w:firstLine="480"/>
        <w:rPr>
          <w:snapToGrid w:val="0"/>
        </w:rPr>
      </w:pPr>
      <w:r>
        <w:rPr>
          <w:rFonts w:hint="eastAsia"/>
          <w:snapToGrid w:val="0"/>
        </w:rPr>
        <w:t>值得注意的是，本章研究目的旨在深刻揭示分析黑盒场景下基于RAG进行调度决策所存在的安全隐患与防御空白，为后续防御体系构建的相关研究提供关键指导。</w:t>
      </w:r>
    </w:p>
    <w:p w14:paraId="3CD86631">
      <w:pPr>
        <w:pStyle w:val="3"/>
        <w:spacing w:before="163" w:after="163"/>
      </w:pPr>
      <w:bookmarkStart w:id="22" w:name="_Toc5782"/>
      <w:r>
        <w:rPr>
          <w:rFonts w:hint="eastAsia"/>
        </w:rPr>
        <w:t>4.1  问题描述</w:t>
      </w:r>
      <w:bookmarkEnd w:id="22"/>
    </w:p>
    <w:p w14:paraId="54D52FAE">
      <w:pPr>
        <w:snapToGrid w:val="0"/>
        <w:ind w:firstLine="480"/>
        <w:rPr>
          <w:snapToGrid w:val="0"/>
        </w:rPr>
      </w:pPr>
      <w:r>
        <w:rPr>
          <w:rFonts w:hint="eastAsia"/>
        </w:rPr>
        <w:t>本节围绕电力调度RAG系统面临的知识库投毒风险，分析现有方法在具体攻击场景下的局限性，并通过问题建模明确本文研究条件与边界。</w:t>
      </w:r>
    </w:p>
    <w:p w14:paraId="119303CD">
      <w:pPr>
        <w:pStyle w:val="4"/>
      </w:pPr>
      <w:bookmarkStart w:id="23" w:name="_Toc3995"/>
      <w:r>
        <w:rPr>
          <w:rFonts w:hint="eastAsia"/>
        </w:rPr>
        <w:t>4.1.1  攻击场景</w:t>
      </w:r>
      <w:bookmarkEnd w:id="23"/>
    </w:p>
    <w:p w14:paraId="50057DED">
      <w:pPr>
        <w:ind w:firstLine="480"/>
      </w:pPr>
      <w:r>
        <w:rPr>
          <w:rFonts w:hint="eastAsia"/>
        </w:rPr>
        <w:t>电力领域RAG系统通常采用端到端管道式架构，包括检索器、生成器和外部知识库三个核心组件。专业人员负责整理和维护调度规程、运行案例、专家经验及部分外部公开资料，并将其经过采集、清洗、切块和向量化后写入知识库；调度员或相关业务人员通过调度助手输入具体问题，由系统先从知识库中召回</w:t>
      </w:r>
      <w:r>
        <w:rPr>
          <w:rFonts w:hint="eastAsia"/>
          <w:lang w:eastAsia="zh-CN"/>
        </w:rPr>
        <w:t>Top-K</w:t>
      </w:r>
      <w:r>
        <w:rPr>
          <w:rFonts w:hint="eastAsia"/>
        </w:rPr>
        <w:t>条最相关证据，再结合大语言模型生成辅助决策结果。以图4-1所示场景为例，当调度员输入“油温达到120度，负荷率110%，判断是否需要停止运行？”时，系统本应依据规程给出“需要停止运行”的结论；但如果知识库中存在一条被伪装为正常资料的错误文本“油温保持在130℃以下，可继续维持当前负荷运行”，该文本就可能在检索阶段被召回，并进一步诱导大语言模型输出“继续维持当前负荷运行”的错误建议。</w:t>
      </w:r>
    </w:p>
    <w:p w14:paraId="7DBCDE9C">
      <w:pPr>
        <w:spacing w:line="240" w:lineRule="auto"/>
        <w:ind w:firstLine="0" w:firstLineChars="0"/>
        <w:jc w:val="center"/>
      </w:pPr>
      <w:r>
        <w:rPr>
          <w:rFonts w:hint="eastAsia"/>
        </w:rPr>
        <w:drawing>
          <wp:inline distT="0" distB="0" distL="114300" distR="114300">
            <wp:extent cx="5160010" cy="2479675"/>
            <wp:effectExtent l="0" t="0" r="6350" b="4445"/>
            <wp:docPr id="16" name="图片 16" descr="fi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4-1"/>
                    <pic:cNvPicPr>
                      <a:picLocks noChangeAspect="1"/>
                    </pic:cNvPicPr>
                  </pic:nvPicPr>
                  <pic:blipFill>
                    <a:blip r:embed="rId33"/>
                    <a:srcRect r="1527"/>
                    <a:stretch>
                      <a:fillRect/>
                    </a:stretch>
                  </pic:blipFill>
                  <pic:spPr>
                    <a:xfrm>
                      <a:off x="0" y="0"/>
                      <a:ext cx="5160010" cy="2479675"/>
                    </a:xfrm>
                    <a:prstGeom prst="rect">
                      <a:avLst/>
                    </a:prstGeom>
                  </pic:spPr>
                </pic:pic>
              </a:graphicData>
            </a:graphic>
          </wp:inline>
        </w:drawing>
      </w:r>
    </w:p>
    <w:p w14:paraId="51B50DFE">
      <w:pPr>
        <w:pStyle w:val="98"/>
      </w:pPr>
      <w:r>
        <w:rPr>
          <w:rFonts w:hint="eastAsia"/>
        </w:rPr>
        <w:t>图4-1 电力场景RAG投毒攻击路径</w:t>
      </w:r>
    </w:p>
    <w:p w14:paraId="29E6A4EA">
      <w:pPr>
        <w:ind w:firstLine="480"/>
      </w:pPr>
      <w:r>
        <w:rPr>
          <w:rFonts w:hint="eastAsia"/>
        </w:rPr>
        <w:t>在图4-1展示场景中，攻击者并不能对模型内部直接控制，而是充分利用RAG系统对外部语料证据的采信机制进行投毒。具体而言，攻击者首先围绕高频问题，构造一段表述自然、术语规范、格式上接近规程或案例说明的文本，并将其中关键阈值、判断条件或处置结论做局部改写，再设法使其进入系统后续可采集的公开知识源，实现对支撑语料的污染，最终借助增强生成链路放大其误导作用。</w:t>
      </w:r>
    </w:p>
    <w:p w14:paraId="10515E1B">
      <w:pPr>
        <w:pStyle w:val="4"/>
      </w:pPr>
      <w:bookmarkStart w:id="24" w:name="_Toc6028"/>
      <w:r>
        <w:rPr>
          <w:rFonts w:hint="eastAsia"/>
        </w:rPr>
        <w:t>4</w:t>
      </w:r>
      <w:r>
        <w:t>.1.</w:t>
      </w:r>
      <w:r>
        <w:rPr>
          <w:rFonts w:hint="eastAsia"/>
        </w:rPr>
        <w:t>2  现有方法不足</w:t>
      </w:r>
      <w:bookmarkEnd w:id="24"/>
    </w:p>
    <w:p w14:paraId="1C93F506">
      <w:pPr>
        <w:ind w:firstLine="480"/>
      </w:pPr>
      <w:r>
        <w:rPr>
          <w:rFonts w:hint="eastAsia"/>
        </w:rPr>
        <w:t>在本文面向的大型企业电力调度RAG系统中，知识库更新、检索器配置和提示模板通常由专门团队封闭管理，外部攻击者难以获得内部参数、排序分数或稳定反馈，也难以持续操纵调度员的查询表达，更不应假设存在可直接篡改入库流程的“内鬼”。因此，本文关注的并不是依赖白盒信息或查询篡改的理想化攻击，即攻击者无法获取模型内部权重参数以及推理过程中的梯度信息，也不依赖稳定的在线交互反馈，而是仅基于公开语料注入和主题级先验实施攻击。对这一场景而言，现有依赖触发词、目标查询先验或反馈联合优化的攻击方法，虽能说明RAG存在风险，但仍不足以刻画电力企业环境下的真实威胁边界。</w:t>
      </w:r>
    </w:p>
    <w:p w14:paraId="732B9808">
      <w:pPr>
        <w:ind w:firstLine="480"/>
      </w:pPr>
      <w:r>
        <w:rPr>
          <w:rFonts w:hint="eastAsia"/>
        </w:rPr>
        <w:t>另一方面，现有黑盒攻击方法在轻量防御面前易被削弱：基于困惑度的检测可利用异常语言分布对可疑文本进行快速筛查；部分研究者利用正确响应与中毒响应在LLM激活上的差异进行检测，在多种RAG架构上可实现高真阳性率。而查询改写、检索扩展等方法则通过打散触发关联或稀释毒化证据来降低攻击效果。由此可以推断，若攻击仍明显依赖触发痕迹、异常措辞或强目标绑定，其在真实系统中的稳定性将受到较大限制。</w:t>
      </w:r>
    </w:p>
    <w:p w14:paraId="6A74553A">
      <w:pPr>
        <w:ind w:firstLine="480"/>
      </w:pPr>
      <w:r>
        <w:rPr>
          <w:rFonts w:hint="eastAsia"/>
        </w:rPr>
        <w:t>综上，本章将深入研究在严格黑盒条件下，攻击者如何仅依靠公开语料注入，构造兼顾检索命中能力与生成误导能力、同时兼顾隐蔽性的毒化文档，并在此基础上开展后续问题建模与算法设计。</w:t>
      </w:r>
    </w:p>
    <w:p w14:paraId="0BF688AF">
      <w:pPr>
        <w:pStyle w:val="4"/>
      </w:pPr>
      <w:bookmarkStart w:id="25" w:name="_Toc19247"/>
      <w:r>
        <w:rPr>
          <w:rFonts w:hint="eastAsia"/>
        </w:rPr>
        <w:t>4</w:t>
      </w:r>
      <w:r>
        <w:t>.1.</w:t>
      </w:r>
      <w:r>
        <w:rPr>
          <w:rFonts w:hint="eastAsia"/>
        </w:rPr>
        <w:t>3  问题建模</w:t>
      </w:r>
      <w:bookmarkEnd w:id="25"/>
    </w:p>
    <w:p w14:paraId="0BE669A9">
      <w:pPr>
        <w:ind w:firstLine="480"/>
      </w:pPr>
      <w:r>
        <w:rPr>
          <w:rFonts w:hint="eastAsia"/>
        </w:rPr>
        <w:t>为系统性地研究黑盒RAG知识库投毒攻击，本节首先定义攻击者的背景知识、能力假设及攻击目标。</w:t>
      </w:r>
    </w:p>
    <w:p w14:paraId="217021D5">
      <w:pPr>
        <w:pStyle w:val="5"/>
        <w:ind w:firstLine="480"/>
      </w:pPr>
      <w:r>
        <w:rPr>
          <w:rFonts w:hint="eastAsia"/>
        </w:rPr>
        <w:t>4.1.3.1  攻击者背景知识</w:t>
      </w:r>
    </w:p>
    <w:p w14:paraId="65CEAD03">
      <w:pPr>
        <w:ind w:firstLine="480"/>
      </w:pPr>
      <w:r>
        <w:rPr>
          <w:rFonts w:hint="eastAsia"/>
        </w:rPr>
        <w:t>在RAG系统中，攻击者通过注入精心设计的恶意文档来操纵系统输出，从而误导最终生成的响应。当知识库从公开来源动态更新时，攻击者可以发布毒文档以被系统索引并检索。</w:t>
      </w:r>
    </w:p>
    <w:p w14:paraId="44D0349D">
      <w:pPr>
        <w:ind w:firstLine="480"/>
      </w:pPr>
      <w:r>
        <w:rPr>
          <w:rFonts w:hint="eastAsia"/>
        </w:rPr>
        <w:t>本文考虑对目标RAG系统严格黑箱的场景，攻击者对目标RAG系统部署没有内部可见性，无法获知目标知识库使用检索器</w:t>
      </w:r>
      <m:oMath>
        <m:acc>
          <m:accPr>
            <m:ctrlPr>
              <w:rPr>
                <w:rFonts w:ascii="Cambria Math" w:hAnsi="Cambria Math"/>
              </w:rPr>
            </m:ctrlPr>
          </m:accPr>
          <m:e>
            <m:r>
              <m:rPr>
                <m:sty m:val="p"/>
              </m:rPr>
              <w:rPr>
                <w:rFonts w:ascii="Cambria Math" w:hAnsi="Cambria Math"/>
              </w:rPr>
              <m:t>E</m:t>
            </m:r>
            <m:ctrlPr>
              <w:rPr>
                <w:rFonts w:ascii="Cambria Math" w:hAnsi="Cambria Math"/>
              </w:rPr>
            </m:ctrlPr>
          </m:e>
        </m:acc>
      </m:oMath>
      <w:r>
        <w:rPr>
          <w:rFonts w:hint="eastAsia"/>
        </w:rPr>
        <w:t>、大语言模型</w:t>
      </w:r>
      <m:oMath>
        <m:r>
          <m:rPr/>
          <w:rPr>
            <w:rFonts w:hint="eastAsia" w:ascii="Cambria Math" w:hAnsi="Cambria Math"/>
          </w:rPr>
          <m:t>M</m:t>
        </m:r>
      </m:oMath>
      <w:r>
        <w:rPr>
          <w:rFonts w:hint="eastAsia"/>
        </w:rPr>
        <w:t>、目标知识库</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tgt</m:t>
            </m:r>
            <m:ctrlPr>
              <w:rPr>
                <w:rFonts w:ascii="Cambria Math" w:hAnsi="Cambria Math"/>
              </w:rPr>
            </m:ctrlPr>
          </m:sub>
        </m:sSub>
      </m:oMath>
      <w:r>
        <w:rPr>
          <w:rFonts w:hint="eastAsia"/>
        </w:rPr>
        <w:t>以及系统提示词。此外，攻击者不会预先知道确切的用户问题，仅通过对攻击目标的前期调研分析，结合其业务背景掌握常出现的目标主题，并据此构造代理查询集合</w:t>
      </w:r>
      <m:oMath>
        <m:r>
          <m:rPr/>
          <w:rPr>
            <w:rFonts w:ascii="Cambria Math" w:hAnsi="Cambria Math"/>
          </w:rPr>
          <m:t>Q</m:t>
        </m:r>
      </m:oMath>
      <w:r>
        <w:rPr>
          <w:rFonts w:hint="eastAsia"/>
        </w:rPr>
        <w:t>，包含覆盖多样主题的任意查询。</w:t>
      </w:r>
    </w:p>
    <w:p w14:paraId="027F53CA">
      <w:pPr>
        <w:pStyle w:val="5"/>
        <w:ind w:firstLine="480"/>
      </w:pPr>
      <w:r>
        <w:rPr>
          <w:rFonts w:hint="eastAsia"/>
        </w:rPr>
        <w:t>4.1.3.2  攻击者能力</w:t>
      </w:r>
    </w:p>
    <w:p w14:paraId="69BE1D4F">
      <w:pPr>
        <w:ind w:firstLine="480"/>
      </w:pPr>
      <w:r>
        <w:rPr>
          <w:rFonts w:hint="eastAsia"/>
        </w:rPr>
        <w:t>根据针对RAG系统的攻击的先前研究，本研究关键假设是目标RAG系统会定期从公开来源（如Wikipedia、PubMed或其他网络平台）采集数据，以维持知识内容时效性与全面性。攻击者唯一的能力是语料注入，即</w:t>
      </w:r>
      <w:r>
        <w:rPr>
          <w:rFonts w:hint="eastAsia"/>
          <w:lang w:val="en-US" w:eastAsia="zh-CN"/>
        </w:rPr>
        <w:t>针对每个目标问题</w:t>
      </w:r>
      <w:r>
        <w:rPr>
          <w:rFonts w:hint="eastAsia"/>
        </w:rPr>
        <w:t>精心制作</w:t>
      </w:r>
      <w:r>
        <w:rPr>
          <w:rFonts w:hint="eastAsia"/>
          <w:lang w:val="en-US" w:eastAsia="zh-CN"/>
        </w:rPr>
        <w:t>一个</w:t>
      </w:r>
      <w:r>
        <w:rPr>
          <w:rFonts w:hint="eastAsia"/>
        </w:rPr>
        <w:t>对抗文档</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发布到目标系统后续公开数据采集的可能来源中，进而注入目标知识库</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tgt</m:t>
            </m:r>
            <m:ctrlPr>
              <w:rPr>
                <w:rFonts w:ascii="Cambria Math" w:hAnsi="Cambria Math"/>
              </w:rPr>
            </m:ctrlPr>
          </m:sub>
        </m:sSub>
      </m:oMath>
      <w:r>
        <w:rPr>
          <w:rFonts w:hint="eastAsia"/>
        </w:rPr>
        <w:t>，从而产生一个被污染的语料库</w:t>
      </w:r>
      <m:oMath>
        <m:r>
          <m:rPr/>
          <w:rPr>
            <w:rFonts w:hint="eastAsia" w:ascii="Cambria Math" w:hAnsi="Cambria Math"/>
          </w:rPr>
          <m:t>D</m:t>
        </m:r>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tgt</m:t>
            </m:r>
            <m:ctrlPr>
              <w:rPr>
                <w:rFonts w:ascii="Cambria Math" w:hAnsi="Cambria Math"/>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w:t>
      </w:r>
    </w:p>
    <w:p w14:paraId="3D7750FE">
      <w:pPr>
        <w:ind w:firstLine="480"/>
      </w:pPr>
      <w:r>
        <w:rPr>
          <w:rFonts w:hint="eastAsia"/>
        </w:rPr>
        <w:t>攻击者旨在攻击一个包含多样主题的查询集</w:t>
      </w:r>
      <m:oMath>
        <m:r>
          <m:rPr/>
          <w:rPr>
            <w:rFonts w:ascii="Cambria Math" w:hAnsi="Cambria Math"/>
          </w:rPr>
          <m:t>Q</m:t>
        </m:r>
      </m:oMath>
      <w:r>
        <w:rPr>
          <w:rFonts w:hint="eastAsia"/>
        </w:rPr>
        <w:t>。在攻击准备阶段，攻击者仅能围绕预期攻击主题自行收集网络公开来源中的良性文本，构建辅助公开语料库</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aux</m:t>
            </m:r>
            <m:ctrlPr>
              <w:rPr>
                <w:rFonts w:ascii="Cambria Math" w:hAnsi="Cambria Math"/>
              </w:rPr>
            </m:ctrlPr>
          </m:sub>
        </m:sSub>
      </m:oMath>
      <w:r>
        <w:rPr>
          <w:rFonts w:hint="eastAsia"/>
        </w:rPr>
        <w:t>，并基于通用开源检索器和通用大语言模型建立替代优化环境。后续算法中涉及的词元重要性统计、种群初始化采样和适应度评估，均建立在攻击者可获取的辅助公开语料库与代理模型之上，而非假设访问目标RAG系统的真实知识库。</w:t>
      </w:r>
    </w:p>
    <w:p w14:paraId="256B0355">
      <w:pPr>
        <w:pStyle w:val="5"/>
        <w:ind w:firstLine="480"/>
      </w:pPr>
      <w:r>
        <w:rPr>
          <w:rFonts w:hint="eastAsia"/>
        </w:rPr>
        <w:t>4.1.3.3  攻击者目标</w:t>
      </w:r>
    </w:p>
    <w:p w14:paraId="156B8C4E">
      <w:pPr>
        <w:ind w:firstLine="480"/>
      </w:pPr>
      <w:r>
        <w:rPr>
          <w:rFonts w:hint="eastAsia"/>
        </w:rPr>
        <w:t>本文所述攻击者追求两个关键目标。一是检索操纵，攻击者制作的中毒文档在目标RAG系统中必须易访问、可检索，确保中毒文档在目标查询的</w:t>
      </w:r>
      <w:r>
        <w:rPr>
          <w:rFonts w:hint="eastAsia"/>
          <w:lang w:eastAsia="zh-CN"/>
        </w:rPr>
        <w:t>Top-K</w:t>
      </w:r>
      <w:r>
        <w:rPr>
          <w:rFonts w:hint="eastAsia"/>
        </w:rPr>
        <w:t>结果中出现；二是生成操纵，攻击者需要使毒化文档在被检索召回并进入增强上下文后，能够诱导生成模型输出目标错误结论。同时为避免毒化文档因整体语言统计异常过大而在简单困惑度检测下被快速识别，本文还将文档级困惑度阈值作为隐蔽性约束。</w:t>
      </w:r>
    </w:p>
    <w:p w14:paraId="59F23732">
      <w:pPr>
        <w:ind w:firstLine="480"/>
      </w:pPr>
      <w:r>
        <w:rPr>
          <w:rFonts w:hint="eastAsia"/>
        </w:rPr>
        <w:t>形式化而言，对于目标知识库</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tgt</m:t>
            </m:r>
            <m:ctrlPr>
              <w:rPr>
                <w:rFonts w:ascii="Cambria Math" w:hAnsi="Cambria Math"/>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m</m:t>
            </m:r>
            <m:ctrlPr>
              <w:rPr>
                <w:rFonts w:ascii="Cambria Math" w:hAnsi="Cambria Math"/>
                <w:i/>
              </w:rPr>
            </m:ctrlPr>
          </m:sub>
        </m:sSub>
        <m:r>
          <m:rPr/>
          <w:rPr>
            <w:rFonts w:ascii="Cambria Math" w:hAnsi="Cambria Math"/>
          </w:rPr>
          <m:t>}</m:t>
        </m:r>
      </m:oMath>
      <w:r>
        <w:rPr>
          <w:rFonts w:hint="eastAsia"/>
        </w:rPr>
        <w:t>和目标种子查询集</w:t>
      </w:r>
      <m:oMath>
        <m:r>
          <m:rPr/>
          <w:rPr>
            <w:rFonts w:ascii="Cambria Math" w:hAnsi="Cambria Math"/>
          </w:rPr>
          <m:t>Q={</m:t>
        </m:r>
        <m:sSub>
          <m:sSubPr>
            <m:ctrlPr>
              <w:rPr>
                <w:rFonts w:ascii="Cambria Math" w:hAnsi="Cambria Math"/>
                <w:i/>
              </w:rPr>
            </m:ctrlPr>
          </m:sSubPr>
          <m:e>
            <m:r>
              <m:rPr/>
              <w:rPr>
                <w:rFonts w:hint="eastAsia" w:ascii="Cambria Math" w:hAnsi="Cambria Math"/>
              </w:rPr>
              <m:t>q</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，攻击者需构造对抗文档</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并注入至</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tgt</m:t>
            </m:r>
            <m:ctrlPr>
              <w:rPr>
                <w:rFonts w:ascii="Cambria Math" w:hAnsi="Cambria Math"/>
              </w:rPr>
            </m:ctrlPr>
          </m:sub>
        </m:sSub>
      </m:oMath>
      <w:r>
        <w:rPr>
          <w:rFonts w:hint="eastAsia"/>
        </w:rPr>
        <w:t>，使得对于</w:t>
      </w:r>
      <m:oMath>
        <m:r>
          <m:rPr/>
          <w:rPr>
            <w:rFonts w:ascii="Cambria Math" w:hAnsi="Cambria Math"/>
          </w:rPr>
          <m:t>Q</m:t>
        </m:r>
      </m:oMath>
      <w:r>
        <w:rPr>
          <w:rFonts w:hint="eastAsia"/>
        </w:rPr>
        <w:t>中的查询，检索器优先召回</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（即</w:t>
      </w:r>
      <m:oMath>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在</w:t>
      </w:r>
      <w:r>
        <w:rPr>
          <w:rFonts w:hint="eastAsia"/>
          <w:lang w:eastAsia="zh-CN"/>
        </w:rPr>
        <w:t>Top-K</w:t>
      </w:r>
      <w:r>
        <w:rPr>
          <w:rFonts w:hint="eastAsia"/>
        </w:rPr>
        <w:t>结果中），并诱导生成器输出包含误导信息的响应。</w:t>
      </w:r>
    </w:p>
    <w:p w14:paraId="3C3C4F1B">
      <w:pPr>
        <w:ind w:firstLine="480"/>
      </w:pPr>
      <w:r>
        <w:rPr>
          <w:rFonts w:hint="eastAsia"/>
        </w:rPr>
        <w:t>为提升攻击的泛化性，本文引入了查询扩展和语义中心构建过程。首先，通过对目标种子查询集</w:t>
      </w:r>
      <m:oMath>
        <m:r>
          <m:rPr/>
          <w:rPr>
            <w:rFonts w:ascii="Cambria Math" w:hAnsi="Cambria Math"/>
          </w:rPr>
          <m:t>Q</m:t>
        </m:r>
      </m:oMath>
      <w:r>
        <w:rPr>
          <w:rFonts w:hint="eastAsia"/>
        </w:rPr>
        <w:t>中查询逐一进行扩展，对于每个种子查询</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up>
            <m:r>
              <m:rPr/>
              <w:rPr>
                <w:rFonts w:ascii="Cambria Math" w:hAnsi="Cambria Math"/>
              </w:rPr>
              <m:t>(j)</m:t>
            </m:r>
            <m:ctrlPr>
              <w:rPr>
                <w:rFonts w:ascii="Cambria Math" w:hAnsi="Cambria Math"/>
              </w:rPr>
            </m:ctrlPr>
          </m:sup>
        </m:sSubSup>
      </m:oMath>
      <w:r>
        <w:rPr>
          <w:rFonts w:hint="eastAsia"/>
        </w:rPr>
        <w:t>，我们使用网络搜索API或知识社区平台检索等方式，额外获取50–100个语义相关查询，构成该主题语义相关的扩展查询簇</w:t>
      </w:r>
      <m:oMath>
        <m:sSub>
          <m:sSubPr>
            <m:ctrlPr>
              <w:rPr>
                <w:rFonts w:ascii="Cambria Math" w:hAnsi="Cambria Math"/>
                <w:i/>
              </w:rPr>
            </m:ctrlPr>
          </m:sSubPr>
          <m:e>
            <m:r>
              <m:rPr/>
              <w:rPr>
                <w:rFonts w:hint="eastAsia" w:ascii="Cambria Math" w:hAnsi="Cambria Math"/>
              </w:rPr>
              <m:t>Q</m:t>
            </m:r>
            <m:ctrlPr>
              <w:rPr>
                <w:rFonts w:ascii="Cambria Math" w:hAnsi="Cambria Math"/>
                <w:i/>
              </w:rPr>
            </m:ctrlPr>
          </m:e>
          <m:sub>
            <m:r>
              <m:rPr/>
              <w:rPr>
                <w:rFonts w:hint="eastAsia" w:ascii="Cambria Math" w:hAnsi="Cambria Math"/>
              </w:rPr>
              <m:t>exp</m:t>
            </m:r>
            <m:ctrlPr>
              <w:rPr>
                <w:rFonts w:ascii="Cambria Math" w:hAnsi="Cambria Math"/>
                <w:i/>
              </w:rPr>
            </m:ctrlPr>
          </m:sub>
        </m:sSub>
      </m:oMath>
      <w:r>
        <w:rPr>
          <w:rFonts w:hint="eastAsia"/>
        </w:rPr>
        <w:t>：</w:t>
      </w:r>
    </w:p>
    <w:p w14:paraId="70B3A5C2">
      <w:pPr>
        <w:pStyle w:val="92"/>
        <w:ind w:firstLine="480"/>
      </w:pPr>
      <m:oMathPara>
        <m:oMath>
          <m:eqArr>
            <m:eqArrPr>
              <m:maxDist m:val="1"/>
              <m:ctrlPr>
                <w:rPr>
                  <w:rFonts w:hint="eastAsia" w:ascii="Cambria Math" w:hAnsi="Cambria Math"/>
                </w:rPr>
              </m:ctrlPr>
            </m:eqArrPr>
            <m:e>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exp</m:t>
                  </m:r>
                  <m:ctrlPr>
                    <w:rPr>
                      <w:rFonts w:ascii="Cambria Math" w:hAnsi="Cambria Math"/>
                    </w:rPr>
                  </m:ctrlPr>
                </m:sub>
                <m:sup>
                  <m:r>
                    <m:rPr/>
                    <w:rPr>
                      <w:rFonts w:ascii="Cambria Math" w:hAnsi="Cambria Math"/>
                    </w:rPr>
                    <m:t>(j)</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0</m:t>
                  </m:r>
                  <m:ctrlPr>
                    <w:rPr>
                      <w:rFonts w:ascii="Cambria Math" w:hAnsi="Cambria Math"/>
                    </w:rPr>
                  </m:ctrlPr>
                </m:sub>
                <m:sup>
                  <m:r>
                    <m:rPr/>
                    <w:rPr>
                      <w:rFonts w:ascii="Cambria Math" w:hAnsi="Cambria Math"/>
                    </w:rPr>
                    <m:t>(j)</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(j)</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up>
                  <m:r>
                    <m:rPr/>
                    <w:rPr>
                      <w:rFonts w:ascii="Cambria Math" w:hAnsi="Cambria Math"/>
                    </w:rPr>
                    <m:t>(j)</m:t>
                  </m:r>
                  <m:ctrlPr>
                    <w:rPr>
                      <w:rFonts w:ascii="Cambria Math" w:hAnsi="Cambria Math"/>
                    </w:rPr>
                  </m:ctrlPr>
                </m:sup>
              </m:sSubSup>
              <m:r>
                <m:rPr/>
                <w:rPr>
                  <w:rFonts w:ascii="Cambria Math" w:hAnsi="Cambria Math"/>
                </w:rPr>
                <m:t>}</m:t>
              </m:r>
              <m:r>
                <m:rPr>
                  <m:sty m:val="p"/>
                </m:rPr>
                <w:rPr>
                  <w:rFonts w:ascii="Cambria Math" w:hAnsi="Cambria Math"/>
                </w:rPr>
                <m:t>#</m:t>
              </m:r>
              <m:r>
                <m:rPr>
                  <m:sty m:val="p"/>
                </m:rPr>
                <w:rPr>
                  <w:rFonts w:hint="eastAsia" w:ascii="Cambria Math" w:hAnsi="Cambria Math"/>
                </w:rPr>
                <m:t>（</m:t>
              </m:r>
              <m:r>
                <m:rPr>
                  <m:sty m:val="p"/>
                </m:rPr>
                <w:rPr>
                  <w:rFonts w:ascii="Cambria Math" w:hAnsi="Cambria Math"/>
                </w:rPr>
                <m:t>4−1</m:t>
              </m:r>
              <m:r>
                <m:rPr>
                  <m:sty m:val="p"/>
                </m:rPr>
                <w:rPr>
                  <w:rFonts w:hint="eastAsia" w:ascii="Cambria Math" w:hAnsi="Cambria Math"/>
                </w:rPr>
                <m:t>）</m:t>
              </m:r>
              <m:ctrlPr>
                <w:rPr>
                  <w:rFonts w:hint="eastAsia" w:ascii="Cambria Math" w:hAnsi="Cambria Math"/>
                </w:rPr>
              </m:ctrlPr>
            </m:e>
          </m:eqArr>
        </m:oMath>
      </m:oMathPara>
    </w:p>
    <w:p w14:paraId="36EAF358">
      <w:pPr>
        <w:ind w:firstLine="480" w:firstLineChars="0"/>
      </w:pPr>
      <w:r>
        <w:rPr>
          <w:rFonts w:hint="eastAsia"/>
        </w:rPr>
        <w:t>接着，我们将这些扩展查询输入到代理嵌入模型中，计算其主题语义中心向量作为该主题的攻击目标表征：</w:t>
      </w:r>
    </w:p>
    <w:p w14:paraId="6E865826">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ctrlPr>
                        <w:rPr>
                          <w:rFonts w:ascii="Cambria Math" w:hAnsi="Cambria Math"/>
                        </w:rPr>
                      </m:ctrlPr>
                    </m:e>
                    <m:sub>
                      <m:r>
                        <m:rPr>
                          <m:sty m:val="p"/>
                        </m:rPr>
                        <w:rPr>
                          <w:rFonts w:ascii="Cambria Math" w:hAnsi="Cambria Math"/>
                        </w:rPr>
                        <m:t>exp</m:t>
                      </m:r>
                      <m:ctrlPr>
                        <w:rPr>
                          <w:rFonts w:ascii="Cambria Math" w:hAnsi="Cambria Math"/>
                        </w:rPr>
                      </m:ctrlPr>
                    </m:sub>
                    <m:sup>
                      <m:r>
                        <m:rPr>
                          <m:sty m:val="p"/>
                        </m:rPr>
                        <w:rPr>
                          <w:rFonts w:ascii="Cambria Math" w:hAnsi="Cambria Math"/>
                        </w:rPr>
                        <m:t>(j)</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grow m:val="1"/>
                  <m:limLoc m:val="undOvr"/>
                  <m:supHide m:val="1"/>
                  <m:ctrlPr>
                    <w:rPr>
                      <w:rFonts w:ascii="Cambria Math" w:hAnsi="Cambria Math"/>
                    </w:rPr>
                  </m:ctrlPr>
                </m:naryPr>
                <m:sub>
                  <m:r>
                    <m:rPr>
                      <m:sty m:val="p"/>
                    </m:rPr>
                    <w:rPr>
                      <w:rFonts w:ascii="Cambria Math" w:hAnsi="Cambria Math"/>
                    </w:rPr>
                    <m:t>q∈</m:t>
                  </m:r>
                  <m:sSubSup>
                    <m:sSubSupPr>
                      <m:ctrlPr>
                        <w:rPr>
                          <w:rFonts w:ascii="Cambria Math" w:hAnsi="Cambria Math"/>
                        </w:rPr>
                      </m:ctrlPr>
                    </m:sSubSupPr>
                    <m:e>
                      <m:r>
                        <m:rPr>
                          <m:sty m:val="p"/>
                        </m:rPr>
                        <w:rPr>
                          <w:rFonts w:ascii="Cambria Math" w:hAnsi="Cambria Math"/>
                        </w:rPr>
                        <m:t>Q</m:t>
                      </m:r>
                      <m:ctrlPr>
                        <w:rPr>
                          <w:rFonts w:ascii="Cambria Math" w:hAnsi="Cambria Math"/>
                        </w:rPr>
                      </m:ctrlPr>
                    </m:e>
                    <m:sub>
                      <m:r>
                        <m:rPr>
                          <m:sty m:val="p"/>
                        </m:rPr>
                        <w:rPr>
                          <w:rFonts w:ascii="Cambria Math" w:hAnsi="Cambria Math"/>
                        </w:rPr>
                        <m:t>exp</m:t>
                      </m:r>
                      <m:ctrlPr>
                        <w:rPr>
                          <w:rFonts w:ascii="Cambria Math" w:hAnsi="Cambria Math"/>
                        </w:rPr>
                      </m:ctrlPr>
                    </m:sub>
                    <m:sup>
                      <m:r>
                        <m:rPr>
                          <m:sty m:val="p"/>
                        </m:rPr>
                        <w:rPr>
                          <w:rFonts w:ascii="Cambria Math" w:hAnsi="Cambria Math"/>
                        </w:rPr>
                        <m:t>(j)</m:t>
                      </m:r>
                      <m:ctrlPr>
                        <w:rPr>
                          <w:rFonts w:ascii="Cambria Math" w:hAnsi="Cambria Math"/>
                        </w:rPr>
                      </m:ctrlPr>
                    </m:sup>
                  </m:sSubSup>
                  <m:ctrlPr>
                    <w:rPr>
                      <w:rFonts w:ascii="Cambria Math" w:hAnsi="Cambria Math"/>
                    </w:rPr>
                  </m:ctrlPr>
                </m:sub>
                <m:sup>
                  <m:ctrlPr>
                    <w:rPr>
                      <w:rFonts w:ascii="Cambria Math" w:hAnsi="Cambria Math"/>
                    </w:rPr>
                  </m:ctrlPr>
                </m:sup>
                <m:e>
                  <m:r>
                    <m:rPr>
                      <m:sty m:val="p"/>
                    </m:rPr>
                    <w:rPr>
                      <w:rFonts w:ascii="Cambria Math" w:hAnsi="Cambria Math"/>
                    </w:rPr>
                    <m:t> </m:t>
                  </m:r>
                  <m:ctrlPr>
                    <w:rPr>
                      <w:rFonts w:ascii="Cambria Math" w:hAnsi="Cambria Math"/>
                    </w:rPr>
                  </m:ctrlPr>
                </m:e>
              </m:nary>
              <m:acc>
                <m:accPr>
                  <m:ctrlPr>
                    <w:rPr>
                      <w:rFonts w:ascii="Cambria Math" w:hAnsi="Cambria Math"/>
                    </w:rPr>
                  </m:ctrlPr>
                </m:accPr>
                <m:e>
                  <m:r>
                    <m:rPr>
                      <m:sty m:val="p"/>
                    </m:rPr>
                    <w:rPr>
                      <w:rFonts w:ascii="Cambria Math" w:hAnsi="Cambria Math"/>
                    </w:rPr>
                    <m:t>E</m:t>
                  </m:r>
                  <m:ctrlPr>
                    <w:rPr>
                      <w:rFonts w:ascii="Cambria Math" w:hAnsi="Cambria Math"/>
                    </w:rPr>
                  </m:ctrlPr>
                </m:e>
              </m:acc>
              <m:r>
                <m:rPr>
                  <m:sty m:val="p"/>
                </m:rPr>
                <w:rPr>
                  <w:rFonts w:ascii="Cambria Math" w:hAnsi="Cambria Math"/>
                </w:rPr>
                <m:t>(q)#</m:t>
              </m:r>
              <m:r>
                <m:rPr>
                  <m:sty m:val="p"/>
                </m:rPr>
                <w:rPr>
                  <w:rFonts w:hint="eastAsia" w:ascii="Cambria Math" w:hAnsi="Cambria Math"/>
                </w:rPr>
                <m:t>（</m:t>
              </m:r>
              <m:r>
                <m:rPr>
                  <m:sty m:val="p"/>
                </m:rPr>
                <w:rPr>
                  <w:rFonts w:ascii="Cambria Math" w:hAnsi="Cambria Math"/>
                </w:rPr>
                <m:t>4−2</m:t>
              </m:r>
              <m:r>
                <m:rPr>
                  <m:sty m:val="p"/>
                </m:rPr>
                <w:rPr>
                  <w:rFonts w:hint="eastAsia" w:ascii="Cambria Math" w:hAnsi="Cambria Math"/>
                </w:rPr>
                <m:t>）</m:t>
              </m:r>
              <m:ctrlPr>
                <w:rPr>
                  <w:rFonts w:hint="eastAsia" w:ascii="Cambria Math" w:hAnsi="Cambria Math"/>
                </w:rPr>
              </m:ctrlPr>
            </m:e>
          </m:eqArr>
        </m:oMath>
      </m:oMathPara>
    </w:p>
    <w:p w14:paraId="32F09A33">
      <w:pPr>
        <w:ind w:firstLine="480"/>
      </w:pPr>
      <w:r>
        <w:rPr>
          <w:rFonts w:hint="eastAsia"/>
        </w:rPr>
        <w:t>我们将对抗文档生成问题建模为双目标优化，第一个目标是最大化检索成功率：</w:t>
      </w:r>
    </w:p>
    <w:p w14:paraId="53585BAF">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(d)=cos⁡</m:t>
              </m:r>
              <m:d>
                <m:dPr>
                  <m:ctrlPr>
                    <w:rPr>
                      <w:rFonts w:ascii="Cambria Math" w:hAnsi="Cambria Math"/>
                    </w:rPr>
                  </m:ctrlPr>
                </m:dPr>
                <m:e>
                  <m:acc>
                    <m:accPr>
                      <m:ctrlPr>
                        <w:rPr>
                          <w:rFonts w:ascii="Cambria Math" w:hAnsi="Cambria Math"/>
                        </w:rPr>
                      </m:ctrlPr>
                    </m:accPr>
                    <m:e>
                      <m:r>
                        <m:rPr>
                          <m:sty m:val="p"/>
                        </m:rPr>
                        <w:rPr>
                          <w:rFonts w:ascii="Cambria Math" w:hAnsi="Cambria Math"/>
                        </w:rPr>
                        <m:t>E</m:t>
                      </m:r>
                      <m:ctrlPr>
                        <w:rPr>
                          <w:rFonts w:ascii="Cambria Math" w:hAnsi="Cambria Math"/>
                        </w:rPr>
                      </m:ctrlPr>
                    </m:e>
                  </m:acc>
                  <m:r>
                    <m:rPr>
                      <m:sty m:val="p"/>
                    </m:rPr>
                    <w:rPr>
                      <w:rFonts w:ascii="Cambria Math" w:hAnsi="Cambria Math"/>
                    </w:rPr>
                    <m:t>(d),</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r>
                <m:rPr>
                  <m:sty m:val="p"/>
                </m:rPr>
                <w:rPr>
                  <w:rFonts w:hint="eastAsia" w:ascii="Cambria Math" w:hAnsi="Cambria Math"/>
                </w:rPr>
                <m:t>（</m:t>
              </m:r>
              <m:r>
                <m:rPr>
                  <m:sty m:val="p"/>
                </m:rPr>
                <w:rPr>
                  <w:rFonts w:ascii="Cambria Math" w:hAnsi="Cambria Math"/>
                </w:rPr>
                <m:t>4−3</m:t>
              </m:r>
              <m:r>
                <m:rPr>
                  <m:sty m:val="p"/>
                </m:rPr>
                <w:rPr>
                  <w:rFonts w:hint="eastAsia" w:ascii="Cambria Math" w:hAnsi="Cambria Math"/>
                </w:rPr>
                <m:t>）</m:t>
              </m:r>
              <m:ctrlPr>
                <w:rPr>
                  <w:rFonts w:hint="eastAsia" w:ascii="Cambria Math" w:hAnsi="Cambria Math"/>
                </w:rPr>
              </m:ctrlPr>
            </m:e>
          </m:eqArr>
        </m:oMath>
      </m:oMathPara>
    </w:p>
    <w:p w14:paraId="7FC23B83">
      <w:pPr>
        <w:ind w:firstLine="0" w:firstLineChars="0"/>
      </w:pPr>
      <w:r>
        <w:rPr>
          <w:rFonts w:hint="eastAsia"/>
        </w:rPr>
        <w:t>其中</w:t>
      </w:r>
      <m:oMath>
        <m:acc>
          <m:accPr>
            <m:ctrlPr>
              <w:rPr>
                <w:rFonts w:ascii="Cambria Math" w:hAnsi="Cambria Math"/>
              </w:rPr>
            </m:ctrlPr>
          </m:accPr>
          <m:e>
            <m:r>
              <m:rPr>
                <m:sty m:val="p"/>
              </m:rPr>
              <w:rPr>
                <w:rFonts w:ascii="Cambria Math" w:hAnsi="Cambria Math"/>
              </w:rPr>
              <m:t>E</m:t>
            </m:r>
            <m:ctrlPr>
              <w:rPr>
                <w:rFonts w:ascii="Cambria Math" w:hAnsi="Cambria Math"/>
              </w:rPr>
            </m:ctrlPr>
          </m:e>
        </m:acc>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oMath>
      <w:r>
        <w:rPr>
          <w:rFonts w:hint="eastAsia"/>
        </w:rPr>
        <w:t>为代理检索器的嵌入函数，</w:t>
      </w:r>
      <m:oMath>
        <m:r>
          <m:rPr>
            <m:sty m:val="p"/>
          </m:rPr>
          <w:rPr>
            <w:rFonts w:ascii="Cambria Math" w:hAnsi="Cambria Math"/>
          </w:rPr>
          <m:t>cos</m:t>
        </m:r>
      </m:oMath>
      <w:r>
        <w:rPr>
          <w:rFonts w:hint="eastAsia"/>
        </w:rPr>
        <w:t>(</w:t>
      </w:r>
      <m:oMath>
        <m:r>
          <m:rPr>
            <m:sty m:val="p"/>
          </m:rPr>
          <w:rPr>
            <w:rFonts w:hint="eastAsia" w:ascii="Cambria Math" w:hAnsi="Cambria Math"/>
          </w:rPr>
          <m:t>·</m:t>
        </m:r>
      </m:oMath>
      <w:r>
        <w:rPr>
          <w:rFonts w:hint="eastAsia"/>
        </w:rPr>
        <w:t>)为余弦相似度。第二个目标是最大化生成误导性，使用代理大语言模型计算毒化文档作为上下文时，模型输出目标错误答案的条件概率（负交叉熵损失）：</w:t>
      </w:r>
    </w:p>
    <w:p w14:paraId="597202DB">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(d)=</m:t>
              </m:r>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tar</m:t>
                  </m:r>
                  <m:ctrlPr>
                    <w:rPr>
                      <w:rFonts w:ascii="Cambria Math" w:hAnsi="Cambria Math"/>
                    </w:rPr>
                  </m:ctrlPr>
                </m:sup>
              </m:sSubSup>
              <m:r>
                <m:rPr/>
                <w:rPr>
                  <w:rFonts w:ascii="Cambria Math" w:hAnsi="Cambria Math"/>
                </w:rPr>
                <m:t>∣q,d)=−</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CE</m:t>
                  </m:r>
                  <m:ctrlPr>
                    <w:rPr>
                      <w:rFonts w:ascii="Cambria Math" w:hAnsi="Cambria Math"/>
                    </w:rPr>
                  </m:ctrlPr>
                </m:sub>
              </m:sSub>
              <m:r>
                <m:rPr/>
                <w:rPr>
                  <w:rFonts w:ascii="Cambria Math" w:hAnsi="Cambria Math"/>
                </w:rPr>
                <m:t>(M(q,d),</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tar</m:t>
                  </m:r>
                  <m:ctrlPr>
                    <w:rPr>
                      <w:rFonts w:ascii="Cambria Math" w:hAnsi="Cambria Math"/>
                    </w:rPr>
                  </m:ctrlPr>
                </m:sup>
              </m:sSubSup>
              <m:r>
                <m:rPr/>
                <w:rPr>
                  <w:rFonts w:ascii="Cambria Math" w:hAnsi="Cambria Math"/>
                </w:rPr>
                <m:t>)</m:t>
              </m:r>
              <m:r>
                <m:rPr>
                  <m:sty m:val="p"/>
                </m:rPr>
                <w:rPr>
                  <w:rFonts w:ascii="Cambria Math" w:hAnsi="Cambria Math"/>
                </w:rPr>
                <m:t>#</m:t>
              </m:r>
              <m:r>
                <m:rPr>
                  <m:sty m:val="p"/>
                </m:rPr>
                <w:rPr>
                  <w:rFonts w:hint="eastAsia" w:ascii="Cambria Math" w:hAnsi="Cambria Math"/>
                </w:rPr>
                <m:t>（</m:t>
              </m:r>
              <m:r>
                <m:rPr>
                  <m:sty m:val="p"/>
                </m:rPr>
                <w:rPr>
                  <w:rFonts w:ascii="Cambria Math" w:hAnsi="Cambria Math"/>
                </w:rPr>
                <m:t>4−4</m:t>
              </m:r>
              <m:r>
                <m:rPr>
                  <m:sty m:val="p"/>
                </m:rPr>
                <w:rPr>
                  <w:rFonts w:hint="eastAsia" w:ascii="Cambria Math" w:hAnsi="Cambria Math"/>
                </w:rPr>
                <m:t>）</m:t>
              </m:r>
              <m:ctrlPr>
                <w:rPr>
                  <w:rFonts w:hint="eastAsia" w:ascii="Cambria Math" w:hAnsi="Cambria Math"/>
                </w:rPr>
              </m:ctrlPr>
            </m:e>
          </m:eqArr>
        </m:oMath>
      </m:oMathPara>
    </w:p>
    <w:p w14:paraId="05E4658D">
      <w:pPr>
        <w:ind w:firstLine="0" w:firstLineChars="0"/>
      </w:pPr>
      <w:r>
        <w:rPr>
          <w:rFonts w:hint="eastAsia"/>
        </w:rPr>
        <w:t>其中</w:t>
      </w:r>
      <m:oMath>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tar</m:t>
            </m:r>
            <m:ctrlPr>
              <w:rPr>
                <w:rFonts w:ascii="Cambria Math" w:hAnsi="Cambria Math"/>
              </w:rPr>
            </m:ctrlPr>
          </m:sup>
        </m:sSubSup>
      </m:oMath>
      <w:r>
        <w:rPr>
          <w:rFonts w:hint="eastAsia"/>
        </w:rPr>
        <w:t>表示针对目标查询</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预先设定的目标错误答案。</w:t>
      </w:r>
    </w:p>
    <w:p w14:paraId="26188B78">
      <w:pPr>
        <w:ind w:firstLine="0" w:firstLineChars="0"/>
      </w:pPr>
      <w:r>
        <w:tab/>
      </w:r>
      <w:r>
        <w:rPr>
          <w:rFonts w:hint="eastAsia"/>
        </w:rPr>
        <w:t>在满足以上两个目标的同时，采用文档级困惑度阈值进行可行性约束。定义个体</w:t>
      </w:r>
      <m:oMath>
        <m:r>
          <m:rPr/>
          <w:rPr>
            <w:rFonts w:ascii="Cambria Math" w:hAnsi="Cambria Math"/>
          </w:rPr>
          <m:t>d</m:t>
        </m:r>
      </m:oMath>
      <w:r>
        <w:rPr>
          <w:rFonts w:hint="eastAsia"/>
        </w:rPr>
        <w:t>约束违反度为：</w:t>
      </w:r>
    </w:p>
    <w:p w14:paraId="16AB4BBE">
      <w:pPr>
        <w:ind w:firstLine="0" w:firstLineChars="0"/>
      </w:pPr>
      <m:oMathPara>
        <m:oMath>
          <m:r>
            <m:rPr/>
            <w:rPr>
              <w:rFonts w:ascii="Cambria Math" w:hAnsi="Cambria Math"/>
            </w:rPr>
            <m:t>v(d)=max</m:t>
          </m:r>
          <m:d>
            <m:dPr>
              <m:ctrlPr>
                <w:rPr>
                  <w:rFonts w:ascii="Cambria Math" w:hAnsi="Cambria Math"/>
                </w:rPr>
              </m:ctrlPr>
            </m:dPr>
            <m:e>
              <m:eqArr>
                <m:eqArrPr>
                  <m:ctrlPr>
                    <w:rPr>
                      <w:rFonts w:ascii="Cambria Math" w:hAnsi="Cambria Math"/>
                    </w:rPr>
                  </m:ctrlPr>
                </m:eqArrPr>
                <m:e>
                  <m:r>
                    <m:rPr/>
                    <w:rPr>
                      <w:rFonts w:ascii="Cambria Math" w:hAnsi="Cambria Math"/>
                    </w:rPr>
                    <m:t>0,</m:t>
                  </m:r>
                  <m:r>
                    <m:rPr>
                      <m:sty m:val="p"/>
                    </m:rPr>
                    <w:rPr>
                      <w:rFonts w:ascii="Cambria Math" w:hAnsi="Cambria Math"/>
                    </w:rPr>
                    <m:t>PPL</m:t>
                  </m:r>
                  <m:r>
                    <m:rPr/>
                    <w:rPr>
                      <w:rFonts w:ascii="Cambria Math" w:hAnsi="Cambria Math"/>
                    </w:rPr>
                    <m:t>(d)−τ</m:t>
                  </m:r>
                  <m:ctrlPr>
                    <w:rPr>
                      <w:rFonts w:ascii="Cambria Math" w:hAnsi="Cambria Math"/>
                    </w:rPr>
                  </m:ctrlPr>
                </m:e>
              </m:eqArr>
              <m:ctrlPr>
                <w:rPr>
                  <w:rFonts w:ascii="Cambria Math" w:hAnsi="Cambria Math"/>
                </w:rPr>
              </m:ctrlPr>
            </m:e>
          </m:d>
        </m:oMath>
      </m:oMathPara>
    </w:p>
    <w:p w14:paraId="69A40947">
      <w:pPr>
        <w:pStyle w:val="92"/>
        <w:ind w:firstLine="480"/>
        <w:rPr>
          <w:rFonts w:hint="eastAsia"/>
        </w:rPr>
      </w:pPr>
      <m:oMathPara>
        <m:oMath>
          <m:r>
            <m:rPr>
              <m:sty m:val="p"/>
            </m:rPr>
            <w:rPr>
              <w:rFonts w:ascii="Cambria Math" w:hAnsi="Cambria Math"/>
            </w:rPr>
            <m:t>PPL(</m:t>
          </m:r>
          <m:r>
            <m:rPr/>
            <w:rPr>
              <w:rFonts w:ascii="Cambria Math" w:hAnsi="Cambria Math"/>
            </w:rPr>
            <m:t>d</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log⁡</m:t>
              </m:r>
              <m:sSub>
                <m:sSubPr>
                  <m:ctrlPr>
                    <w:rPr>
                      <w:rFonts w:ascii="Cambria Math" w:hAnsi="Cambria Math"/>
                    </w:rPr>
                  </m:ctrlPr>
                </m:sSubPr>
                <m:e>
                  <m:r>
                    <m:rPr/>
                    <w:rPr>
                      <w:rFonts w:ascii="Cambria Math" w:hAnsi="Cambria Math"/>
                    </w:rPr>
                    <m:t>p</m:t>
                  </m:r>
                  <m:ctrlPr>
                    <w:rPr>
                      <w:rFonts w:ascii="Cambria Math" w:hAnsi="Cambria Math"/>
                    </w:rPr>
                  </m:ctrlPr>
                </m:e>
                <m:sub>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ppl</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&lt;</m:t>
                  </m:r>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d>
        </m:oMath>
      </m:oMathPara>
    </w:p>
    <w:p w14:paraId="448586FF">
      <w:pPr>
        <w:ind w:firstLine="480"/>
      </w:pPr>
      <w:r>
        <w:rPr>
          <w:rFonts w:hint="eastAsia"/>
        </w:rPr>
        <w:t>其中</w:t>
      </w:r>
      <m:oMath>
        <m:r>
          <m:rPr/>
          <w:rPr>
            <w:rFonts w:ascii="Cambria Math" w:hAnsi="Cambria Math"/>
          </w:rPr>
          <m:t>τ</m:t>
        </m:r>
      </m:oMath>
      <w:r>
        <w:rPr>
          <w:rFonts w:hint="eastAsia"/>
        </w:rPr>
        <w:t>为文档级困惑度阈值，采用代理自回归语言模型逐词条件概率计算，并通过滑动窗口方式近似长文本平均负对数似然；阈值</w:t>
      </w:r>
      <m:oMath>
        <m:r>
          <m:rPr/>
          <w:rPr>
            <w:rFonts w:ascii="Cambria Math" w:hAnsi="Cambria Math"/>
          </w:rPr>
          <m:t>τ</m:t>
        </m:r>
      </m:oMath>
      <w:r>
        <w:rPr>
          <w:rFonts w:hint="eastAsia"/>
        </w:rPr>
        <w:t>由辅助公开语料库中干净文档困惑度分布的95%分位数确定。当</w:t>
      </w:r>
      <m:oMath>
        <m:r>
          <m:rPr/>
          <w:rPr>
            <w:rFonts w:ascii="Cambria Math" w:hAnsi="Cambria Math"/>
          </w:rPr>
          <m:t>v(d)&gt;0</m:t>
        </m:r>
      </m:oMath>
      <w:r>
        <w:rPr>
          <w:rFonts w:hint="eastAsia"/>
        </w:rPr>
        <w:t>时，表示该个体超过阈值，其值越大，违反程度越高。</w:t>
      </w:r>
    </w:p>
    <w:p w14:paraId="5198CFB5">
      <w:pPr>
        <w:ind w:firstLine="480"/>
      </w:pPr>
      <w:r>
        <w:rPr>
          <w:rFonts w:hint="eastAsia"/>
        </w:rPr>
        <w:t>综上，在RAG系统中寻找最优对抗文档旨在同时最大化检索命中目标</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(d)</m:t>
        </m:r>
      </m:oMath>
      <w:r>
        <w:rPr>
          <w:rFonts w:hint="eastAsia"/>
        </w:rPr>
        <w:t>与生成误导目标</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(d)</m:t>
        </m:r>
      </m:oMath>
      <w:r>
        <w:rPr>
          <w:rFonts w:hint="eastAsia"/>
        </w:rPr>
        <w:t>，即：</w:t>
      </w:r>
    </w:p>
    <w:p w14:paraId="6E65423F">
      <w:pPr>
        <w:pStyle w:val="92"/>
        <w:ind w:firstLine="480"/>
      </w:pPr>
      <m:oMathPara>
        <m:oMath>
          <m:eqArr>
            <m:eqArrPr>
              <m:maxDist m:val="1"/>
              <m:ctrlPr>
                <w:rPr>
                  <w:rFonts w:hint="eastAsia" w:ascii="Cambria Math" w:hAnsi="Cambria Math"/>
                </w:rPr>
              </m:ctrlPr>
            </m:eqArrPr>
            <m:e>
              <m:limLow>
                <m:limLowPr>
                  <m:ctrlPr>
                    <w:rPr>
                      <w:rFonts w:ascii="Cambria Math" w:hAnsi="Cambria Math"/>
                    </w:rPr>
                  </m:ctrlPr>
                </m:limLowPr>
                <m:e>
                  <m:r>
                    <m:rPr/>
                    <w:rPr>
                      <w:rFonts w:ascii="Cambria Math" w:hAnsi="Cambria Math"/>
                    </w:rPr>
                    <m:t>max</m:t>
                  </m:r>
                  <m:ctrlPr>
                    <w:rPr>
                      <w:rFonts w:ascii="Cambria Math" w:hAnsi="Cambria Math"/>
                    </w:rPr>
                  </m:ctrlPr>
                </m:e>
                <m:lim>
                  <m:r>
                    <m:rPr/>
                    <w:rPr>
                      <w:rFonts w:ascii="Cambria Math" w:hAnsi="Cambria Math"/>
                    </w:rPr>
                    <m:t>d</m:t>
                  </m:r>
                  <m:ctrlPr>
                    <w:rPr>
                      <w:rFonts w:ascii="Cambria Math" w:hAnsi="Cambria Math"/>
                    </w:rPr>
                  </m:ctrlPr>
                </m:lim>
              </m:limLow>
              <m:r>
                <m:rPr/>
                <w:rPr>
                  <w:rFonts w:ascii="Cambria Math" w:hAnsi="Cambria Math"/>
                </w:rPr>
                <m:t> </m:t>
              </m:r>
              <m:d>
                <m:dPr>
                  <m:ctrlPr>
                    <w:rPr>
                      <w:rFonts w:ascii="Cambria Math" w:hAnsi="Cambria Math"/>
                      <w:i/>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d>
                    <m:dPr>
                      <m:ctrlPr>
                        <w:rPr>
                          <w:rFonts w:ascii="Cambria Math" w:hAnsi="Cambria Math"/>
                          <w:i/>
                        </w:rPr>
                      </m:ctrlPr>
                    </m:dPr>
                    <m:e>
                      <m:r>
                        <m:rPr/>
                        <w:rPr>
                          <w:rFonts w:ascii="Cambria Math" w:hAnsi="Cambria Math"/>
                        </w:rPr>
                        <m:t>d</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d>
                    <m:dPr>
                      <m:ctrlPr>
                        <w:rPr>
                          <w:rFonts w:ascii="Cambria Math" w:hAnsi="Cambria Math"/>
                          <w:i/>
                        </w:rPr>
                      </m:ctrlPr>
                    </m:dPr>
                    <m:e>
                      <m:r>
                        <m:rPr/>
                        <w:rPr>
                          <w:rFonts w:ascii="Cambria Math" w:hAnsi="Cambria Math"/>
                        </w:rPr>
                        <m:t>d</m:t>
                      </m:r>
                      <m:ctrlPr>
                        <w:rPr>
                          <w:rFonts w:ascii="Cambria Math" w:hAnsi="Cambria Math"/>
                          <w:i/>
                        </w:rPr>
                      </m:ctrlPr>
                    </m:e>
                  </m:d>
                  <m:ctrlPr>
                    <w:rPr>
                      <w:rFonts w:ascii="Cambria Math" w:hAnsi="Cambria Math"/>
                      <w:i/>
                    </w:rPr>
                  </m:ctrlPr>
                </m:e>
              </m:d>
              <m:r>
                <m:rPr/>
                <w:rPr>
                  <w:rFonts w:ascii="Cambria Math" w:hAnsi="Cambria Math"/>
                </w:rPr>
                <m:t xml:space="preserve">    </m:t>
              </m:r>
              <m:r>
                <m:rPr>
                  <m:sty m:val="p"/>
                </m:rPr>
                <w:rPr>
                  <w:rFonts w:ascii="Cambria Math" w:hAnsi="Cambria Math"/>
                </w:rPr>
                <m:t>s</m:t>
              </m:r>
              <m:r>
                <m:rPr/>
                <w:rPr>
                  <w:rFonts w:ascii="Cambria Math" w:hAnsi="Cambria Math"/>
                </w:rPr>
                <m:t>.</m:t>
              </m:r>
              <m:r>
                <m:rPr>
                  <m:sty m:val="p"/>
                </m:rPr>
                <w:rPr>
                  <w:rFonts w:ascii="Cambria Math" w:hAnsi="Cambria Math"/>
                </w:rPr>
                <m:t>t</m:t>
              </m:r>
              <m:r>
                <m:rPr/>
                <w:rPr>
                  <w:rFonts w:ascii="Cambria Math" w:hAnsi="Cambria Math"/>
                </w:rPr>
                <m:t>.</m:t>
              </m:r>
              <m:r>
                <m:rPr>
                  <m:sty m:val="p"/>
                </m:rPr>
                <w:rPr>
                  <w:rFonts w:ascii="Cambria Math" w:hAnsi="Cambria Math"/>
                </w:rPr>
                <m:t>PPL</m:t>
              </m:r>
              <m:r>
                <m:rPr/>
                <w:rPr>
                  <w:rFonts w:ascii="Cambria Math" w:hAnsi="Cambria Math"/>
                </w:rPr>
                <m:t>(d)≤τ.</m:t>
              </m:r>
              <m:r>
                <m:rPr>
                  <m:sty m:val="p"/>
                </m:rPr>
                <w:rPr>
                  <w:rFonts w:ascii="Cambria Math" w:hAnsi="Cambria Math"/>
                </w:rPr>
                <m:t>#</m:t>
              </m:r>
              <m:r>
                <m:rPr>
                  <m:sty m:val="p"/>
                </m:rPr>
                <w:rPr>
                  <w:rFonts w:hint="eastAsia" w:ascii="Cambria Math" w:hAnsi="Cambria Math"/>
                </w:rPr>
                <m:t>（</m:t>
              </m:r>
              <m:r>
                <m:rPr>
                  <m:sty m:val="p"/>
                </m:rPr>
                <w:rPr>
                  <w:rFonts w:ascii="Cambria Math" w:hAnsi="Cambria Math"/>
                </w:rPr>
                <m:t>4−5</m:t>
              </m:r>
              <m:r>
                <m:rPr>
                  <m:sty m:val="p"/>
                </m:rPr>
                <w:rPr>
                  <w:rFonts w:hint="eastAsia" w:ascii="Cambria Math" w:hAnsi="Cambria Math"/>
                </w:rPr>
                <m:t>）</m:t>
              </m:r>
              <m:ctrlPr>
                <w:rPr>
                  <w:rFonts w:hint="eastAsia" w:ascii="Cambria Math" w:hAnsi="Cambria Math"/>
                </w:rPr>
              </m:ctrlPr>
            </m:e>
          </m:eqArr>
        </m:oMath>
      </m:oMathPara>
    </w:p>
    <w:p w14:paraId="3DAB4F84">
      <w:pPr>
        <w:pStyle w:val="3"/>
        <w:spacing w:before="163" w:after="163"/>
      </w:pPr>
      <w:bookmarkStart w:id="26" w:name="_Toc8343"/>
      <w:r>
        <w:rPr>
          <w:rFonts w:hint="eastAsia"/>
        </w:rPr>
        <w:t>4</w:t>
      </w:r>
      <w:r>
        <w:t>.</w:t>
      </w:r>
      <w:r>
        <w:rPr>
          <w:rFonts w:hint="eastAsia"/>
        </w:rPr>
        <w:t>2  算法设计</w:t>
      </w:r>
      <w:bookmarkEnd w:id="26"/>
    </w:p>
    <w:p w14:paraId="701652B1">
      <w:pPr>
        <w:pStyle w:val="4"/>
      </w:pPr>
      <w:bookmarkStart w:id="27" w:name="_Toc5979"/>
      <w:r>
        <w:rPr>
          <w:rFonts w:hint="eastAsia"/>
        </w:rPr>
        <w:t>4.2.1  方法总览</w:t>
      </w:r>
      <w:bookmarkEnd w:id="27"/>
    </w:p>
    <w:p w14:paraId="236F450B">
      <w:pPr>
        <w:ind w:firstLine="480"/>
      </w:pPr>
      <w:r>
        <w:rPr>
          <w:rFonts w:hint="eastAsia"/>
        </w:rPr>
        <w:t>本研究中目标函数不可微，且仅能通过查询评估候选解的质量。为应对现有RAG知识库毒化攻击方法的局限性，本节提出了一种基于多目标遗传算法的RAG投毒攻击方法BOGA-RAGP。该方法旨在利用RAG辅助决策链路的“可信”漏洞，通过对多目标遗传算法中的选择、交叉、变异等核心操作进行针对性改进与适配，在黑盒条件下生成兼顾检索命中能力、生成误导能力以及隐蔽性的对抗文档。</w:t>
      </w:r>
    </w:p>
    <w:p w14:paraId="7EB86A78">
      <w:pPr>
        <w:ind w:firstLine="480"/>
      </w:pPr>
      <w:r>
        <w:rPr>
          <w:rFonts w:hint="eastAsia"/>
        </w:rPr>
        <w:t>BOGA-RAGP基于NSGA-II框架，以检索命中能力和生成误导能力为双目标进行联合优化，并引入文档级困惑度阈值作为隐蔽性约束参与优化过程。算法基于主题种子查询及其扩展查询簇收集辅助公开语料用于初始化。在此基础上通过种群初始化、交叉、动态重要性引导变异和种群更新逐步演化，在目标空间中搜索Pareto前沿解集，最后通过代表解选择</w:t>
      </w:r>
      <w:r>
        <w:rPr>
          <w:rFonts w:hint="eastAsia"/>
          <w:lang w:val="en-US" w:eastAsia="zh-CN"/>
        </w:rPr>
        <w:t>输出目标问题对应的</w:t>
      </w:r>
      <w:r>
        <w:rPr>
          <w:rFonts w:hint="eastAsia"/>
        </w:rPr>
        <w:t>单篇对抗段落。整体流程可通过如下算法进行表示：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7700"/>
        <w:gridCol w:w="374"/>
      </w:tblGrid>
      <w:tr w14:paraId="4882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gridSpan w:val="3"/>
            <w:tcBorders>
              <w:bottom w:val="single" w:color="auto" w:sz="4" w:space="0"/>
            </w:tcBorders>
          </w:tcPr>
          <w:p w14:paraId="03D975A2">
            <w:pPr>
              <w:ind w:firstLine="0" w:firstLineChars="0"/>
              <w:jc w:val="left"/>
              <w:rPr>
                <w:sz w:val="21"/>
                <w:szCs w:val="21"/>
              </w:rPr>
            </w:pPr>
            <w:r>
              <w:rPr>
                <w:rFonts w:hint="eastAsia"/>
                <w:sz w:val="21"/>
                <w:szCs w:val="21"/>
              </w:rPr>
              <w:t>算法4-1 基于双目标遗传算法的RAG知识库毒化攻击方法</w:t>
            </w:r>
          </w:p>
        </w:tc>
      </w:tr>
      <w:tr w14:paraId="2C76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single" w:color="auto" w:sz="4" w:space="0"/>
              <w:left w:val="single" w:color="auto" w:sz="4" w:space="0"/>
              <w:bottom w:val="nil"/>
              <w:right w:val="nil"/>
            </w:tcBorders>
          </w:tcPr>
          <w:p w14:paraId="50B697B4">
            <w:pPr>
              <w:ind w:firstLine="0" w:firstLineChars="0"/>
              <w:jc w:val="center"/>
              <w:rPr>
                <w:sz w:val="21"/>
                <w:szCs w:val="21"/>
              </w:rPr>
            </w:pPr>
          </w:p>
        </w:tc>
        <w:tc>
          <w:tcPr>
            <w:tcW w:w="7700" w:type="dxa"/>
            <w:tcBorders>
              <w:top w:val="single" w:color="auto" w:sz="4" w:space="0"/>
              <w:left w:val="nil"/>
              <w:bottom w:val="nil"/>
              <w:right w:val="nil"/>
            </w:tcBorders>
          </w:tcPr>
          <w:p w14:paraId="07E6BE45">
            <w:pPr>
              <w:ind w:firstLine="0" w:firstLineChars="0"/>
              <w:rPr>
                <w:sz w:val="21"/>
                <w:szCs w:val="21"/>
              </w:rPr>
            </w:pPr>
            <w:r>
              <w:rPr>
                <w:rFonts w:hint="eastAsia"/>
                <w:sz w:val="21"/>
                <w:szCs w:val="21"/>
              </w:rPr>
              <w:t>输入：目标主题扩展查询集</w:t>
            </w:r>
            <m:oMath>
              <m:sSubSup>
                <m:sSubSupPr>
                  <m:ctrlPr>
                    <w:rPr>
                      <w:rFonts w:ascii="Cambria Math" w:hAnsi="Cambria Math"/>
                      <w:sz w:val="21"/>
                      <w:szCs w:val="21"/>
                    </w:rPr>
                  </m:ctrlPr>
                </m:sSubSupPr>
                <m:e>
                  <m:r>
                    <m:rPr/>
                    <w:rPr>
                      <w:rFonts w:ascii="Cambria Math" w:hAnsi="Cambria Math"/>
                      <w:sz w:val="21"/>
                      <w:szCs w:val="21"/>
                    </w:rPr>
                    <m:t>Q</m:t>
                  </m:r>
                  <m:ctrlPr>
                    <w:rPr>
                      <w:rFonts w:ascii="Cambria Math" w:hAnsi="Cambria Math"/>
                      <w:sz w:val="21"/>
                      <w:szCs w:val="21"/>
                    </w:rPr>
                  </m:ctrlPr>
                </m:e>
                <m:sub>
                  <m:r>
                    <m:rPr/>
                    <w:rPr>
                      <w:rFonts w:ascii="Cambria Math" w:hAnsi="Cambria Math"/>
                      <w:sz w:val="21"/>
                      <w:szCs w:val="21"/>
                    </w:rPr>
                    <m:t>exp</m:t>
                  </m:r>
                  <m:ctrlPr>
                    <w:rPr>
                      <w:rFonts w:ascii="Cambria Math" w:hAnsi="Cambria Math"/>
                      <w:sz w:val="21"/>
                      <w:szCs w:val="21"/>
                    </w:rPr>
                  </m:ctrlPr>
                </m:sub>
                <m:sup>
                  <m:r>
                    <m:rPr/>
                    <w:rPr>
                      <w:rFonts w:ascii="Cambria Math" w:hAnsi="Cambria Math"/>
                      <w:sz w:val="21"/>
                      <w:szCs w:val="21"/>
                    </w:rPr>
                    <m:t>(j)</m:t>
                  </m:r>
                  <m:ctrlPr>
                    <w:rPr>
                      <w:rFonts w:ascii="Cambria Math" w:hAnsi="Cambria Math"/>
                      <w:sz w:val="21"/>
                      <w:szCs w:val="21"/>
                    </w:rPr>
                  </m:ctrlPr>
                </m:sup>
              </m:sSubSup>
            </m:oMath>
            <w:r>
              <w:rPr>
                <w:rFonts w:hint="eastAsia"/>
                <w:sz w:val="21"/>
                <w:szCs w:val="21"/>
              </w:rPr>
              <w:t>，语义中心向量</w:t>
            </w:r>
            <m:oMath>
              <m:sSub>
                <m:sSubPr>
                  <m:ctrlPr>
                    <w:rPr>
                      <w:rFonts w:ascii="Cambria Math" w:hAnsi="Cambria Math"/>
                      <w:sz w:val="21"/>
                      <w:szCs w:val="21"/>
                    </w:rPr>
                  </m:ctrlPr>
                </m:sSubPr>
                <m:e>
                  <m:r>
                    <m:rPr>
                      <m:sty m:val="p"/>
                    </m:rPr>
                    <w:rPr>
                      <w:rFonts w:ascii="Cambria Math" w:hAnsi="Cambria Math"/>
                      <w:sz w:val="21"/>
                      <w:szCs w:val="21"/>
                    </w:rPr>
                    <m:t>v</m:t>
                  </m:r>
                  <m:ctrlPr>
                    <w:rPr>
                      <w:rFonts w:ascii="Cambria Math" w:hAnsi="Cambria Math"/>
                      <w:sz w:val="21"/>
                      <w:szCs w:val="21"/>
                    </w:rPr>
                  </m:ctrlPr>
                </m:e>
                <m:sub>
                  <m:r>
                    <m:rPr>
                      <m:sty m:val="p"/>
                    </m:rPr>
                    <w:rPr>
                      <w:rFonts w:ascii="Cambria Math" w:hAnsi="Cambria Math"/>
                      <w:sz w:val="21"/>
                      <w:szCs w:val="21"/>
                    </w:rPr>
                    <m:t>j</m:t>
                  </m:r>
                  <m:ctrlPr>
                    <w:rPr>
                      <w:rFonts w:ascii="Cambria Math" w:hAnsi="Cambria Math"/>
                      <w:sz w:val="21"/>
                      <w:szCs w:val="21"/>
                    </w:rPr>
                  </m:ctrlPr>
                </m:sub>
              </m:sSub>
            </m:oMath>
            <w:r>
              <w:rPr>
                <w:rFonts w:hint="eastAsia"/>
                <w:sz w:val="21"/>
                <w:szCs w:val="21"/>
              </w:rPr>
              <w:t>，代理检索器</w:t>
            </w:r>
            <m:oMath>
              <m:acc>
                <m:accPr>
                  <m:ctrlPr>
                    <w:rPr>
                      <w:rFonts w:ascii="Cambria Math" w:hAnsi="Cambria Math"/>
                      <w:sz w:val="21"/>
                      <w:szCs w:val="21"/>
                    </w:rPr>
                  </m:ctrlPr>
                </m:accPr>
                <m:e>
                  <m:r>
                    <m:rPr>
                      <m:sty m:val="p"/>
                    </m:rPr>
                    <w:rPr>
                      <w:rFonts w:ascii="Cambria Math" w:hAnsi="Cambria Math"/>
                      <w:sz w:val="21"/>
                      <w:szCs w:val="21"/>
                    </w:rPr>
                    <m:t>E</m:t>
                  </m:r>
                  <m:ctrlPr>
                    <w:rPr>
                      <w:rFonts w:ascii="Cambria Math" w:hAnsi="Cambria Math"/>
                      <w:sz w:val="21"/>
                      <w:szCs w:val="21"/>
                    </w:rPr>
                  </m:ctrlPr>
                </m:e>
              </m:acc>
            </m:oMath>
            <w:r>
              <w:rPr>
                <w:rFonts w:hint="eastAsia"/>
                <w:sz w:val="21"/>
                <w:szCs w:val="21"/>
              </w:rPr>
              <w:t>，代理生成模型</w:t>
            </w:r>
            <m:oMath>
              <m:r>
                <m:rPr/>
                <w:rPr>
                  <w:rFonts w:hint="eastAsia" w:ascii="Cambria Math" w:hAnsi="Cambria Math"/>
                  <w:sz w:val="21"/>
                  <w:szCs w:val="21"/>
                </w:rPr>
                <m:t>M</m:t>
              </m:r>
            </m:oMath>
            <w:r>
              <w:rPr>
                <w:rFonts w:hint="eastAsia"/>
                <w:sz w:val="21"/>
                <w:szCs w:val="21"/>
              </w:rPr>
              <w:t>，困惑度阈值</w:t>
            </w:r>
            <m:oMath>
              <m:r>
                <m:rPr/>
                <w:rPr>
                  <w:rFonts w:ascii="Cambria Math" w:hAnsi="Cambria Math"/>
                </w:rPr>
                <m:t>τ</m:t>
              </m:r>
            </m:oMath>
          </w:p>
        </w:tc>
        <w:tc>
          <w:tcPr>
            <w:tcW w:w="374" w:type="dxa"/>
            <w:tcBorders>
              <w:top w:val="single" w:color="auto" w:sz="4" w:space="0"/>
              <w:left w:val="nil"/>
              <w:bottom w:val="nil"/>
              <w:right w:val="single" w:color="auto" w:sz="4" w:space="0"/>
            </w:tcBorders>
          </w:tcPr>
          <w:p w14:paraId="3A1E036E">
            <w:pPr>
              <w:ind w:firstLine="420"/>
              <w:rPr>
                <w:sz w:val="21"/>
                <w:szCs w:val="21"/>
              </w:rPr>
            </w:pPr>
          </w:p>
        </w:tc>
      </w:tr>
      <w:tr w14:paraId="4AE9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5638C625">
            <w:pPr>
              <w:ind w:firstLine="0" w:firstLineChars="0"/>
              <w:jc w:val="center"/>
              <w:rPr>
                <w:sz w:val="21"/>
                <w:szCs w:val="21"/>
              </w:rPr>
            </w:pPr>
          </w:p>
        </w:tc>
        <w:tc>
          <w:tcPr>
            <w:tcW w:w="7700" w:type="dxa"/>
            <w:tcBorders>
              <w:top w:val="nil"/>
              <w:left w:val="nil"/>
              <w:bottom w:val="nil"/>
              <w:right w:val="nil"/>
            </w:tcBorders>
          </w:tcPr>
          <w:p w14:paraId="5B1652D4">
            <w:pPr>
              <w:ind w:firstLine="0" w:firstLineChars="0"/>
              <w:rPr>
                <w:sz w:val="21"/>
                <w:szCs w:val="21"/>
              </w:rPr>
            </w:pPr>
            <w:r>
              <w:rPr>
                <w:rFonts w:hint="eastAsia"/>
                <w:sz w:val="21"/>
                <w:szCs w:val="21"/>
              </w:rPr>
              <w:t>输出：目标主题对应对抗文档</w:t>
            </w:r>
            <m:oMath>
              <m:sSubSup>
                <m:sSubSupPr>
                  <m:ctrlPr>
                    <w:rPr>
                      <w:rFonts w:ascii="Cambria Math" w:hAnsi="Cambria Math"/>
                      <w:sz w:val="21"/>
                      <w:szCs w:val="21"/>
                    </w:rPr>
                  </m:ctrlPr>
                </m:sSubSup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up>
                  <m:r>
                    <m:rPr/>
                    <w:rPr>
                      <w:rFonts w:ascii="Cambria Math" w:hAnsi="Cambria Math"/>
                      <w:sz w:val="21"/>
                      <w:szCs w:val="21"/>
                    </w:rPr>
                    <m:t>∗</m:t>
                  </m:r>
                  <m:ctrlPr>
                    <w:rPr>
                      <w:rFonts w:ascii="Cambria Math" w:hAnsi="Cambria Math"/>
                      <w:sz w:val="21"/>
                      <w:szCs w:val="21"/>
                    </w:rPr>
                  </m:ctrlPr>
                </m:sup>
              </m:sSubSup>
            </m:oMath>
          </w:p>
        </w:tc>
        <w:tc>
          <w:tcPr>
            <w:tcW w:w="374" w:type="dxa"/>
            <w:tcBorders>
              <w:top w:val="nil"/>
              <w:left w:val="nil"/>
              <w:bottom w:val="nil"/>
              <w:right w:val="single" w:color="auto" w:sz="4" w:space="0"/>
            </w:tcBorders>
          </w:tcPr>
          <w:p w14:paraId="0274839C">
            <w:pPr>
              <w:ind w:firstLine="420"/>
              <w:rPr>
                <w:sz w:val="21"/>
                <w:szCs w:val="21"/>
              </w:rPr>
            </w:pPr>
          </w:p>
        </w:tc>
      </w:tr>
      <w:tr w14:paraId="3508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7F3B3ACA">
            <w:pPr>
              <w:ind w:firstLine="0" w:firstLineChars="0"/>
              <w:jc w:val="center"/>
              <w:rPr>
                <w:sz w:val="21"/>
                <w:szCs w:val="21"/>
              </w:rPr>
            </w:pPr>
            <w:r>
              <w:rPr>
                <w:rFonts w:hint="eastAsia"/>
                <w:sz w:val="21"/>
                <w:szCs w:val="21"/>
              </w:rPr>
              <w:t>1</w:t>
            </w:r>
          </w:p>
        </w:tc>
        <w:tc>
          <w:tcPr>
            <w:tcW w:w="7700" w:type="dxa"/>
            <w:tcBorders>
              <w:top w:val="nil"/>
              <w:left w:val="nil"/>
              <w:bottom w:val="nil"/>
              <w:right w:val="nil"/>
            </w:tcBorders>
          </w:tcPr>
          <w:p w14:paraId="1E4B4F45">
            <w:pPr>
              <w:pStyle w:val="91"/>
              <w:rPr>
                <w:i/>
                <w:sz w:val="21"/>
                <w:szCs w:val="21"/>
              </w:rPr>
            </w:pPr>
            <w:r>
              <w:rPr>
                <w:rFonts w:hint="eastAsia"/>
                <w:sz w:val="21"/>
                <w:szCs w:val="21"/>
              </w:rPr>
              <w:t>依据</w:t>
            </w:r>
            <m:oMath>
              <m:sSubSup>
                <m:sSubSupPr>
                  <m:ctrlPr>
                    <w:rPr>
                      <w:rFonts w:ascii="Cambria Math" w:hAnsi="Cambria Math"/>
                      <w:sz w:val="21"/>
                      <w:szCs w:val="21"/>
                    </w:rPr>
                  </m:ctrlPr>
                </m:sSubSupPr>
                <m:e>
                  <m:r>
                    <m:rPr/>
                    <w:rPr>
                      <w:rFonts w:ascii="Cambria Math" w:hAnsi="Cambria Math"/>
                      <w:sz w:val="21"/>
                      <w:szCs w:val="21"/>
                    </w:rPr>
                    <m:t>Q</m:t>
                  </m:r>
                  <m:ctrlPr>
                    <w:rPr>
                      <w:rFonts w:ascii="Cambria Math" w:hAnsi="Cambria Math"/>
                      <w:sz w:val="21"/>
                      <w:szCs w:val="21"/>
                    </w:rPr>
                  </m:ctrlPr>
                </m:e>
                <m:sub>
                  <m:r>
                    <m:rPr/>
                    <w:rPr>
                      <w:rFonts w:ascii="Cambria Math" w:hAnsi="Cambria Math"/>
                      <w:sz w:val="21"/>
                      <w:szCs w:val="21"/>
                    </w:rPr>
                    <m:t>exp</m:t>
                  </m:r>
                  <m:ctrlPr>
                    <w:rPr>
                      <w:rFonts w:ascii="Cambria Math" w:hAnsi="Cambria Math"/>
                      <w:sz w:val="21"/>
                      <w:szCs w:val="21"/>
                    </w:rPr>
                  </m:ctrlPr>
                </m:sub>
                <m:sup>
                  <m:r>
                    <m:rPr/>
                    <w:rPr>
                      <w:rFonts w:ascii="Cambria Math" w:hAnsi="Cambria Math"/>
                      <w:sz w:val="21"/>
                      <w:szCs w:val="21"/>
                    </w:rPr>
                    <m:t>(j)</m:t>
                  </m:r>
                  <m:ctrlPr>
                    <w:rPr>
                      <w:rFonts w:ascii="Cambria Math" w:hAnsi="Cambria Math"/>
                      <w:sz w:val="21"/>
                      <w:szCs w:val="21"/>
                    </w:rPr>
                  </m:ctrlPr>
                </m:sup>
              </m:sSubSup>
            </m:oMath>
            <w:r>
              <w:rPr>
                <w:rFonts w:hint="eastAsia"/>
                <w:sz w:val="21"/>
                <w:szCs w:val="21"/>
              </w:rPr>
              <w:t>从公开语料源收集相关语料，构建辅助语料库</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aux</m:t>
                  </m:r>
                  <m:ctrlPr>
                    <w:rPr>
                      <w:rFonts w:ascii="Cambria Math" w:hAnsi="Cambria Math"/>
                      <w:sz w:val="21"/>
                      <w:szCs w:val="21"/>
                    </w:rPr>
                  </m:ctrlPr>
                </m:sub>
              </m:sSub>
            </m:oMath>
          </w:p>
        </w:tc>
        <w:tc>
          <w:tcPr>
            <w:tcW w:w="374" w:type="dxa"/>
            <w:tcBorders>
              <w:top w:val="nil"/>
              <w:left w:val="nil"/>
              <w:bottom w:val="nil"/>
              <w:right w:val="single" w:color="auto" w:sz="4" w:space="0"/>
            </w:tcBorders>
          </w:tcPr>
          <w:p w14:paraId="4A2CD585">
            <w:pPr>
              <w:ind w:firstLine="420"/>
              <w:rPr>
                <w:sz w:val="21"/>
                <w:szCs w:val="21"/>
              </w:rPr>
            </w:pPr>
          </w:p>
        </w:tc>
      </w:tr>
      <w:tr w14:paraId="0347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149E5B07">
            <w:pPr>
              <w:ind w:firstLine="0" w:firstLineChars="0"/>
              <w:jc w:val="center"/>
              <w:rPr>
                <w:sz w:val="21"/>
                <w:szCs w:val="21"/>
              </w:rPr>
            </w:pPr>
            <w:r>
              <w:rPr>
                <w:rFonts w:hint="eastAsia"/>
                <w:sz w:val="21"/>
                <w:szCs w:val="21"/>
              </w:rPr>
              <w:t>2</w:t>
            </w:r>
          </w:p>
        </w:tc>
        <w:tc>
          <w:tcPr>
            <w:tcW w:w="7700" w:type="dxa"/>
            <w:tcBorders>
              <w:top w:val="nil"/>
              <w:left w:val="nil"/>
              <w:bottom w:val="nil"/>
              <w:right w:val="nil"/>
            </w:tcBorders>
          </w:tcPr>
          <w:p w14:paraId="1A16C834">
            <w:pPr>
              <w:pStyle w:val="91"/>
              <w:rPr>
                <w:i/>
                <w:sz w:val="21"/>
                <w:szCs w:val="21"/>
              </w:rPr>
            </w:pPr>
            <w:r>
              <w:rPr>
                <w:rFonts w:hint="eastAsia"/>
                <w:sz w:val="21"/>
                <w:szCs w:val="21"/>
              </w:rPr>
              <w:t>将</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aux</m:t>
                  </m:r>
                  <m:ctrlPr>
                    <w:rPr>
                      <w:rFonts w:ascii="Cambria Math" w:hAnsi="Cambria Math"/>
                      <w:sz w:val="21"/>
                      <w:szCs w:val="21"/>
                    </w:rPr>
                  </m:ctrlPr>
                </m:sub>
              </m:sSub>
            </m:oMath>
            <w:r>
              <w:rPr>
                <w:rFonts w:hint="eastAsia"/>
                <w:sz w:val="21"/>
                <w:szCs w:val="21"/>
              </w:rPr>
              <w:t>中语料按句子切分，得到候选语句集合</w:t>
            </w:r>
            <m:oMath>
              <m:r>
                <m:rPr/>
                <w:rPr>
                  <w:rFonts w:ascii="Cambria Math" w:hAnsi="Cambria Math"/>
                  <w:sz w:val="21"/>
                  <w:szCs w:val="21"/>
                </w:rPr>
                <m:t>S={</m:t>
              </m:r>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1</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2</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w:rPr>
                  <w:rFonts w:ascii="Cambria Math" w:hAnsi="Cambria Math"/>
                  <w:sz w:val="21"/>
                  <w:szCs w:val="21"/>
                </w:rPr>
                <m:t>}</m:t>
              </m:r>
            </m:oMath>
          </w:p>
        </w:tc>
        <w:tc>
          <w:tcPr>
            <w:tcW w:w="374" w:type="dxa"/>
            <w:tcBorders>
              <w:top w:val="nil"/>
              <w:left w:val="nil"/>
              <w:bottom w:val="nil"/>
              <w:right w:val="single" w:color="auto" w:sz="4" w:space="0"/>
            </w:tcBorders>
          </w:tcPr>
          <w:p w14:paraId="770B3041">
            <w:pPr>
              <w:ind w:firstLine="420"/>
              <w:rPr>
                <w:sz w:val="21"/>
                <w:szCs w:val="21"/>
              </w:rPr>
            </w:pPr>
          </w:p>
        </w:tc>
      </w:tr>
      <w:tr w14:paraId="1385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5B59AC65">
            <w:pPr>
              <w:ind w:firstLine="0" w:firstLineChars="0"/>
              <w:jc w:val="center"/>
              <w:rPr>
                <w:sz w:val="21"/>
                <w:szCs w:val="21"/>
              </w:rPr>
            </w:pPr>
            <w:r>
              <w:rPr>
                <w:rFonts w:hint="eastAsia"/>
                <w:sz w:val="21"/>
                <w:szCs w:val="21"/>
              </w:rPr>
              <w:t>3</w:t>
            </w:r>
          </w:p>
        </w:tc>
        <w:tc>
          <w:tcPr>
            <w:tcW w:w="7700" w:type="dxa"/>
            <w:tcBorders>
              <w:top w:val="nil"/>
              <w:left w:val="nil"/>
              <w:bottom w:val="nil"/>
              <w:right w:val="nil"/>
            </w:tcBorders>
          </w:tcPr>
          <w:p w14:paraId="1A3785F3">
            <w:pPr>
              <w:pStyle w:val="91"/>
              <w:rPr>
                <w:i/>
                <w:sz w:val="21"/>
                <w:szCs w:val="21"/>
              </w:rPr>
            </w:pPr>
            <w:r>
              <w:rPr>
                <w:rFonts w:hint="eastAsia"/>
                <w:sz w:val="21"/>
                <w:szCs w:val="21"/>
              </w:rPr>
              <w:t>计算各语句重要性得分，按照得分高低等分至高、中、低重要性层</w:t>
            </w:r>
            <m:oMath>
              <m:sSub>
                <m:sSubPr>
                  <m:ctrlPr>
                    <w:rPr>
                      <w:rFonts w:ascii="Cambria Math" w:hAnsi="Cambria Math"/>
                      <w:sz w:val="21"/>
                      <w:szCs w:val="21"/>
                    </w:rPr>
                  </m:ctrlPr>
                </m:sSubPr>
                <m:e>
                  <m:r>
                    <m:rPr/>
                    <w:rPr>
                      <w:rFonts w:ascii="Cambria Math" w:hAnsi="Cambria Math"/>
                      <w:sz w:val="21"/>
                      <w:szCs w:val="21"/>
                    </w:rPr>
                    <m:t>H</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M</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L</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w:p>
        </w:tc>
        <w:tc>
          <w:tcPr>
            <w:tcW w:w="374" w:type="dxa"/>
            <w:tcBorders>
              <w:top w:val="nil"/>
              <w:left w:val="nil"/>
              <w:bottom w:val="nil"/>
              <w:right w:val="single" w:color="auto" w:sz="4" w:space="0"/>
            </w:tcBorders>
          </w:tcPr>
          <w:p w14:paraId="5F1A6AEE">
            <w:pPr>
              <w:ind w:firstLine="420"/>
              <w:rPr>
                <w:sz w:val="21"/>
                <w:szCs w:val="21"/>
              </w:rPr>
            </w:pPr>
          </w:p>
        </w:tc>
      </w:tr>
      <w:tr w14:paraId="2DFB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7451E6FB">
            <w:pPr>
              <w:ind w:firstLine="0" w:firstLineChars="0"/>
              <w:jc w:val="center"/>
              <w:rPr>
                <w:sz w:val="21"/>
                <w:szCs w:val="21"/>
              </w:rPr>
            </w:pPr>
            <w:r>
              <w:rPr>
                <w:rFonts w:hint="eastAsia"/>
                <w:sz w:val="21"/>
                <w:szCs w:val="21"/>
              </w:rPr>
              <w:t>4</w:t>
            </w:r>
          </w:p>
        </w:tc>
        <w:tc>
          <w:tcPr>
            <w:tcW w:w="7700" w:type="dxa"/>
            <w:tcBorders>
              <w:top w:val="nil"/>
              <w:left w:val="nil"/>
              <w:bottom w:val="nil"/>
              <w:right w:val="nil"/>
            </w:tcBorders>
          </w:tcPr>
          <w:p w14:paraId="05173308">
            <w:pPr>
              <w:pStyle w:val="91"/>
              <w:rPr>
                <w:sz w:val="21"/>
                <w:szCs w:val="21"/>
              </w:rPr>
            </w:pPr>
            <w:r>
              <w:rPr>
                <w:rFonts w:hint="eastAsia"/>
                <w:sz w:val="21"/>
                <w:szCs w:val="21"/>
              </w:rPr>
              <w:t>按(0.5,0.3,0.2)比例从</w:t>
            </w:r>
            <m:oMath>
              <m:sSub>
                <m:sSubPr>
                  <m:ctrlPr>
                    <w:rPr>
                      <w:rFonts w:ascii="Cambria Math" w:hAnsi="Cambria Math"/>
                      <w:sz w:val="21"/>
                      <w:szCs w:val="21"/>
                    </w:rPr>
                  </m:ctrlPr>
                </m:sSubPr>
                <m:e>
                  <m:r>
                    <m:rPr/>
                    <w:rPr>
                      <w:rFonts w:ascii="Cambria Math" w:hAnsi="Cambria Math"/>
                      <w:sz w:val="21"/>
                      <w:szCs w:val="21"/>
                    </w:rPr>
                    <m:t>H</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M</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L</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w:r>
              <w:rPr>
                <w:rFonts w:hint="eastAsia"/>
                <w:sz w:val="21"/>
                <w:szCs w:val="21"/>
              </w:rPr>
              <w:t>随机采样语句，拼接生成初始种群</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p>
        </w:tc>
        <w:tc>
          <w:tcPr>
            <w:tcW w:w="374" w:type="dxa"/>
            <w:tcBorders>
              <w:top w:val="nil"/>
              <w:left w:val="nil"/>
              <w:bottom w:val="nil"/>
              <w:right w:val="single" w:color="auto" w:sz="4" w:space="0"/>
            </w:tcBorders>
          </w:tcPr>
          <w:p w14:paraId="660D7985">
            <w:pPr>
              <w:ind w:firstLine="420"/>
              <w:rPr>
                <w:sz w:val="21"/>
                <w:szCs w:val="21"/>
              </w:rPr>
            </w:pPr>
          </w:p>
        </w:tc>
      </w:tr>
      <w:tr w14:paraId="3F70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2ECDCB1C">
            <w:pPr>
              <w:ind w:firstLine="0" w:firstLineChars="0"/>
              <w:jc w:val="center"/>
              <w:rPr>
                <w:sz w:val="21"/>
                <w:szCs w:val="21"/>
              </w:rPr>
            </w:pPr>
            <w:r>
              <w:rPr>
                <w:rFonts w:hint="eastAsia"/>
                <w:sz w:val="21"/>
                <w:szCs w:val="21"/>
              </w:rPr>
              <w:t>5</w:t>
            </w:r>
          </w:p>
        </w:tc>
        <w:tc>
          <w:tcPr>
            <w:tcW w:w="7700" w:type="dxa"/>
            <w:tcBorders>
              <w:top w:val="nil"/>
              <w:left w:val="nil"/>
              <w:bottom w:val="nil"/>
              <w:right w:val="nil"/>
            </w:tcBorders>
          </w:tcPr>
          <w:p w14:paraId="27F5AF5D">
            <w:pPr>
              <w:pStyle w:val="91"/>
              <w:rPr>
                <w:sz w:val="21"/>
                <w:szCs w:val="21"/>
              </w:rPr>
            </w:pPr>
            <w:r>
              <w:rPr>
                <w:rFonts w:hint="eastAsia"/>
                <w:sz w:val="21"/>
                <w:szCs w:val="21"/>
              </w:rPr>
              <w:t>对</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r>
              <w:rPr>
                <w:rFonts w:hint="eastAsia" w:hAnsi="Cambria Math"/>
                <w:sz w:val="21"/>
                <w:szCs w:val="21"/>
              </w:rPr>
              <w:t>中每个个体计算目标值</w:t>
            </w:r>
            <m:oMath>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1</m:t>
                  </m:r>
                  <m:ctrlPr>
                    <w:rPr>
                      <w:rFonts w:ascii="Cambria Math" w:hAnsi="Cambria Math"/>
                      <w:sz w:val="21"/>
                      <w:szCs w:val="21"/>
                    </w:rPr>
                  </m:ctrlPr>
                </m:sub>
              </m:sSub>
              <m:r>
                <m:rPr/>
                <w:rPr>
                  <w:rFonts w:ascii="Cambria Math" w:hAnsi="Cambria Math"/>
                  <w:sz w:val="21"/>
                  <w:szCs w:val="21"/>
                </w:rPr>
                <m:t>(d)</m:t>
              </m:r>
            </m:oMath>
            <w:r>
              <w:rPr>
                <w:rFonts w:hint="eastAsia" w:hAnsi="Cambria Math"/>
                <w:sz w:val="21"/>
                <w:szCs w:val="21"/>
              </w:rPr>
              <w:t>与</w:t>
            </w:r>
            <m:oMath>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2</m:t>
                  </m:r>
                  <m:ctrlPr>
                    <w:rPr>
                      <w:rFonts w:ascii="Cambria Math" w:hAnsi="Cambria Math"/>
                      <w:sz w:val="21"/>
                      <w:szCs w:val="21"/>
                    </w:rPr>
                  </m:ctrlPr>
                </m:sub>
              </m:sSub>
              <m:r>
                <m:rPr/>
                <w:rPr>
                  <w:rFonts w:ascii="Cambria Math" w:hAnsi="Cambria Math"/>
                  <w:sz w:val="21"/>
                  <w:szCs w:val="21"/>
                </w:rPr>
                <m:t>(d)</m:t>
              </m:r>
            </m:oMath>
            <w:r>
              <w:rPr>
                <w:rFonts w:hint="eastAsia" w:hAnsi="Cambria Math"/>
                <w:sz w:val="21"/>
                <w:szCs w:val="21"/>
              </w:rPr>
              <w:t>以及约束违反度</w:t>
            </w:r>
            <m:oMath>
              <m:r>
                <m:rPr/>
                <w:rPr>
                  <w:rFonts w:ascii="Cambria Math" w:hAnsi="Cambria Math"/>
                  <w:sz w:val="21"/>
                  <w:szCs w:val="21"/>
                </w:rPr>
                <m:t>v(d)</m:t>
              </m:r>
            </m:oMath>
          </w:p>
        </w:tc>
        <w:tc>
          <w:tcPr>
            <w:tcW w:w="374" w:type="dxa"/>
            <w:tcBorders>
              <w:top w:val="nil"/>
              <w:left w:val="nil"/>
              <w:bottom w:val="nil"/>
              <w:right w:val="single" w:color="auto" w:sz="4" w:space="0"/>
            </w:tcBorders>
          </w:tcPr>
          <w:p w14:paraId="1755537C">
            <w:pPr>
              <w:ind w:firstLine="420"/>
              <w:rPr>
                <w:sz w:val="21"/>
                <w:szCs w:val="21"/>
              </w:rPr>
            </w:pPr>
          </w:p>
        </w:tc>
      </w:tr>
      <w:tr w14:paraId="3B6C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5B0DEFD6">
            <w:pPr>
              <w:ind w:firstLine="0" w:firstLineChars="0"/>
              <w:jc w:val="center"/>
              <w:rPr>
                <w:sz w:val="21"/>
                <w:szCs w:val="21"/>
              </w:rPr>
            </w:pPr>
            <w:r>
              <w:rPr>
                <w:rFonts w:hint="eastAsia"/>
                <w:sz w:val="21"/>
                <w:szCs w:val="21"/>
              </w:rPr>
              <w:t>6</w:t>
            </w:r>
          </w:p>
        </w:tc>
        <w:tc>
          <w:tcPr>
            <w:tcW w:w="7700" w:type="dxa"/>
            <w:tcBorders>
              <w:top w:val="nil"/>
              <w:left w:val="nil"/>
              <w:bottom w:val="nil"/>
              <w:right w:val="nil"/>
            </w:tcBorders>
          </w:tcPr>
          <w:p w14:paraId="40B6D1FD">
            <w:pPr>
              <w:pStyle w:val="91"/>
              <w:rPr>
                <w:sz w:val="21"/>
                <w:szCs w:val="21"/>
              </w:rPr>
            </w:pPr>
            <w:r>
              <w:rPr>
                <w:rFonts w:hint="eastAsia"/>
                <w:sz w:val="21"/>
                <w:szCs w:val="21"/>
              </w:rPr>
              <w:t>对</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r>
              <w:rPr>
                <w:rFonts w:hint="eastAsia" w:hAnsi="Cambria Math"/>
                <w:sz w:val="21"/>
                <w:szCs w:val="21"/>
              </w:rPr>
              <w:t>执行非支配排序与拥挤度距离计算，</w:t>
            </w:r>
            <w:r>
              <w:rPr>
                <w:rFonts w:hint="eastAsia"/>
                <w:sz w:val="21"/>
                <w:szCs w:val="21"/>
              </w:rPr>
              <w:t>初始化精英档案</w:t>
            </w:r>
            <m:oMath>
              <m:sSub>
                <m:sSubPr>
                  <m:ctrlPr>
                    <w:rPr>
                      <w:rFonts w:ascii="Cambria Math" w:hAnsi="Cambria Math"/>
                      <w:sz w:val="21"/>
                      <w:szCs w:val="21"/>
                    </w:rPr>
                  </m:ctrlPr>
                </m:sSubPr>
                <m:e>
                  <m:r>
                    <m:rPr>
                      <m:sty m:val="p"/>
                    </m:rPr>
                    <w:rPr>
                      <w:rFonts w:hint="eastAsia" w:ascii="Cambria Math" w:hAnsi="Cambria Math"/>
                      <w:sz w:val="21"/>
                      <w:szCs w:val="21"/>
                    </w:rPr>
                    <m:t>A</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r>
              <w:rPr>
                <w:rFonts w:hint="eastAsia"/>
                <w:sz w:val="21"/>
                <w:szCs w:val="21"/>
              </w:rPr>
              <w:t xml:space="preserve"> </w:t>
            </w:r>
            <m:oMath>
              <m:r>
                <m:rPr/>
                <w:rPr>
                  <w:rFonts w:ascii="Cambria Math" w:hAnsi="Cambria Math"/>
                  <w:sz w:val="21"/>
                  <w:szCs w:val="21"/>
                </w:rPr>
                <m:t>←</m:t>
              </m:r>
            </m:oMath>
            <w:r>
              <w:rPr>
                <w:rFonts w:hint="eastAsia"/>
                <w:sz w:val="21"/>
                <w:szCs w:val="21"/>
              </w:rPr>
              <w:t>NonDominated(</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0</m:t>
                  </m:r>
                  <m:ctrlPr>
                    <w:rPr>
                      <w:rFonts w:ascii="Cambria Math" w:hAnsi="Cambria Math"/>
                      <w:sz w:val="21"/>
                      <w:szCs w:val="21"/>
                    </w:rPr>
                  </m:ctrlPr>
                </m:sub>
              </m:sSub>
            </m:oMath>
            <w:r>
              <w:rPr>
                <w:rFonts w:hint="eastAsia"/>
                <w:sz w:val="21"/>
                <w:szCs w:val="21"/>
              </w:rPr>
              <w:t>)</w:t>
            </w:r>
          </w:p>
        </w:tc>
        <w:tc>
          <w:tcPr>
            <w:tcW w:w="374" w:type="dxa"/>
            <w:tcBorders>
              <w:top w:val="nil"/>
              <w:left w:val="nil"/>
              <w:bottom w:val="nil"/>
              <w:right w:val="single" w:color="auto" w:sz="4" w:space="0"/>
            </w:tcBorders>
          </w:tcPr>
          <w:p w14:paraId="40A2AA4E">
            <w:pPr>
              <w:ind w:firstLine="420"/>
              <w:rPr>
                <w:sz w:val="21"/>
                <w:szCs w:val="21"/>
              </w:rPr>
            </w:pPr>
          </w:p>
        </w:tc>
      </w:tr>
      <w:tr w14:paraId="3DEC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45A78107">
            <w:pPr>
              <w:ind w:firstLine="0" w:firstLineChars="0"/>
              <w:jc w:val="center"/>
              <w:rPr>
                <w:sz w:val="21"/>
                <w:szCs w:val="21"/>
              </w:rPr>
            </w:pPr>
            <w:r>
              <w:rPr>
                <w:rFonts w:hint="eastAsia"/>
                <w:sz w:val="21"/>
                <w:szCs w:val="21"/>
              </w:rPr>
              <w:t>7</w:t>
            </w:r>
          </w:p>
        </w:tc>
        <w:tc>
          <w:tcPr>
            <w:tcW w:w="7700" w:type="dxa"/>
            <w:tcBorders>
              <w:top w:val="nil"/>
              <w:left w:val="nil"/>
              <w:bottom w:val="nil"/>
              <w:right w:val="nil"/>
            </w:tcBorders>
          </w:tcPr>
          <w:p w14:paraId="460DBDEA">
            <w:pPr>
              <w:pStyle w:val="91"/>
              <w:rPr>
                <w:sz w:val="21"/>
                <w:szCs w:val="21"/>
              </w:rPr>
            </w:pPr>
            <w:r>
              <w:rPr>
                <w:rFonts w:hint="eastAsia"/>
                <w:b/>
                <w:bCs/>
                <w:sz w:val="21"/>
                <w:szCs w:val="21"/>
              </w:rPr>
              <w:t>for</w:t>
            </w:r>
            <w:r>
              <w:rPr>
                <w:rFonts w:hint="eastAsia"/>
                <w:sz w:val="21"/>
                <w:szCs w:val="21"/>
              </w:rPr>
              <w:t xml:space="preserve"> t=0 to T-1</w:t>
            </w:r>
          </w:p>
        </w:tc>
        <w:tc>
          <w:tcPr>
            <w:tcW w:w="374" w:type="dxa"/>
            <w:tcBorders>
              <w:top w:val="nil"/>
              <w:left w:val="nil"/>
              <w:bottom w:val="nil"/>
              <w:right w:val="single" w:color="auto" w:sz="4" w:space="0"/>
            </w:tcBorders>
          </w:tcPr>
          <w:p w14:paraId="183B81B8">
            <w:pPr>
              <w:ind w:firstLine="420"/>
              <w:rPr>
                <w:sz w:val="21"/>
                <w:szCs w:val="21"/>
              </w:rPr>
            </w:pPr>
          </w:p>
        </w:tc>
      </w:tr>
      <w:tr w14:paraId="32E9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2619BDB7">
            <w:pPr>
              <w:ind w:firstLine="0" w:firstLineChars="0"/>
              <w:jc w:val="center"/>
              <w:rPr>
                <w:sz w:val="21"/>
                <w:szCs w:val="21"/>
              </w:rPr>
            </w:pPr>
            <w:r>
              <w:rPr>
                <w:rFonts w:hint="eastAsia"/>
                <w:sz w:val="21"/>
                <w:szCs w:val="21"/>
              </w:rPr>
              <w:t>8</w:t>
            </w:r>
          </w:p>
        </w:tc>
        <w:tc>
          <w:tcPr>
            <w:tcW w:w="7700" w:type="dxa"/>
            <w:tcBorders>
              <w:top w:val="nil"/>
              <w:left w:val="nil"/>
              <w:bottom w:val="nil"/>
              <w:right w:val="nil"/>
            </w:tcBorders>
          </w:tcPr>
          <w:p w14:paraId="448FD5C5">
            <w:pPr>
              <w:pStyle w:val="91"/>
              <w:rPr>
                <w:sz w:val="21"/>
                <w:szCs w:val="21"/>
              </w:rPr>
            </w:pPr>
            <w:r>
              <w:rPr>
                <w:rFonts w:hint="eastAsia"/>
                <w:sz w:val="21"/>
                <w:szCs w:val="21"/>
              </w:rPr>
              <w:t xml:space="preserve">    基于二元锦标赛选择构建交配池</w:t>
            </w:r>
            <m:oMath>
              <m:sSub>
                <m:sSubPr>
                  <m:ctrlPr>
                    <w:rPr>
                      <w:rFonts w:ascii="Cambria Math" w:hAnsi="Cambria Math"/>
                      <w:sz w:val="21"/>
                      <w:szCs w:val="21"/>
                    </w:rPr>
                  </m:ctrlPr>
                </m:sSubPr>
                <m:e>
                  <m:r>
                    <m:rPr>
                      <m:sty m:val="p"/>
                    </m:rPr>
                    <w:rPr>
                      <w:rFonts w:hint="eastAsia" w:ascii="Cambria Math" w:hAnsi="Cambria Math"/>
                      <w:sz w:val="21"/>
                      <w:szCs w:val="21"/>
                    </w:rPr>
                    <m:t>M</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hAnsi="Cambria Math"/>
                <w:sz w:val="21"/>
                <w:szCs w:val="21"/>
              </w:rPr>
              <w:t>（含显式精英注入）</w:t>
            </w:r>
          </w:p>
        </w:tc>
        <w:tc>
          <w:tcPr>
            <w:tcW w:w="374" w:type="dxa"/>
            <w:tcBorders>
              <w:top w:val="nil"/>
              <w:left w:val="nil"/>
              <w:bottom w:val="nil"/>
              <w:right w:val="single" w:color="auto" w:sz="4" w:space="0"/>
            </w:tcBorders>
          </w:tcPr>
          <w:p w14:paraId="5D08BA8F">
            <w:pPr>
              <w:ind w:firstLine="420"/>
              <w:rPr>
                <w:sz w:val="21"/>
                <w:szCs w:val="21"/>
              </w:rPr>
            </w:pPr>
          </w:p>
        </w:tc>
      </w:tr>
      <w:tr w14:paraId="0B4A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53E4230F">
            <w:pPr>
              <w:ind w:firstLine="0" w:firstLineChars="0"/>
              <w:jc w:val="center"/>
              <w:rPr>
                <w:sz w:val="21"/>
                <w:szCs w:val="21"/>
              </w:rPr>
            </w:pPr>
            <w:r>
              <w:rPr>
                <w:rFonts w:hint="eastAsia"/>
                <w:sz w:val="21"/>
                <w:szCs w:val="21"/>
              </w:rPr>
              <w:t>9</w:t>
            </w:r>
          </w:p>
        </w:tc>
        <w:tc>
          <w:tcPr>
            <w:tcW w:w="7700" w:type="dxa"/>
            <w:tcBorders>
              <w:top w:val="nil"/>
              <w:left w:val="nil"/>
              <w:bottom w:val="nil"/>
              <w:right w:val="nil"/>
            </w:tcBorders>
          </w:tcPr>
          <w:p w14:paraId="7221CDD0">
            <w:pPr>
              <w:pStyle w:val="91"/>
              <w:rPr>
                <w:sz w:val="21"/>
                <w:szCs w:val="21"/>
              </w:rPr>
            </w:pPr>
            <w:r>
              <w:rPr>
                <w:rFonts w:hint="eastAsia"/>
                <w:sz w:val="21"/>
                <w:szCs w:val="21"/>
              </w:rPr>
              <w:t xml:space="preserve">    对</w:t>
            </w:r>
            <m:oMath>
              <m:sSub>
                <m:sSubPr>
                  <m:ctrlPr>
                    <w:rPr>
                      <w:rFonts w:ascii="Cambria Math" w:hAnsi="Cambria Math"/>
                      <w:sz w:val="21"/>
                      <w:szCs w:val="21"/>
                    </w:rPr>
                  </m:ctrlPr>
                </m:sSubPr>
                <m:e>
                  <m:r>
                    <m:rPr>
                      <m:sty m:val="p"/>
                    </m:rPr>
                    <w:rPr>
                      <w:rFonts w:hint="eastAsia" w:ascii="Cambria Math" w:hAnsi="Cambria Math"/>
                      <w:sz w:val="21"/>
                      <w:szCs w:val="21"/>
                    </w:rPr>
                    <m:t>M</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sz w:val="21"/>
                <w:szCs w:val="21"/>
              </w:rPr>
              <w:t>中个体按概率</w:t>
            </w:r>
            <m:oMath>
              <m:sSub>
                <m:sSubPr>
                  <m:ctrlPr>
                    <w:rPr>
                      <w:rFonts w:ascii="Cambria Math" w:hAnsi="Cambria Math"/>
                      <w:sz w:val="21"/>
                      <w:szCs w:val="21"/>
                    </w:rPr>
                  </m:ctrlPr>
                </m:sSubPr>
                <m:e>
                  <m:r>
                    <m:rPr>
                      <m:sty m:val="p"/>
                    </m:rPr>
                    <w:rPr>
                      <w:rFonts w:hint="eastAsia" w:ascii="Cambria Math" w:hAnsi="Cambria Math"/>
                      <w:sz w:val="21"/>
                      <w:szCs w:val="21"/>
                    </w:rPr>
                    <m:t>p</m:t>
                  </m:r>
                  <m:ctrlPr>
                    <w:rPr>
                      <w:rFonts w:ascii="Cambria Math" w:hAnsi="Cambria Math"/>
                      <w:sz w:val="21"/>
                      <w:szCs w:val="21"/>
                    </w:rPr>
                  </m:ctrlPr>
                </m:e>
                <m:sub>
                  <m:r>
                    <m:rPr>
                      <m:sty m:val="p"/>
                    </m:rPr>
                    <w:rPr>
                      <w:rFonts w:ascii="Cambria Math" w:hAnsi="Cambria Math"/>
                      <w:sz w:val="21"/>
                      <w:szCs w:val="21"/>
                    </w:rPr>
                    <m:t>c</m:t>
                  </m:r>
                  <m:ctrlPr>
                    <w:rPr>
                      <w:rFonts w:ascii="Cambria Math" w:hAnsi="Cambria Math"/>
                      <w:sz w:val="21"/>
                      <w:szCs w:val="21"/>
                    </w:rPr>
                  </m:ctrlPr>
                </m:sub>
              </m:sSub>
            </m:oMath>
            <w:r>
              <w:rPr>
                <w:rFonts w:hint="eastAsia" w:hAnsi="Cambria Math"/>
                <w:sz w:val="21"/>
                <w:szCs w:val="21"/>
              </w:rPr>
              <w:t>执行句边界优先单点交叉，生成中间子代</w:t>
            </w:r>
            <m:oMath>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w:p>
        </w:tc>
        <w:tc>
          <w:tcPr>
            <w:tcW w:w="374" w:type="dxa"/>
            <w:tcBorders>
              <w:top w:val="nil"/>
              <w:left w:val="nil"/>
              <w:bottom w:val="nil"/>
              <w:right w:val="single" w:color="auto" w:sz="4" w:space="0"/>
            </w:tcBorders>
          </w:tcPr>
          <w:p w14:paraId="15E19CD3">
            <w:pPr>
              <w:ind w:firstLine="420"/>
              <w:rPr>
                <w:sz w:val="21"/>
                <w:szCs w:val="21"/>
              </w:rPr>
            </w:pPr>
          </w:p>
        </w:tc>
      </w:tr>
      <w:tr w14:paraId="21C2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33BAA63A">
            <w:pPr>
              <w:ind w:firstLine="0" w:firstLineChars="0"/>
              <w:jc w:val="center"/>
              <w:rPr>
                <w:sz w:val="21"/>
                <w:szCs w:val="21"/>
              </w:rPr>
            </w:pPr>
            <w:r>
              <w:rPr>
                <w:rFonts w:hint="eastAsia"/>
                <w:sz w:val="21"/>
                <w:szCs w:val="21"/>
              </w:rPr>
              <w:t>10</w:t>
            </w:r>
          </w:p>
        </w:tc>
        <w:tc>
          <w:tcPr>
            <w:tcW w:w="7700" w:type="dxa"/>
            <w:tcBorders>
              <w:top w:val="nil"/>
              <w:left w:val="nil"/>
              <w:bottom w:val="nil"/>
              <w:right w:val="nil"/>
            </w:tcBorders>
          </w:tcPr>
          <w:p w14:paraId="1A87C7D4">
            <w:pPr>
              <w:pStyle w:val="91"/>
              <w:rPr>
                <w:sz w:val="21"/>
                <w:szCs w:val="21"/>
              </w:rPr>
            </w:pPr>
            <w:r>
              <w:rPr>
                <w:rFonts w:hint="eastAsia"/>
                <w:sz w:val="21"/>
                <w:szCs w:val="21"/>
              </w:rPr>
              <w:t xml:space="preserve">    对</w:t>
            </w:r>
            <m:oMath>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w:r>
              <w:rPr>
                <w:rFonts w:hint="eastAsia"/>
                <w:sz w:val="21"/>
                <w:szCs w:val="21"/>
              </w:rPr>
              <w:t>中个体按变异概率</w:t>
            </w:r>
            <m:oMath>
              <m:sSub>
                <m:sSubPr>
                  <m:ctrlPr>
                    <w:rPr>
                      <w:rFonts w:ascii="Cambria Math" w:hAnsi="Cambria Math"/>
                      <w:sz w:val="21"/>
                      <w:szCs w:val="21"/>
                    </w:rPr>
                  </m:ctrlPr>
                </m:sSubPr>
                <m:e>
                  <m:r>
                    <m:rPr>
                      <m:sty m:val="p"/>
                    </m:rPr>
                    <w:rPr>
                      <w:rFonts w:hint="eastAsia" w:ascii="Cambria Math" w:hAnsi="Cambria Math"/>
                      <w:sz w:val="21"/>
                      <w:szCs w:val="21"/>
                    </w:rPr>
                    <m:t>p</m:t>
                  </m:r>
                  <m:ctrlPr>
                    <w:rPr>
                      <w:rFonts w:ascii="Cambria Math" w:hAnsi="Cambria Math"/>
                      <w:sz w:val="21"/>
                      <w:szCs w:val="21"/>
                    </w:rPr>
                  </m:ctrlPr>
                </m:e>
                <m:sub>
                  <m:r>
                    <m:rPr>
                      <m:sty m:val="p"/>
                    </m:rPr>
                    <w:rPr>
                      <w:rFonts w:hint="eastAsia" w:ascii="Cambria Math" w:hAnsi="Cambria Math"/>
                      <w:sz w:val="21"/>
                      <w:szCs w:val="21"/>
                    </w:rPr>
                    <m:t>m</m:t>
                  </m:r>
                  <m:ctrlPr>
                    <w:rPr>
                      <w:rFonts w:ascii="Cambria Math" w:hAnsi="Cambria Math"/>
                      <w:sz w:val="21"/>
                      <w:szCs w:val="21"/>
                    </w:rPr>
                  </m:ctrlPr>
                </m:sub>
              </m:sSub>
            </m:oMath>
            <w:r>
              <w:rPr>
                <w:rFonts w:hint="eastAsia" w:hAnsi="Cambria Math"/>
                <w:sz w:val="21"/>
                <w:szCs w:val="21"/>
              </w:rPr>
              <w:t>执行动态重要性引导变异，得到子代种群</w:t>
            </w:r>
            <m:oMath>
              <m:sSub>
                <m:sSubPr>
                  <m:ctrlPr>
                    <w:rPr>
                      <w:rFonts w:ascii="Cambria Math" w:hAnsi="Cambria Math"/>
                      <w:sz w:val="21"/>
                      <w:szCs w:val="21"/>
                    </w:rPr>
                  </m:ctrlPr>
                </m:sSubPr>
                <m:e>
                  <m:r>
                    <m:rPr>
                      <m:sty m:val="p"/>
                    </m:rPr>
                    <w:rPr>
                      <w:rFonts w:hint="eastAsia" w:ascii="Cambria Math" w:hAnsi="Cambria Math"/>
                      <w:sz w:val="21"/>
                      <w:szCs w:val="21"/>
                    </w:rPr>
                    <m:t>Q</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p>
        </w:tc>
        <w:tc>
          <w:tcPr>
            <w:tcW w:w="374" w:type="dxa"/>
            <w:tcBorders>
              <w:top w:val="nil"/>
              <w:left w:val="nil"/>
              <w:bottom w:val="nil"/>
              <w:right w:val="single" w:color="auto" w:sz="4" w:space="0"/>
            </w:tcBorders>
          </w:tcPr>
          <w:p w14:paraId="6609D1CD">
            <w:pPr>
              <w:ind w:firstLine="420"/>
              <w:rPr>
                <w:sz w:val="21"/>
                <w:szCs w:val="21"/>
              </w:rPr>
            </w:pPr>
          </w:p>
        </w:tc>
      </w:tr>
      <w:tr w14:paraId="61E6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405E11EC">
            <w:pPr>
              <w:ind w:firstLine="0" w:firstLineChars="0"/>
              <w:jc w:val="center"/>
              <w:rPr>
                <w:sz w:val="21"/>
                <w:szCs w:val="21"/>
              </w:rPr>
            </w:pPr>
            <w:r>
              <w:rPr>
                <w:rFonts w:hint="eastAsia"/>
                <w:sz w:val="21"/>
                <w:szCs w:val="21"/>
              </w:rPr>
              <w:t>11</w:t>
            </w:r>
          </w:p>
        </w:tc>
        <w:tc>
          <w:tcPr>
            <w:tcW w:w="7700" w:type="dxa"/>
            <w:tcBorders>
              <w:top w:val="nil"/>
              <w:left w:val="nil"/>
              <w:bottom w:val="nil"/>
              <w:right w:val="nil"/>
            </w:tcBorders>
          </w:tcPr>
          <w:p w14:paraId="73E253C9">
            <w:pPr>
              <w:pStyle w:val="91"/>
              <w:rPr>
                <w:i/>
                <w:sz w:val="21"/>
                <w:szCs w:val="21"/>
              </w:rPr>
            </w:pPr>
            <w:r>
              <w:rPr>
                <w:rFonts w:hint="eastAsia"/>
                <w:sz w:val="21"/>
                <w:szCs w:val="21"/>
              </w:rPr>
              <w:t xml:space="preserve">    重新评估</w:t>
            </w:r>
            <m:oMath>
              <m:sSub>
                <m:sSubPr>
                  <m:ctrlPr>
                    <w:rPr>
                      <w:rFonts w:ascii="Cambria Math" w:hAnsi="Cambria Math"/>
                      <w:sz w:val="21"/>
                      <w:szCs w:val="21"/>
                    </w:rPr>
                  </m:ctrlPr>
                </m:sSubPr>
                <m:e>
                  <m:r>
                    <m:rPr>
                      <m:sty m:val="p"/>
                    </m:rPr>
                    <w:rPr>
                      <w:rFonts w:hint="eastAsia" w:ascii="Cambria Math" w:hAnsi="Cambria Math"/>
                      <w:sz w:val="21"/>
                      <w:szCs w:val="21"/>
                    </w:rPr>
                    <m:t>Q</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hAnsi="Cambria Math"/>
                <w:sz w:val="21"/>
                <w:szCs w:val="21"/>
              </w:rPr>
              <w:t>中所有个体</w:t>
            </w:r>
            <m:oMath>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1</m:t>
                  </m:r>
                  <m:ctrlPr>
                    <w:rPr>
                      <w:rFonts w:ascii="Cambria Math" w:hAnsi="Cambria Math"/>
                      <w:sz w:val="21"/>
                      <w:szCs w:val="21"/>
                    </w:rPr>
                  </m:ctrlPr>
                </m:sub>
              </m:sSub>
              <m:d>
                <m:dPr>
                  <m:ctrlPr>
                    <w:rPr>
                      <w:rFonts w:ascii="Cambria Math" w:hAnsi="Cambria Math"/>
                      <w:i/>
                      <w:sz w:val="21"/>
                      <w:szCs w:val="21"/>
                    </w:rPr>
                  </m:ctrlPr>
                </m:dPr>
                <m:e>
                  <m:r>
                    <m:rPr/>
                    <w:rPr>
                      <w:rFonts w:ascii="Cambria Math" w:hAnsi="Cambria Math"/>
                      <w:sz w:val="21"/>
                      <w:szCs w:val="21"/>
                    </w:rPr>
                    <m:t>d</m:t>
                  </m:r>
                  <m:ctrlPr>
                    <w:rPr>
                      <w:rFonts w:ascii="Cambria Math" w:hAnsi="Cambria Math"/>
                      <w:i/>
                      <w:sz w:val="21"/>
                      <w:szCs w:val="21"/>
                    </w:rPr>
                  </m:ctrlPr>
                </m:e>
              </m:d>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w:rPr>
                      <w:rFonts w:ascii="Cambria Math" w:hAnsi="Cambria Math"/>
                      <w:sz w:val="21"/>
                      <w:szCs w:val="21"/>
                    </w:rPr>
                    <m:t>2</m:t>
                  </m:r>
                  <m:ctrlPr>
                    <w:rPr>
                      <w:rFonts w:ascii="Cambria Math" w:hAnsi="Cambria Math"/>
                      <w:sz w:val="21"/>
                      <w:szCs w:val="21"/>
                    </w:rPr>
                  </m:ctrlPr>
                </m:sub>
              </m:sSub>
              <m:d>
                <m:dPr>
                  <m:ctrlPr>
                    <w:rPr>
                      <w:rFonts w:ascii="Cambria Math" w:hAnsi="Cambria Math"/>
                      <w:i/>
                      <w:sz w:val="21"/>
                      <w:szCs w:val="21"/>
                    </w:rPr>
                  </m:ctrlPr>
                </m:dPr>
                <m:e>
                  <m:r>
                    <m:rPr/>
                    <w:rPr>
                      <w:rFonts w:ascii="Cambria Math" w:hAnsi="Cambria Math"/>
                      <w:sz w:val="21"/>
                      <w:szCs w:val="21"/>
                    </w:rPr>
                    <m:t>d</m:t>
                  </m:r>
                  <m:ctrlPr>
                    <w:rPr>
                      <w:rFonts w:ascii="Cambria Math" w:hAnsi="Cambria Math"/>
                      <w:i/>
                      <w:sz w:val="21"/>
                      <w:szCs w:val="21"/>
                    </w:rPr>
                  </m:ctrlPr>
                </m:e>
              </m:d>
            </m:oMath>
            <w:r>
              <w:rPr>
                <w:rFonts w:hint="eastAsia" w:hAnsi="Cambria Math"/>
                <w:sz w:val="21"/>
                <w:szCs w:val="21"/>
              </w:rPr>
              <w:t>与</w:t>
            </w:r>
            <m:oMath>
              <m:r>
                <m:rPr/>
                <w:rPr>
                  <w:rFonts w:ascii="Cambria Math" w:hAnsi="Cambria Math"/>
                  <w:sz w:val="21"/>
                  <w:szCs w:val="21"/>
                </w:rPr>
                <m:t>v(d)</m:t>
              </m:r>
            </m:oMath>
          </w:p>
        </w:tc>
        <w:tc>
          <w:tcPr>
            <w:tcW w:w="374" w:type="dxa"/>
            <w:tcBorders>
              <w:top w:val="nil"/>
              <w:left w:val="nil"/>
              <w:bottom w:val="nil"/>
              <w:right w:val="single" w:color="auto" w:sz="4" w:space="0"/>
            </w:tcBorders>
          </w:tcPr>
          <w:p w14:paraId="4CB54A0B">
            <w:pPr>
              <w:ind w:firstLine="420"/>
              <w:rPr>
                <w:sz w:val="21"/>
                <w:szCs w:val="21"/>
              </w:rPr>
            </w:pPr>
          </w:p>
        </w:tc>
      </w:tr>
      <w:tr w14:paraId="2E1ED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5E949CCB">
            <w:pPr>
              <w:ind w:firstLine="0" w:firstLineChars="0"/>
              <w:jc w:val="center"/>
              <w:rPr>
                <w:sz w:val="21"/>
                <w:szCs w:val="21"/>
              </w:rPr>
            </w:pPr>
            <w:r>
              <w:rPr>
                <w:rFonts w:hint="eastAsia"/>
                <w:sz w:val="21"/>
                <w:szCs w:val="21"/>
              </w:rPr>
              <w:t>12</w:t>
            </w:r>
          </w:p>
        </w:tc>
        <w:tc>
          <w:tcPr>
            <w:tcW w:w="7700" w:type="dxa"/>
            <w:tcBorders>
              <w:top w:val="nil"/>
              <w:left w:val="nil"/>
              <w:bottom w:val="nil"/>
              <w:right w:val="nil"/>
            </w:tcBorders>
          </w:tcPr>
          <w:p w14:paraId="064FF0D7">
            <w:pPr>
              <w:pStyle w:val="91"/>
              <w:rPr>
                <w:sz w:val="21"/>
                <w:szCs w:val="21"/>
              </w:rPr>
            </w:pPr>
            <w:r>
              <w:rPr>
                <w:rFonts w:hint="eastAsia"/>
                <w:sz w:val="21"/>
                <w:szCs w:val="21"/>
              </w:rPr>
              <w:t xml:space="preserve">    </w:t>
            </w:r>
            <m:oMath>
              <m:sSub>
                <m:sSubPr>
                  <m:ctrlPr>
                    <w:rPr>
                      <w:rFonts w:ascii="Cambria Math" w:hAnsi="Cambria Math"/>
                      <w:sz w:val="21"/>
                      <w:szCs w:val="21"/>
                    </w:rPr>
                  </m:ctrlPr>
                </m:sSubPr>
                <m:e>
                  <m:r>
                    <m:rPr/>
                    <w:rPr>
                      <w:rFonts w:ascii="Cambria Math" w:hAnsi="Cambria Math"/>
                      <w:sz w:val="21"/>
                      <w:szCs w:val="21"/>
                    </w:rPr>
                    <m:t>R</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Q</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w:p>
        </w:tc>
        <w:tc>
          <w:tcPr>
            <w:tcW w:w="374" w:type="dxa"/>
            <w:tcBorders>
              <w:top w:val="nil"/>
              <w:left w:val="nil"/>
              <w:bottom w:val="nil"/>
              <w:right w:val="single" w:color="auto" w:sz="4" w:space="0"/>
            </w:tcBorders>
          </w:tcPr>
          <w:p w14:paraId="43D71A75">
            <w:pPr>
              <w:ind w:firstLine="420"/>
              <w:rPr>
                <w:sz w:val="21"/>
                <w:szCs w:val="21"/>
              </w:rPr>
            </w:pPr>
          </w:p>
        </w:tc>
      </w:tr>
      <w:tr w14:paraId="7A0C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70210180">
            <w:pPr>
              <w:ind w:firstLine="0" w:firstLineChars="0"/>
              <w:jc w:val="center"/>
              <w:rPr>
                <w:sz w:val="21"/>
                <w:szCs w:val="21"/>
              </w:rPr>
            </w:pPr>
            <w:r>
              <w:rPr>
                <w:rFonts w:hint="eastAsia"/>
                <w:sz w:val="21"/>
                <w:szCs w:val="21"/>
              </w:rPr>
              <w:t>13</w:t>
            </w:r>
          </w:p>
        </w:tc>
        <w:tc>
          <w:tcPr>
            <w:tcW w:w="7700" w:type="dxa"/>
            <w:tcBorders>
              <w:top w:val="nil"/>
              <w:left w:val="nil"/>
              <w:bottom w:val="nil"/>
              <w:right w:val="nil"/>
            </w:tcBorders>
          </w:tcPr>
          <w:p w14:paraId="3D437A78">
            <w:pPr>
              <w:pStyle w:val="91"/>
              <w:rPr>
                <w:sz w:val="21"/>
                <w:szCs w:val="21"/>
              </w:rPr>
            </w:pPr>
            <w:r>
              <w:rPr>
                <w:rFonts w:hint="eastAsia"/>
                <w:sz w:val="21"/>
                <w:szCs w:val="21"/>
              </w:rPr>
              <w:t xml:space="preserve">    基于约束支配关系对</w:t>
            </w:r>
            <m:oMath>
              <m:sSub>
                <m:sSubPr>
                  <m:ctrlPr>
                    <w:rPr>
                      <w:rFonts w:ascii="Cambria Math" w:hAnsi="Cambria Math"/>
                      <w:sz w:val="21"/>
                      <w:szCs w:val="21"/>
                    </w:rPr>
                  </m:ctrlPr>
                </m:sSubPr>
                <m:e>
                  <m:r>
                    <m:rPr/>
                    <w:rPr>
                      <w:rFonts w:ascii="Cambria Math" w:hAnsi="Cambria Math"/>
                      <w:sz w:val="21"/>
                      <w:szCs w:val="21"/>
                    </w:rPr>
                    <m:t>R</m:t>
                  </m:r>
                  <m:ctrlPr>
                    <w:rPr>
                      <w:rFonts w:ascii="Cambria Math" w:hAnsi="Cambria Math"/>
                      <w:sz w:val="21"/>
                      <w:szCs w:val="21"/>
                    </w:rPr>
                  </m:ctrlPr>
                </m:e>
                <m:sub>
                  <m:r>
                    <m:rPr/>
                    <w:rPr>
                      <w:rFonts w:ascii="Cambria Math" w:hAnsi="Cambria Math"/>
                      <w:sz w:val="21"/>
                      <w:szCs w:val="21"/>
                    </w:rPr>
                    <m:t>t</m:t>
                  </m:r>
                  <m:ctrlPr>
                    <w:rPr>
                      <w:rFonts w:ascii="Cambria Math" w:hAnsi="Cambria Math"/>
                      <w:sz w:val="21"/>
                      <w:szCs w:val="21"/>
                    </w:rPr>
                  </m:ctrlPr>
                </m:sub>
              </m:sSub>
            </m:oMath>
            <w:r>
              <w:rPr>
                <w:rFonts w:hint="eastAsia" w:hAnsi="Cambria Math"/>
                <w:sz w:val="21"/>
                <w:szCs w:val="21"/>
              </w:rPr>
              <w:t>执行NSGA-</w:t>
            </w:r>
            <w:r>
              <w:rPr>
                <w:rFonts w:hint="eastAsia"/>
                <w:sz w:val="21"/>
                <w:szCs w:val="21"/>
              </w:rPr>
              <w:t>II环境选择，得到</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w:rPr>
                      <w:rFonts w:ascii="Cambria Math" w:hAnsi="Cambria Math"/>
                      <w:sz w:val="21"/>
                      <w:szCs w:val="21"/>
                    </w:rPr>
                    <m:t>t+1</m:t>
                  </m:r>
                  <m:ctrlPr>
                    <w:rPr>
                      <w:rFonts w:ascii="Cambria Math" w:hAnsi="Cambria Math"/>
                      <w:sz w:val="21"/>
                      <w:szCs w:val="21"/>
                    </w:rPr>
                  </m:ctrlPr>
                </m:sub>
              </m:sSub>
            </m:oMath>
          </w:p>
        </w:tc>
        <w:tc>
          <w:tcPr>
            <w:tcW w:w="374" w:type="dxa"/>
            <w:tcBorders>
              <w:top w:val="nil"/>
              <w:left w:val="nil"/>
              <w:bottom w:val="nil"/>
              <w:right w:val="single" w:color="auto" w:sz="4" w:space="0"/>
            </w:tcBorders>
          </w:tcPr>
          <w:p w14:paraId="60BE27E1">
            <w:pPr>
              <w:ind w:firstLine="420"/>
              <w:rPr>
                <w:sz w:val="21"/>
                <w:szCs w:val="21"/>
              </w:rPr>
            </w:pPr>
          </w:p>
        </w:tc>
      </w:tr>
      <w:tr w14:paraId="2F79F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5AB5F15E">
            <w:pPr>
              <w:ind w:firstLine="0" w:firstLineChars="0"/>
              <w:jc w:val="center"/>
              <w:rPr>
                <w:sz w:val="21"/>
                <w:szCs w:val="21"/>
              </w:rPr>
            </w:pPr>
            <w:r>
              <w:rPr>
                <w:rFonts w:hint="eastAsia"/>
                <w:sz w:val="21"/>
                <w:szCs w:val="21"/>
              </w:rPr>
              <w:t>14</w:t>
            </w:r>
          </w:p>
        </w:tc>
        <w:tc>
          <w:tcPr>
            <w:tcW w:w="7700" w:type="dxa"/>
            <w:tcBorders>
              <w:top w:val="nil"/>
              <w:left w:val="nil"/>
              <w:bottom w:val="nil"/>
              <w:right w:val="nil"/>
            </w:tcBorders>
          </w:tcPr>
          <w:p w14:paraId="10F99A10">
            <w:pPr>
              <w:pStyle w:val="91"/>
              <w:rPr>
                <w:sz w:val="21"/>
                <w:szCs w:val="21"/>
              </w:rPr>
            </w:pPr>
            <w:r>
              <w:rPr>
                <w:rFonts w:hint="eastAsia"/>
                <w:sz w:val="21"/>
                <w:szCs w:val="21"/>
              </w:rPr>
              <w:t xml:space="preserve">    以</w:t>
            </w:r>
            <m:oMath>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w:rPr>
                      <w:rFonts w:ascii="Cambria Math" w:hAnsi="Cambria Math"/>
                      <w:sz w:val="21"/>
                      <w:szCs w:val="21"/>
                    </w:rPr>
                    <m:t>t+1</m:t>
                  </m:r>
                  <m:ctrlPr>
                    <w:rPr>
                      <w:rFonts w:ascii="Cambria Math" w:hAnsi="Cambria Math"/>
                      <w:sz w:val="21"/>
                      <w:szCs w:val="21"/>
                    </w:rPr>
                  </m:ctrlPr>
                </m:sub>
              </m:sSub>
            </m:oMath>
            <w:r>
              <w:rPr>
                <w:rFonts w:hint="eastAsia"/>
                <w:sz w:val="21"/>
                <w:szCs w:val="21"/>
              </w:rPr>
              <w:t>的当前非支配个体更新精英档案</w:t>
            </w:r>
            <m:oMath>
              <m:sSub>
                <m:sSubPr>
                  <m:ctrlPr>
                    <w:rPr>
                      <w:rFonts w:ascii="Cambria Math" w:hAnsi="Cambria Math"/>
                      <w:sz w:val="21"/>
                      <w:szCs w:val="21"/>
                    </w:rPr>
                  </m:ctrlPr>
                </m:sSubPr>
                <m:e>
                  <m:r>
                    <m:rPr>
                      <m:sty m:val="p"/>
                    </m:rPr>
                    <w:rPr>
                      <w:rFonts w:hint="eastAsia" w:ascii="Cambria Math" w:hAnsi="Cambria Math"/>
                      <w:sz w:val="21"/>
                      <w:szCs w:val="21"/>
                    </w:rPr>
                    <m:t>A</m:t>
                  </m:r>
                  <m:ctrlPr>
                    <w:rPr>
                      <w:rFonts w:ascii="Cambria Math" w:hAnsi="Cambria Math"/>
                      <w:sz w:val="21"/>
                      <w:szCs w:val="21"/>
                    </w:rPr>
                  </m:ctrlPr>
                </m:e>
                <m:sub>
                  <m:r>
                    <m:rPr>
                      <m:sty m:val="p"/>
                    </m:rPr>
                    <w:rPr>
                      <w:rFonts w:ascii="Cambria Math" w:hAnsi="Cambria Math"/>
                      <w:sz w:val="21"/>
                      <w:szCs w:val="21"/>
                    </w:rPr>
                    <m:t>t+1</m:t>
                  </m:r>
                  <m:ctrlPr>
                    <w:rPr>
                      <w:rFonts w:ascii="Cambria Math" w:hAnsi="Cambria Math"/>
                      <w:sz w:val="21"/>
                      <w:szCs w:val="21"/>
                    </w:rPr>
                  </m:ctrlPr>
                </m:sub>
              </m:sSub>
            </m:oMath>
          </w:p>
        </w:tc>
        <w:tc>
          <w:tcPr>
            <w:tcW w:w="374" w:type="dxa"/>
            <w:tcBorders>
              <w:top w:val="nil"/>
              <w:left w:val="nil"/>
              <w:bottom w:val="nil"/>
              <w:right w:val="single" w:color="auto" w:sz="4" w:space="0"/>
            </w:tcBorders>
          </w:tcPr>
          <w:p w14:paraId="52981567">
            <w:pPr>
              <w:ind w:firstLine="420"/>
              <w:rPr>
                <w:sz w:val="21"/>
                <w:szCs w:val="21"/>
              </w:rPr>
            </w:pPr>
          </w:p>
        </w:tc>
      </w:tr>
      <w:tr w14:paraId="20A4E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74E2E336">
            <w:pPr>
              <w:ind w:firstLine="0" w:firstLineChars="0"/>
              <w:jc w:val="center"/>
              <w:rPr>
                <w:sz w:val="21"/>
                <w:szCs w:val="21"/>
              </w:rPr>
            </w:pPr>
            <w:r>
              <w:rPr>
                <w:rFonts w:hint="eastAsia"/>
                <w:sz w:val="21"/>
                <w:szCs w:val="21"/>
              </w:rPr>
              <w:t>15</w:t>
            </w:r>
          </w:p>
        </w:tc>
        <w:tc>
          <w:tcPr>
            <w:tcW w:w="7700" w:type="dxa"/>
            <w:tcBorders>
              <w:top w:val="nil"/>
              <w:left w:val="nil"/>
              <w:bottom w:val="nil"/>
              <w:right w:val="nil"/>
            </w:tcBorders>
          </w:tcPr>
          <w:p w14:paraId="3F338F6B">
            <w:pPr>
              <w:pStyle w:val="91"/>
              <w:rPr>
                <w:sz w:val="21"/>
                <w:szCs w:val="21"/>
              </w:rPr>
            </w:pPr>
            <w:r>
              <w:rPr>
                <w:rFonts w:hint="eastAsia"/>
                <w:b/>
                <w:bCs/>
                <w:sz w:val="21"/>
                <w:szCs w:val="21"/>
              </w:rPr>
              <w:t>end</w:t>
            </w:r>
          </w:p>
        </w:tc>
        <w:tc>
          <w:tcPr>
            <w:tcW w:w="374" w:type="dxa"/>
            <w:tcBorders>
              <w:top w:val="nil"/>
              <w:left w:val="nil"/>
              <w:bottom w:val="nil"/>
              <w:right w:val="single" w:color="auto" w:sz="4" w:space="0"/>
            </w:tcBorders>
          </w:tcPr>
          <w:p w14:paraId="3811DF01">
            <w:pPr>
              <w:ind w:firstLine="420"/>
              <w:rPr>
                <w:sz w:val="21"/>
                <w:szCs w:val="21"/>
              </w:rPr>
            </w:pPr>
          </w:p>
        </w:tc>
      </w:tr>
      <w:tr w14:paraId="680C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nil"/>
              <w:right w:val="nil"/>
            </w:tcBorders>
          </w:tcPr>
          <w:p w14:paraId="71820136">
            <w:pPr>
              <w:ind w:firstLine="0" w:firstLineChars="0"/>
              <w:jc w:val="center"/>
              <w:rPr>
                <w:sz w:val="21"/>
                <w:szCs w:val="21"/>
              </w:rPr>
            </w:pPr>
            <w:r>
              <w:rPr>
                <w:rFonts w:hint="eastAsia"/>
                <w:sz w:val="21"/>
                <w:szCs w:val="21"/>
              </w:rPr>
              <w:t>16</w:t>
            </w:r>
          </w:p>
        </w:tc>
        <w:tc>
          <w:tcPr>
            <w:tcW w:w="7700" w:type="dxa"/>
            <w:tcBorders>
              <w:top w:val="nil"/>
              <w:left w:val="nil"/>
              <w:bottom w:val="nil"/>
              <w:right w:val="nil"/>
            </w:tcBorders>
          </w:tcPr>
          <w:p w14:paraId="2375714D">
            <w:pPr>
              <w:pStyle w:val="91"/>
              <w:rPr>
                <w:sz w:val="21"/>
                <w:szCs w:val="21"/>
              </w:rPr>
            </w:pPr>
            <w:r>
              <w:rPr>
                <w:rFonts w:hint="eastAsia"/>
                <w:sz w:val="21"/>
                <w:szCs w:val="21"/>
              </w:rPr>
              <w:t>在最终档案上</w:t>
            </w:r>
            <m:oMath>
              <m:sSub>
                <m:sSubPr>
                  <m:ctrlPr>
                    <w:rPr>
                      <w:rFonts w:ascii="Cambria Math" w:hAnsi="Cambria Math"/>
                      <w:sz w:val="21"/>
                      <w:szCs w:val="21"/>
                    </w:rPr>
                  </m:ctrlPr>
                </m:sSubPr>
                <m:e>
                  <m:r>
                    <m:rPr>
                      <m:sty m:val="p"/>
                    </m:rPr>
                    <w:rPr>
                      <w:rFonts w:hint="eastAsia" w:ascii="Cambria Math" w:hAnsi="Cambria Math"/>
                      <w:sz w:val="21"/>
                      <w:szCs w:val="21"/>
                    </w:rPr>
                    <m:t>A</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sz w:val="21"/>
                <w:szCs w:val="21"/>
              </w:rPr>
              <w:t>执行代表解选择，得到当前主题相应对抗段落</w:t>
            </w:r>
            <m:oMath>
              <m:sSubSup>
                <m:sSubSupPr>
                  <m:ctrlPr>
                    <w:rPr>
                      <w:rFonts w:ascii="Cambria Math" w:hAnsi="Cambria Math"/>
                      <w:sz w:val="21"/>
                      <w:szCs w:val="21"/>
                    </w:rPr>
                  </m:ctrlPr>
                </m:sSubSup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up>
                  <m:r>
                    <m:rPr/>
                    <w:rPr>
                      <w:rFonts w:ascii="Cambria Math" w:hAnsi="Cambria Math"/>
                      <w:sz w:val="21"/>
                      <w:szCs w:val="21"/>
                    </w:rPr>
                    <m:t>∗</m:t>
                  </m:r>
                  <m:ctrlPr>
                    <w:rPr>
                      <w:rFonts w:ascii="Cambria Math" w:hAnsi="Cambria Math"/>
                      <w:sz w:val="21"/>
                      <w:szCs w:val="21"/>
                    </w:rPr>
                  </m:ctrlPr>
                </m:sup>
              </m:sSubSup>
              <m:r>
                <m:rPr/>
                <w:rPr>
                  <w:rFonts w:ascii="Cambria Math" w:hAnsi="Cambria Math"/>
                  <w:sz w:val="21"/>
                  <w:szCs w:val="21"/>
                </w:rPr>
                <m:t>←</m:t>
              </m:r>
            </m:oMath>
            <w:r>
              <w:rPr>
                <w:rFonts w:hint="eastAsia" w:hAnsi="Cambria Math"/>
                <w:sz w:val="21"/>
                <w:szCs w:val="21"/>
              </w:rPr>
              <w:t>SelectRep(</w:t>
            </w:r>
            <m:oMath>
              <m:sSub>
                <m:sSubPr>
                  <m:ctrlPr>
                    <w:rPr>
                      <w:rFonts w:ascii="Cambria Math" w:hAnsi="Cambria Math"/>
                      <w:sz w:val="21"/>
                      <w:szCs w:val="21"/>
                    </w:rPr>
                  </m:ctrlPr>
                </m:sSubPr>
                <m:e>
                  <m:r>
                    <m:rPr>
                      <m:sty m:val="p"/>
                    </m:rPr>
                    <w:rPr>
                      <w:rFonts w:hint="eastAsia" w:ascii="Cambria Math" w:hAnsi="Cambria Math"/>
                      <w:sz w:val="21"/>
                      <w:szCs w:val="21"/>
                    </w:rPr>
                    <m:t>A</m:t>
                  </m:r>
                  <m:ctrlPr>
                    <w:rPr>
                      <w:rFonts w:ascii="Cambria Math" w:hAnsi="Cambria Math"/>
                      <w:sz w:val="21"/>
                      <w:szCs w:val="21"/>
                    </w:rPr>
                  </m:ctrlPr>
                </m:e>
                <m:sub>
                  <m:r>
                    <m:rPr>
                      <m:sty m:val="p"/>
                    </m:rPr>
                    <w:rPr>
                      <w:rFonts w:hint="eastAsia" w:ascii="Cambria Math" w:hAnsi="Cambria Math"/>
                      <w:sz w:val="21"/>
                      <w:szCs w:val="21"/>
                    </w:rPr>
                    <m:t>T</m:t>
                  </m:r>
                  <m:ctrlPr>
                    <w:rPr>
                      <w:rFonts w:ascii="Cambria Math" w:hAnsi="Cambria Math"/>
                      <w:sz w:val="21"/>
                      <w:szCs w:val="21"/>
                    </w:rPr>
                  </m:ctrlPr>
                </m:sub>
              </m:sSub>
            </m:oMath>
            <w:r>
              <w:rPr>
                <w:rFonts w:hint="eastAsia" w:hAnsi="Cambria Math"/>
                <w:sz w:val="21"/>
                <w:szCs w:val="21"/>
              </w:rPr>
              <w:t>)</w:t>
            </w:r>
          </w:p>
        </w:tc>
        <w:tc>
          <w:tcPr>
            <w:tcW w:w="374" w:type="dxa"/>
            <w:tcBorders>
              <w:top w:val="nil"/>
              <w:left w:val="nil"/>
              <w:bottom w:val="nil"/>
              <w:right w:val="single" w:color="auto" w:sz="4" w:space="0"/>
            </w:tcBorders>
          </w:tcPr>
          <w:p w14:paraId="6B885409">
            <w:pPr>
              <w:ind w:firstLine="420"/>
              <w:rPr>
                <w:sz w:val="21"/>
                <w:szCs w:val="21"/>
              </w:rPr>
            </w:pPr>
          </w:p>
        </w:tc>
      </w:tr>
      <w:tr w14:paraId="0819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dxa"/>
            <w:tcBorders>
              <w:top w:val="nil"/>
              <w:left w:val="single" w:color="auto" w:sz="4" w:space="0"/>
              <w:bottom w:val="single" w:color="auto" w:sz="4" w:space="0"/>
              <w:right w:val="nil"/>
            </w:tcBorders>
          </w:tcPr>
          <w:p w14:paraId="50CFDA52">
            <w:pPr>
              <w:ind w:firstLine="0" w:firstLineChars="0"/>
              <w:jc w:val="center"/>
              <w:rPr>
                <w:sz w:val="21"/>
                <w:szCs w:val="21"/>
              </w:rPr>
            </w:pPr>
            <w:r>
              <w:rPr>
                <w:rFonts w:hint="eastAsia"/>
                <w:sz w:val="21"/>
                <w:szCs w:val="21"/>
              </w:rPr>
              <w:t>17</w:t>
            </w:r>
          </w:p>
        </w:tc>
        <w:tc>
          <w:tcPr>
            <w:tcW w:w="7700" w:type="dxa"/>
            <w:tcBorders>
              <w:top w:val="nil"/>
              <w:left w:val="nil"/>
              <w:bottom w:val="single" w:color="auto" w:sz="4" w:space="0"/>
              <w:right w:val="nil"/>
            </w:tcBorders>
          </w:tcPr>
          <w:p w14:paraId="50F7618A">
            <w:pPr>
              <w:pStyle w:val="91"/>
              <w:rPr>
                <w:sz w:val="21"/>
                <w:szCs w:val="21"/>
              </w:rPr>
            </w:pPr>
            <w:r>
              <w:rPr>
                <w:rFonts w:hint="eastAsia"/>
                <w:b/>
                <w:bCs/>
                <w:sz w:val="21"/>
                <w:szCs w:val="21"/>
              </w:rPr>
              <w:t>return</w:t>
            </w:r>
            <w:r>
              <w:rPr>
                <w:rFonts w:hint="eastAsia"/>
                <w:sz w:val="21"/>
                <w:szCs w:val="21"/>
              </w:rPr>
              <w:t xml:space="preserve"> </w:t>
            </w:r>
            <m:oMath>
              <m:sSubSup>
                <m:sSubSupPr>
                  <m:ctrlPr>
                    <w:rPr>
                      <w:rFonts w:ascii="Cambria Math" w:hAnsi="Cambria Math"/>
                      <w:sz w:val="21"/>
                      <w:szCs w:val="21"/>
                    </w:rPr>
                  </m:ctrlPr>
                </m:sSubSup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up>
                  <m:r>
                    <m:rPr/>
                    <w:rPr>
                      <w:rFonts w:ascii="Cambria Math" w:hAnsi="Cambria Math"/>
                      <w:sz w:val="21"/>
                      <w:szCs w:val="21"/>
                    </w:rPr>
                    <m:t>∗</m:t>
                  </m:r>
                  <m:ctrlPr>
                    <w:rPr>
                      <w:rFonts w:ascii="Cambria Math" w:hAnsi="Cambria Math"/>
                      <w:sz w:val="21"/>
                      <w:szCs w:val="21"/>
                    </w:rPr>
                  </m:ctrlPr>
                </m:sup>
              </m:sSubSup>
            </m:oMath>
          </w:p>
        </w:tc>
        <w:tc>
          <w:tcPr>
            <w:tcW w:w="374" w:type="dxa"/>
            <w:tcBorders>
              <w:top w:val="nil"/>
              <w:left w:val="nil"/>
              <w:bottom w:val="single" w:color="auto" w:sz="4" w:space="0"/>
              <w:right w:val="single" w:color="auto" w:sz="4" w:space="0"/>
            </w:tcBorders>
          </w:tcPr>
          <w:p w14:paraId="3D65DE99">
            <w:pPr>
              <w:ind w:firstLine="420"/>
              <w:rPr>
                <w:sz w:val="21"/>
                <w:szCs w:val="21"/>
              </w:rPr>
            </w:pPr>
          </w:p>
        </w:tc>
      </w:tr>
    </w:tbl>
    <w:p w14:paraId="52007FFC">
      <w:pPr>
        <w:pStyle w:val="4"/>
      </w:pPr>
      <w:bookmarkStart w:id="28" w:name="_Toc13898"/>
      <w:r>
        <w:rPr>
          <w:rFonts w:hint="eastAsia"/>
        </w:rPr>
        <w:t>4.2.2  种群初始化</w:t>
      </w:r>
      <w:bookmarkEnd w:id="28"/>
    </w:p>
    <w:p w14:paraId="783AC1CE">
      <w:pPr>
        <w:ind w:firstLine="480"/>
      </w:pPr>
      <w:r>
        <w:rPr>
          <w:rFonts w:hint="eastAsia"/>
        </w:rPr>
        <w:t>种群初始化是遗传算法的第一步，直接影响演化的收敛效率、候选解质量。确保初始个体在覆盖高影响力词元的同时保持多样性可以为后续对抗文档生成打下坚实基础。</w:t>
      </w:r>
    </w:p>
    <w:p w14:paraId="012A052F">
      <w:pPr>
        <w:ind w:firstLine="480"/>
      </w:pPr>
      <w:r>
        <w:rPr>
          <w:rFonts w:hint="eastAsia"/>
        </w:rPr>
        <w:t>攻击者无法访问目标RAG系统的真实知识库，因此围绕当前攻击主题j的扩展查询集合</w:t>
      </w:r>
      <m:oMath>
        <m:sSubSup>
          <m:sSubSupPr>
            <m:ctrlPr>
              <w:rPr>
                <w:rFonts w:ascii="Cambria Math" w:hAnsi="Cambria Math"/>
                <w:sz w:val="21"/>
                <w:szCs w:val="21"/>
              </w:rPr>
            </m:ctrlPr>
          </m:sSubSupPr>
          <m:e>
            <m:r>
              <m:rPr/>
              <w:rPr>
                <w:rFonts w:ascii="Cambria Math" w:hAnsi="Cambria Math"/>
                <w:sz w:val="21"/>
                <w:szCs w:val="21"/>
              </w:rPr>
              <m:t>Q</m:t>
            </m:r>
            <m:ctrlPr>
              <w:rPr>
                <w:rFonts w:ascii="Cambria Math" w:hAnsi="Cambria Math"/>
                <w:sz w:val="21"/>
                <w:szCs w:val="21"/>
              </w:rPr>
            </m:ctrlPr>
          </m:e>
          <m:sub>
            <m:r>
              <m:rPr/>
              <w:rPr>
                <w:rFonts w:ascii="Cambria Math" w:hAnsi="Cambria Math"/>
                <w:sz w:val="21"/>
                <w:szCs w:val="21"/>
              </w:rPr>
              <m:t>exp</m:t>
            </m:r>
            <m:ctrlPr>
              <w:rPr>
                <w:rFonts w:ascii="Cambria Math" w:hAnsi="Cambria Math"/>
                <w:sz w:val="21"/>
                <w:szCs w:val="21"/>
              </w:rPr>
            </m:ctrlPr>
          </m:sub>
          <m:sup>
            <m:r>
              <m:rPr/>
              <w:rPr>
                <w:rFonts w:ascii="Cambria Math" w:hAnsi="Cambria Math"/>
                <w:sz w:val="21"/>
                <w:szCs w:val="21"/>
              </w:rPr>
              <m:t>(j)</m:t>
            </m:r>
            <m:ctrlPr>
              <w:rPr>
                <w:rFonts w:ascii="Cambria Math" w:hAnsi="Cambria Math"/>
                <w:sz w:val="21"/>
                <w:szCs w:val="21"/>
              </w:rPr>
            </m:ctrlPr>
          </m:sup>
        </m:sSubSup>
      </m:oMath>
      <w:r>
        <w:rPr>
          <w:rFonts w:hint="eastAsia"/>
        </w:rPr>
        <w:t>，攻击者从网络公开来源收集领域相关的规程、案例、百科条目以及技术文档等文本，构建辅助语料库</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aux</m:t>
            </m:r>
            <m:ctrlPr>
              <w:rPr>
                <w:rFonts w:ascii="Cambria Math" w:hAnsi="Cambria Math"/>
              </w:rPr>
            </m:ctrlPr>
          </m:sub>
        </m:sSub>
      </m:oMath>
      <w:r>
        <w:rPr>
          <w:rFonts w:hint="eastAsia"/>
        </w:rPr>
        <w:t>。</w:t>
      </w:r>
    </w:p>
    <w:p w14:paraId="44158D9A">
      <w:pPr>
        <w:ind w:firstLine="480"/>
      </w:pPr>
      <w:r>
        <w:rPr>
          <w:rFonts w:hint="eastAsia"/>
        </w:rPr>
        <w:t>在RAG检索召回文档过程中，不同的词元对文档与查询相似程度的贡献是不一致的[]，因此需要进一步对</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aux</m:t>
            </m:r>
            <m:ctrlPr>
              <w:rPr>
                <w:rFonts w:ascii="Cambria Math" w:hAnsi="Cambria Math"/>
              </w:rPr>
            </m:ctrlPr>
          </m:sub>
        </m:sSub>
      </m:oMath>
      <w:r>
        <w:rPr>
          <w:rFonts w:hint="eastAsia"/>
        </w:rPr>
        <w:t>中文档的语句进行重要性计算，以引导遗传算法朝向更有效的对抗段落。本文首先将</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aux</m:t>
            </m:r>
            <m:ctrlPr>
              <w:rPr>
                <w:rFonts w:ascii="Cambria Math" w:hAnsi="Cambria Math"/>
              </w:rPr>
            </m:ctrlPr>
          </m:sub>
        </m:sSub>
      </m:oMath>
      <w:r>
        <w:rPr>
          <w:rFonts w:hint="eastAsia"/>
        </w:rPr>
        <w:t>中文本按句子切分：</w:t>
      </w:r>
    </w:p>
    <w:p w14:paraId="09E62943">
      <w:pPr>
        <w:ind w:firstLine="0" w:firstLineChars="0"/>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oMath>
      </m:oMathPara>
    </w:p>
    <w:p w14:paraId="5DC9A5E3">
      <w:pPr>
        <w:ind w:firstLine="0" w:firstLineChars="0"/>
      </w:pPr>
      <w:r>
        <w:rPr>
          <w:rFonts w:hint="eastAsia"/>
        </w:rPr>
        <w:t>随后，本文采用TF-IDF值（Term Frequency-Inverse Document Frequency）作为语句的重要性度量，通过该方法可以量化每个词元在文档中的相对重要性。语句得分越高，表明其包含更多能够表征当前主题的高影响力词元与术语。</w:t>
      </w:r>
    </w:p>
    <w:p w14:paraId="1BEDD84C">
      <w:pPr>
        <w:ind w:firstLine="480" w:firstLineChars="0"/>
      </w:pPr>
      <w:r>
        <w:rPr>
          <w:rFonts w:hint="eastAsia"/>
        </w:rPr>
        <w:t>本文算法采用基于重要性分层的加权采样策略，即将语句按分数高低等分为高、中、低三个重要性层，记为</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。分层后采用基于重要性分层的随机采样策略构造初始个体。采样比例设为</w:t>
      </w:r>
      <m:oMath>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)=(0.5,0.3,0.2)</m:t>
        </m:r>
      </m:oMath>
      <w:r>
        <w:rPr>
          <w:rFonts w:hint="eastAsia"/>
        </w:rPr>
        <w:t>，分别从</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中随机采样候选语句，并将采样得到的语句依次拼接形成初始候选文档。此方法所得初始个体虽然在局部仍存在堆砌现象或不通顺之处，但高TF-IDF的语句在该层内被更多的选中，利于覆盖当前主题下的重要术语、关键条件与业务表达，且在形式上为多个语句组成的连续文本，利于后续优化。</w:t>
      </w:r>
    </w:p>
    <w:p w14:paraId="0E8FA57E">
      <w:pPr>
        <w:pStyle w:val="4"/>
      </w:pPr>
      <w:bookmarkStart w:id="29" w:name="_Toc22331"/>
      <w:r>
        <w:rPr>
          <w:rFonts w:hint="eastAsia"/>
        </w:rPr>
        <w:t>4.2.3  交叉算子设计</w:t>
      </w:r>
      <w:bookmarkEnd w:id="29"/>
    </w:p>
    <w:p w14:paraId="37CC89FF">
      <w:pPr>
        <w:ind w:firstLine="480"/>
      </w:pPr>
      <w:r>
        <w:rPr>
          <w:rFonts w:hint="eastAsia"/>
        </w:rPr>
        <w:t>交叉操作旨在组合父代个体的优良基因，探索新的解空间。BOGA-RAGP采用改进的单点交叉策略，以适应词元序列编码的结构特性。具体而言，交叉优先在句子边界处切分，以保留连续片段的语义结构，避免破坏子代的流畅性。切点选择策略为：优先识别标点符号作为边界，若无则随机选择。设父代为</w:t>
      </w:r>
      <m:oMath>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和</w:t>
      </w:r>
      <m:oMath>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，长度均为</w:t>
      </w:r>
      <m:oMath>
        <m:r>
          <m:rPr/>
          <w:rPr>
            <w:rFonts w:hint="eastAsia" w:ascii="Cambria Math" w:hAnsi="Cambria Math"/>
          </w:rPr>
          <m:t>L</m:t>
        </m:r>
      </m:oMath>
      <w:r>
        <w:rPr>
          <w:rFonts w:hint="eastAsia"/>
        </w:rPr>
        <w:t>，随机切点为</w:t>
      </w:r>
      <m:oMath>
        <m:r>
          <m:rPr/>
          <w:rPr>
            <w:rFonts w:ascii="Cambria Math" w:hAnsi="Cambria Math"/>
          </w:rPr>
          <m:t>k∈[1,L−1]</m:t>
        </m:r>
      </m:oMath>
      <w:r>
        <w:rPr>
          <w:rFonts w:hint="eastAsia"/>
        </w:rPr>
        <w:t>，则子代为：</w:t>
      </w:r>
    </w:p>
    <w:p w14:paraId="3CD6D075">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up>
                  <m:r>
                    <m:rPr>
                      <m:sty m:val="p"/>
                    </m:rPr>
                    <w:rPr>
                      <w:rFonts w:ascii="Cambria Math" w:hAnsi="Cambria Math"/>
                    </w:rPr>
                    <m:t>1:k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up>
                  <m:r>
                    <m:rPr>
                      <m:sty m:val="p"/>
                    </m:rPr>
                    <w:rPr>
                      <w:rFonts w:ascii="Cambria Math" w:hAnsi="Cambria Math"/>
                    </w:rPr>
                    <m:t>k+1:L</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up>
                  <m:r>
                    <m:rPr>
                      <m:sty m:val="p"/>
                    </m:rPr>
                    <w:rPr>
                      <w:rFonts w:ascii="Cambria Math" w:hAnsi="Cambria Math"/>
                    </w:rPr>
                    <m:t>1:k</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up>
                  <m:r>
                    <m:rPr>
                      <m:sty m:val="p"/>
                    </m:rPr>
                    <w:rPr>
                      <w:rFonts w:ascii="Cambria Math" w:hAnsi="Cambria Math"/>
                    </w:rPr>
                    <m:t>k+1:L</m:t>
                  </m:r>
                  <m:ctrlPr>
                    <w:rPr>
                      <w:rFonts w:ascii="Cambria Math" w:hAnsi="Cambria Math"/>
                    </w:rPr>
                  </m:ctrlPr>
                </m:sup>
              </m:sSubSup>
              <m:r>
                <m:rPr>
                  <m:sty m:val="p"/>
                </m:rPr>
                <w:rPr>
                  <w:rFonts w:ascii="Cambria Math" w:hAnsi="Cambria Math"/>
                </w:rPr>
                <m:t>]#</m:t>
              </m:r>
              <m:r>
                <m:rPr>
                  <m:sty m:val="p"/>
                </m:rPr>
                <w:rPr>
                  <w:rFonts w:hint="eastAsia" w:ascii="Cambria Math" w:hAnsi="Cambria Math"/>
                </w:rPr>
                <m:t>（</m:t>
              </m:r>
              <m:r>
                <m:rPr>
                  <m:sty m:val="p"/>
                </m:rPr>
                <w:rPr>
                  <w:rFonts w:ascii="Cambria Math" w:hAnsi="Cambria Math"/>
                </w:rPr>
                <m:t>4−6</m:t>
              </m:r>
              <m:r>
                <m:rPr>
                  <m:sty m:val="p"/>
                </m:rPr>
                <w:rPr>
                  <w:rFonts w:hint="eastAsia" w:ascii="Cambria Math" w:hAnsi="Cambria Math"/>
                </w:rPr>
                <m:t>）</m:t>
              </m:r>
              <m:ctrlPr>
                <w:rPr>
                  <w:rFonts w:hint="eastAsia" w:ascii="Cambria Math" w:hAnsi="Cambria Math"/>
                </w:rPr>
              </m:ctrlPr>
            </m:e>
          </m:eqArr>
        </m:oMath>
      </m:oMathPara>
    </w:p>
    <w:p w14:paraId="1807E3A9">
      <w:pPr>
        <w:ind w:firstLine="0" w:firstLineChars="0"/>
      </w:pPr>
      <w:r>
        <w:rPr>
          <w:rFonts w:hint="eastAsia"/>
        </w:rPr>
        <w:t>后处理包括去除连续重复token和语法错误检查，以降低子代困惑度并改善文本流畅性。交叉概率设为0.9。该策略的优势在于保留局部语义结构，相比均匀交叉更稳定地优化</w:t>
      </w:r>
      <m:oMath>
        <m:sSub>
          <m:sSubPr>
            <m:ctrlPr>
              <w:rPr>
                <w:rFonts w:ascii="Cambria Math" w:hAnsi="Cambria Math"/>
                <w:i/>
              </w:rPr>
            </m:ctrlPr>
          </m:sSubPr>
          <m:e>
            <m:r>
              <m:rPr/>
              <w:rPr>
                <w:rFonts w:hint="eastAsia" w:ascii="Cambria Math" w:hAnsi="Cambria Math"/>
              </w:rPr>
              <m:t>f</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w:t>
      </w:r>
    </w:p>
    <w:p w14:paraId="01B584FE">
      <w:pPr>
        <w:pStyle w:val="4"/>
      </w:pPr>
      <w:bookmarkStart w:id="30" w:name="_Toc9435"/>
      <w:r>
        <w:rPr>
          <w:rFonts w:hint="eastAsia"/>
        </w:rPr>
        <w:t>4.2.4  动态重要性引导变异</w:t>
      </w:r>
      <w:bookmarkEnd w:id="30"/>
    </w:p>
    <w:p w14:paraId="2BBBB966">
      <w:pPr>
        <w:ind w:firstLine="480"/>
      </w:pPr>
      <w:r>
        <w:rPr>
          <w:rFonts w:hint="eastAsia"/>
        </w:rPr>
        <w:t>变异操作引入随机性，防止早熟收敛。BOGA-RAGP根据语句重要性分数动态调整变异概率：低重要性语句更易被替换，高重要性语句优先保留。同时引入自适应温度参数</w:t>
      </w:r>
      <m:oMath>
        <m:r>
          <m:rPr/>
          <w:rPr>
            <w:rFonts w:ascii="Cambria Math" w:hAnsi="Cambria Math"/>
          </w:rPr>
          <m:t>τ(t)</m:t>
        </m:r>
      </m:oMath>
      <w:r>
        <w:rPr>
          <w:rFonts w:hint="eastAsia"/>
        </w:rPr>
        <w:t>，以平衡前期探索与后期收敛。对触发变异的个体中每个语句</w:t>
      </w:r>
      <m:oMath>
        <m:sSub>
          <m:sSubPr>
            <m:ctrlPr>
              <w:rPr>
                <w:rFonts w:ascii="Cambria Math" w:hAnsi="Cambria Math"/>
              </w:rPr>
            </m:ctrlPr>
          </m:sSubPr>
          <m:e>
            <m:r>
              <m:rPr>
                <m:sty m:val="p"/>
              </m:rPr>
              <w:rPr>
                <w:rFonts w:hint="eastAsia"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，其替换概率为：</w:t>
      </w:r>
    </w:p>
    <w:p w14:paraId="5BC44F94">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replace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)=min</m:t>
              </m:r>
              <m:d>
                <m:dPr>
                  <m:ctrlPr>
                    <w:rPr>
                      <w:rFonts w:ascii="Cambria Math" w:hAnsi="Cambria Math"/>
                    </w:rPr>
                  </m:ctrlPr>
                </m:dPr>
                <m:e>
                  <m:f>
                    <m:fPr>
                      <m:ctrlPr>
                        <w:rPr>
                          <w:rFonts w:ascii="Cambria Math" w:hAnsi="Cambria Math"/>
                        </w:rPr>
                      </m:ctrlPr>
                    </m:fPr>
                    <m:num>
                      <m:r>
                        <m:rPr>
                          <m:sty m:val="p"/>
                        </m:rPr>
                        <w:rPr>
                          <w:rFonts w:ascii="Cambria Math" w:hAnsi="Cambria Math"/>
                        </w:rPr>
                        <m:t>(C−Score(</m:t>
                      </m:r>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))⋅τ(t)</m:t>
                      </m:r>
                      <m:ctrlPr>
                        <w:rPr>
                          <w:rFonts w:ascii="Cambria Math" w:hAnsi="Cambria Math"/>
                        </w:rPr>
                      </m:ctrlPr>
                    </m:num>
                    <m:den>
                      <m:r>
                        <m:rPr>
                          <m:sty m:val="p"/>
                        </m:rPr>
                        <w:rPr>
                          <w:rFonts w:ascii="Cambria Math" w:hAnsi="Cambria Math"/>
                        </w:rPr>
                        <m:t>Z</m:t>
                      </m:r>
                      <m:ctrlPr>
                        <w:rPr>
                          <w:rFonts w:ascii="Cambria Math" w:hAnsi="Cambria Math"/>
                        </w:rPr>
                      </m:ctrlPr>
                    </m:den>
                  </m:f>
                  <m:r>
                    <m:rPr>
                      <m:sty m:val="p"/>
                    </m:rPr>
                    <w:rPr>
                      <w:rFonts w:ascii="Cambria Math" w:hAnsi="Cambria Math"/>
                    </w:rPr>
                    <m:t>+γ,1</m:t>
                  </m:r>
                  <m:ctrlPr>
                    <w:rPr>
                      <w:rFonts w:ascii="Cambria Math" w:hAnsi="Cambria Math"/>
                    </w:rPr>
                  </m:ctrlPr>
                </m:e>
              </m:d>
              <m:r>
                <m:rPr>
                  <m:sty m:val="p"/>
                </m:rPr>
                <w:rPr>
                  <w:rFonts w:ascii="Cambria Math" w:hAnsi="Cambria Math"/>
                </w:rPr>
                <m:t>#</m:t>
              </m:r>
              <m:r>
                <m:rPr>
                  <m:sty m:val="p"/>
                </m:rPr>
                <w:rPr>
                  <w:rFonts w:hint="eastAsia" w:ascii="Cambria Math" w:hAnsi="Cambria Math"/>
                </w:rPr>
                <m:t>（</m:t>
              </m:r>
              <m:r>
                <m:rPr>
                  <m:sty m:val="p"/>
                </m:rPr>
                <w:rPr>
                  <w:rFonts w:ascii="Cambria Math" w:hAnsi="Cambria Math"/>
                </w:rPr>
                <m:t>4−7</m:t>
              </m:r>
              <m:r>
                <m:rPr>
                  <m:sty m:val="p"/>
                </m:rPr>
                <w:rPr>
                  <w:rFonts w:hint="eastAsia" w:ascii="Cambria Math" w:hAnsi="Cambria Math"/>
                </w:rPr>
                <m:t>）</m:t>
              </m:r>
              <m:ctrlPr>
                <w:rPr>
                  <w:rFonts w:hint="eastAsia" w:ascii="Cambria Math" w:hAnsi="Cambria Math"/>
                </w:rPr>
              </m:ctrlPr>
            </m:e>
          </m:eqArr>
        </m:oMath>
      </m:oMathPara>
    </w:p>
    <w:p w14:paraId="152DC339">
      <w:pPr>
        <w:ind w:firstLine="0" w:firstLineChars="0"/>
      </w:pPr>
      <w:r>
        <w:rPr>
          <w:rFonts w:hint="eastAsia"/>
        </w:rPr>
        <w:t>其中</w:t>
      </w:r>
      <m:oMath>
        <m:r>
          <m:rPr/>
          <w:rPr>
            <w:rFonts w:ascii="Cambria Math" w:hAnsi="Cambria Math"/>
          </w:rPr>
          <m:t>C</m:t>
        </m:r>
      </m:oMath>
      <w:r>
        <w:rPr>
          <w:rFonts w:hint="eastAsia"/>
        </w:rPr>
        <w:t>为最大TF-IDF分数，</w:t>
      </w:r>
      <m:oMath>
        <m:r>
          <m:rPr>
            <m:sty m:val="p"/>
          </m:rPr>
          <w:rPr>
            <w:rFonts w:ascii="Cambria Math" w:hAnsi="Cambria Math"/>
          </w:rPr>
          <m:t>Score</m:t>
        </m:r>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rPr>
        <w:t>为当前语句分数，</w:t>
      </w:r>
      <m:oMath>
        <m:r>
          <m:rPr/>
          <w:rPr>
            <w:rFonts w:ascii="Cambria Math" w:hAnsi="Cambria Math"/>
          </w:rPr>
          <m:t>Z</m:t>
        </m:r>
      </m:oMath>
      <w:r>
        <w:rPr>
          <w:rFonts w:hint="eastAsia"/>
        </w:rPr>
        <w:t>为归一化因子，</w:t>
      </w:r>
      <m:oMath>
        <m:r>
          <m:rPr/>
          <w:rPr>
            <w:rFonts w:ascii="Cambria Math" w:hAnsi="Cambria Math"/>
          </w:rPr>
          <m:t>γ</m:t>
        </m:r>
      </m:oMath>
      <w:r>
        <w:rPr>
          <w:rFonts w:hint="eastAsia"/>
        </w:rPr>
        <w:t>为基础变异率。温度调整方式为：</w:t>
      </w:r>
    </w:p>
    <w:p w14:paraId="17A72F1C">
      <w:pPr>
        <w:pStyle w:val="92"/>
        <w:ind w:firstLine="480"/>
      </w:pPr>
      <m:oMathPara>
        <m:oMath>
          <m:eqArr>
            <m:eqArrPr>
              <m:maxDist m:val="1"/>
              <m:ctrlPr>
                <w:rPr>
                  <w:rFonts w:hint="eastAsia" w:ascii="Cambria Math" w:hAnsi="Cambria Math"/>
                </w:rPr>
              </m:ctrlPr>
            </m:eqArrPr>
            <m:e>
              <m:r>
                <m:rPr>
                  <m:sty m:val="p"/>
                </m:rPr>
                <w:rPr>
                  <w:rFonts w:ascii="Cambria Math" w:hAnsi="Cambria Math"/>
                </w:rPr>
                <m:t>τ(t)=</m:t>
              </m:r>
              <m:sSub>
                <m:sSubPr>
                  <m:ctrlPr>
                    <w:rPr>
                      <w:rFonts w:ascii="Cambria Math" w:hAnsi="Cambria Math"/>
                    </w:rPr>
                  </m:ctrlPr>
                </m:sSubPr>
                <m:e>
                  <m:r>
                    <m:rPr>
                      <m:sty m:val="p"/>
                    </m:rPr>
                    <w:rPr>
                      <w:rFonts w:ascii="Cambria Math" w:hAnsi="Cambria Math"/>
                    </w:rPr>
                    <m:t>τ</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(1−</m:t>
              </m:r>
              <m:f>
                <m:fPr>
                  <m:ctrlPr>
                    <w:rPr>
                      <w:rFonts w:ascii="Cambria Math" w:hAnsi="Cambria Math"/>
                    </w:rPr>
                  </m:ctrlPr>
                </m:fPr>
                <m:num>
                  <m:r>
                    <m:rPr>
                      <m:sty m:val="p"/>
                    </m:rPr>
                    <w:rPr>
                      <w:rFonts w:ascii="Cambria Math" w:hAnsi="Cambria Math"/>
                    </w:rPr>
                    <m:t>t</m:t>
                  </m:r>
                  <m:ctrlPr>
                    <w:rPr>
                      <w:rFonts w:ascii="Cambria Math" w:hAnsi="Cambria Math"/>
                    </w:rPr>
                  </m:ctrlPr>
                </m:num>
                <m:den>
                  <m:r>
                    <m:rPr>
                      <m:sty m:val="p"/>
                    </m:rPr>
                    <w:rPr>
                      <w:rFonts w:ascii="Cambria Math" w:hAnsi="Cambria Math"/>
                    </w:rPr>
                    <m:t>T</m:t>
                  </m:r>
                  <m:ctrlPr>
                    <w:rPr>
                      <w:rFonts w:ascii="Cambria Math" w:hAnsi="Cambria Math"/>
                    </w:rPr>
                  </m:ctrlPr>
                </m:den>
              </m:f>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α</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τ</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4−8</m:t>
              </m:r>
              <m:r>
                <m:rPr>
                  <m:sty m:val="p"/>
                </m:rPr>
                <w:rPr>
                  <w:rFonts w:hint="eastAsia" w:ascii="Cambria Math" w:hAnsi="Cambria Math"/>
                </w:rPr>
                <m:t>）</m:t>
              </m:r>
              <m:ctrlPr>
                <w:rPr>
                  <w:rFonts w:hint="eastAsia" w:ascii="Cambria Math" w:hAnsi="Cambria Math"/>
                </w:rPr>
              </m:ctrlPr>
            </m:e>
          </m:eqArr>
        </m:oMath>
      </m:oMathPara>
    </w:p>
    <w:p w14:paraId="03C71101">
      <w:pPr>
        <w:ind w:firstLine="0" w:firstLineChars="0"/>
      </w:pPr>
      <w:r>
        <w:rPr>
          <w:rFonts w:hint="eastAsia"/>
        </w:rPr>
        <w:t>参数设为</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max</m:t>
            </m:r>
            <m:ctrlPr>
              <w:rPr>
                <w:rFonts w:ascii="Cambria Math" w:hAnsi="Cambria Math"/>
              </w:rPr>
            </m:ctrlPr>
          </m:sub>
        </m:sSub>
        <m:r>
          <m:rPr>
            <m:sty m:val="p"/>
          </m:rPr>
          <w:rPr>
            <w:rFonts w:hint="eastAsia" w:ascii="Cambria Math" w:hAnsi="Cambria Math"/>
          </w:rPr>
          <m:t>=1.0</m:t>
        </m:r>
      </m:oMath>
      <w:r>
        <w:rPr>
          <w:rFonts w:hint="eastAsia"/>
        </w:rPr>
        <w:t>、</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min</m:t>
            </m:r>
            <m:ctrlPr>
              <w:rPr>
                <w:rFonts w:ascii="Cambria Math" w:hAnsi="Cambria Math"/>
              </w:rPr>
            </m:ctrlPr>
          </m:sub>
        </m:sSub>
        <m:r>
          <m:rPr>
            <m:sty m:val="p"/>
          </m:rPr>
          <w:rPr>
            <w:rFonts w:hint="eastAsia" w:ascii="Cambria Math" w:hAnsi="Cambria Math"/>
          </w:rPr>
          <m:t>=0.3</m:t>
        </m:r>
      </m:oMath>
      <w:r>
        <w:rPr>
          <w:rFonts w:hint="eastAsia"/>
        </w:rPr>
        <w:t>、</w:t>
      </w:r>
      <m:oMath>
        <m:r>
          <m:rPr/>
          <w:rPr>
            <w:rFonts w:ascii="Cambria Math" w:hAnsi="Cambria Math"/>
          </w:rPr>
          <m:t>α=0.5</m:t>
        </m:r>
      </m:oMath>
      <w:r>
        <w:rPr>
          <w:rFonts w:hint="eastAsia"/>
        </w:rPr>
        <w:t>。替换方向从高分语句集合中加权采样，并优先选择上下文相关token，以保持语义连贯性。个体级变异概率为0.3。该机制确保前期高温度促进探索，后期低温度精细优化。</w:t>
      </w:r>
    </w:p>
    <w:p w14:paraId="06E3FFF3">
      <w:pPr>
        <w:pStyle w:val="4"/>
      </w:pPr>
      <w:bookmarkStart w:id="31" w:name="_Toc28046"/>
      <w:r>
        <w:rPr>
          <w:rFonts w:hint="eastAsia"/>
        </w:rPr>
        <w:t>4.2.5  种群选择与更新</w:t>
      </w:r>
      <w:bookmarkEnd w:id="31"/>
    </w:p>
    <w:p w14:paraId="73DEC3AC">
      <w:pPr>
        <w:ind w:firstLine="480" w:firstLineChars="0"/>
      </w:pPr>
      <w:r>
        <w:rPr>
          <w:rFonts w:hint="eastAsia"/>
        </w:rPr>
        <w:t>种群选择与更新是NSGA-II保证解集收敛性与多样性的核心步骤。本文沿用标准NSGA-II的双目标选择机制，并将文档级困惑度作为独立约束纳入环境选择过程。</w:t>
      </w:r>
    </w:p>
    <w:p w14:paraId="440598BE">
      <w:pPr>
        <w:ind w:firstLine="480" w:firstLineChars="0"/>
      </w:pPr>
      <w:r>
        <w:rPr>
          <w:rFonts w:hint="eastAsia"/>
        </w:rPr>
        <w:t>对于任意两个个体</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a</m:t>
            </m:r>
            <m:ctrlPr>
              <w:rPr>
                <w:rFonts w:ascii="Cambria Math" w:hAnsi="Cambria Math"/>
              </w:rPr>
            </m:ctrlPr>
          </m:sub>
        </m:sSub>
      </m:oMath>
      <w:r>
        <w:rPr>
          <w:rFonts w:hint="eastAsia"/>
        </w:rPr>
        <w:t>和</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b</m:t>
            </m:r>
            <m:ctrlPr>
              <w:rPr>
                <w:rFonts w:ascii="Cambria Math" w:hAnsi="Cambria Math"/>
              </w:rPr>
            </m:ctrlPr>
          </m:sub>
        </m:sSub>
      </m:oMath>
      <w:r>
        <w:rPr>
          <w:rFonts w:hint="eastAsia"/>
        </w:rPr>
        <w:t>，若</w:t>
      </w:r>
      <m:oMath>
        <m:r>
          <m:rPr/>
          <w:rPr>
            <w:rFonts w:ascii="Cambria Math" w:hAnsi="Cambria Math"/>
          </w:rPr>
          <m:t>v(</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)=0</m:t>
        </m:r>
      </m:oMath>
      <w:r>
        <w:rPr>
          <w:rFonts w:hint="eastAsia"/>
        </w:rPr>
        <w:t>且</w:t>
      </w:r>
      <m:oMath>
        <m:r>
          <m:rPr/>
          <w:rPr>
            <w:rFonts w:ascii="Cambria Math" w:hAnsi="Cambria Math"/>
          </w:rPr>
          <m:t>v</m:t>
        </m:r>
        <m:d>
          <m:dPr>
            <m:ctrlPr>
              <w:rPr>
                <w:rFonts w:ascii="Cambria Math" w:hAnsi="Cambria Math"/>
                <w:i/>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b</m:t>
                </m:r>
                <m:ctrlPr>
                  <w:rPr>
                    <w:rFonts w:ascii="Cambria Math" w:hAnsi="Cambria Math"/>
                  </w:rPr>
                </m:ctrlPr>
              </m:sub>
            </m:sSub>
            <m:ctrlPr>
              <w:rPr>
                <w:rFonts w:ascii="Cambria Math" w:hAnsi="Cambria Math"/>
                <w:i/>
              </w:rPr>
            </m:ctrlPr>
          </m:e>
        </m:d>
        <m:r>
          <m:rPr/>
          <w:rPr>
            <w:rFonts w:ascii="Cambria Math" w:hAnsi="Cambria Math"/>
          </w:rPr>
          <m:t>&gt;0</m:t>
        </m:r>
      </m:oMath>
      <w:r>
        <w:rPr>
          <w:rFonts w:hint="eastAsia"/>
        </w:rPr>
        <w:t>，则</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a</m:t>
            </m:r>
            <m:ctrlPr>
              <w:rPr>
                <w:rFonts w:ascii="Cambria Math" w:hAnsi="Cambria Math"/>
              </w:rPr>
            </m:ctrlPr>
          </m:sub>
        </m:sSub>
      </m:oMath>
      <w:r>
        <w:rPr>
          <w:rFonts w:hint="eastAsia"/>
        </w:rPr>
        <w:t>优于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b</m:t>
            </m:r>
            <m:ctrlPr>
              <w:rPr>
                <w:rFonts w:ascii="Cambria Math" w:hAnsi="Cambria Math"/>
              </w:rPr>
            </m:ctrlPr>
          </m:sub>
        </m:sSub>
      </m:oMath>
      <w:r>
        <w:rPr>
          <w:rFonts w:hint="eastAsia"/>
        </w:rPr>
        <w:t>；若</w:t>
      </w:r>
      <m:oMath>
        <m:r>
          <m:rPr/>
          <w:rPr>
            <w:rFonts w:ascii="Cambria Math" w:hAnsi="Cambria Math"/>
          </w:rPr>
          <m:t>v</m:t>
        </m:r>
        <m:d>
          <m:dPr>
            <m:ctrlPr>
              <w:rPr>
                <w:rFonts w:ascii="Cambria Math" w:hAnsi="Cambria Math"/>
                <w:i/>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i/>
              </w:rPr>
            </m:ctrlPr>
          </m:e>
        </m:d>
        <m:r>
          <m:rPr/>
          <w:rPr>
            <w:rFonts w:ascii="Cambria Math" w:hAnsi="Cambria Math"/>
          </w:rPr>
          <m:t>&gt;0</m:t>
        </m:r>
      </m:oMath>
      <w:r>
        <w:rPr>
          <w:rFonts w:hint="eastAsia"/>
        </w:rPr>
        <w:t>且</w:t>
      </w:r>
      <m:oMath>
        <m:r>
          <m:rPr/>
          <w:rPr>
            <w:rFonts w:ascii="Cambria Math" w:hAnsi="Cambria Math"/>
          </w:rPr>
          <m:t>v</m:t>
        </m:r>
        <m:d>
          <m:dPr>
            <m:ctrlPr>
              <w:rPr>
                <w:rFonts w:ascii="Cambria Math" w:hAnsi="Cambria Math"/>
                <w:i/>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b</m:t>
                </m:r>
                <m:ctrlPr>
                  <w:rPr>
                    <w:rFonts w:ascii="Cambria Math" w:hAnsi="Cambria Math"/>
                  </w:rPr>
                </m:ctrlPr>
              </m:sub>
            </m:sSub>
            <m:ctrlPr>
              <w:rPr>
                <w:rFonts w:ascii="Cambria Math" w:hAnsi="Cambria Math"/>
                <w:i/>
              </w:rPr>
            </m:ctrlPr>
          </m:e>
        </m:d>
        <m:r>
          <m:rPr/>
          <w:rPr>
            <w:rFonts w:ascii="Cambria Math" w:hAnsi="Cambria Math"/>
          </w:rPr>
          <m:t>&gt;0</m:t>
        </m:r>
      </m:oMath>
      <w:r>
        <w:rPr>
          <w:rFonts w:hint="eastAsia"/>
        </w:rPr>
        <w:t>，则约束违反度较小的个体更优；仅当</w:t>
      </w:r>
      <m:oMath>
        <m:r>
          <m:rPr/>
          <w:rPr>
            <w:rFonts w:ascii="Cambria Math" w:hAnsi="Cambria Math"/>
          </w:rPr>
          <m:t>v(</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)=v(</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)=0</m:t>
        </m:r>
      </m:oMath>
      <w:r>
        <w:rPr>
          <w:rFonts w:hint="eastAsia"/>
        </w:rPr>
        <w:t>时，才进一步依据检索命中目标</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与生成误导目标</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上的Pareto支配关系进行比较。由此，满足困惑度约束的可行解始终优先于不可行解。随着迭代推进，这类不可行解将在环境选择中逐步被可行解替代。</w:t>
      </w:r>
    </w:p>
    <w:p w14:paraId="25C18339">
      <w:pPr>
        <w:ind w:firstLine="480" w:firstLineChars="0"/>
      </w:pPr>
      <w:r>
        <w:rPr>
          <w:rFonts w:hint="eastAsia"/>
        </w:rPr>
        <w:t>父代选择采用拥挤比较算子驱动的二元锦标赛：从父代种群</w:t>
      </w:r>
      <m:oMath>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中随机抽取两个个体，优先选择非支配等级更低者；若等级相同，则选择拥挤度距离更大的个体进入交配池。对交叉和变异得到的子代种群</w:t>
      </w:r>
      <m:oMath>
        <m:sSub>
          <m:sSubPr>
            <m:ctrlPr>
              <w:rPr>
                <w:rFonts w:ascii="Cambria Math" w:hAnsi="Cambria Math"/>
                <w:i/>
              </w:rPr>
            </m:ctrlPr>
          </m:sSubPr>
          <m:e>
            <m:r>
              <m:rPr/>
              <w:rPr>
                <w:rFonts w:hint="eastAsia" w:ascii="Cambria Math" w:hAnsi="Cambria Math"/>
              </w:rPr>
              <m:t>Q</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hAnsi="Cambria Math"/>
        </w:rPr>
        <w:t>进行</w:t>
      </w:r>
      <w:r>
        <w:rPr>
          <w:rFonts w:ascii="Cambria Math" w:hAnsi="Cambria Math"/>
        </w:rP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以及</w:t>
      </w:r>
      <m:oMath>
        <m:r>
          <m:rPr/>
          <w:rPr>
            <w:rFonts w:ascii="Cambria Math" w:hAnsi="Cambria Math"/>
          </w:rPr>
          <m:t>v(d)</m:t>
        </m:r>
      </m:oMath>
      <w:r>
        <w:rPr>
          <w:rFonts w:hint="eastAsia"/>
        </w:rPr>
        <w:t xml:space="preserve"> 显式评估，然后与父代合并</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。对合并种群</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执行快速非支配排序，得到分层集合</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。按等级从优到劣填充下一代种群</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t+1</m:t>
            </m:r>
            <m:ctrlPr>
              <w:rPr>
                <w:rFonts w:ascii="Cambria Math" w:hAnsi="Cambria Math"/>
              </w:rPr>
            </m:ctrlPr>
          </m:sub>
        </m:sSub>
      </m:oMath>
      <w:r>
        <w:rPr>
          <w:rFonts w:hint="eastAsia"/>
        </w:rPr>
        <w:t>，当某一层</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超过种群规模</w:t>
      </w:r>
      <m:oMath>
        <m:r>
          <m:rPr/>
          <w:rPr>
            <w:rFonts w:hint="eastAsia" w:ascii="Cambria Math" w:hAnsi="Cambria Math"/>
          </w:rPr>
          <m:t>N</m:t>
        </m:r>
      </m:oMath>
      <w:r>
        <w:rPr>
          <w:rFonts w:hint="eastAsia"/>
        </w:rPr>
        <w:t>时，按拥挤度距离从大到小保留前</w:t>
      </w:r>
      <m:oMath>
        <m:r>
          <m:rPr/>
          <w:rPr>
            <w:rFonts w:ascii="Cambria Math" w:hAnsi="Cambria Math"/>
          </w:rPr>
          <m:t>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oMath>
      <w:r>
        <w:rPr>
          <w:rFonts w:hint="eastAsia"/>
        </w:rPr>
        <w:t>个个体。通过这一机制，下一代种群既不会被大量明显异常文本主导，又能在满足基本隐蔽性要求的前提下持续逼近双目标Pareto前沿。</w:t>
      </w:r>
    </w:p>
    <w:p w14:paraId="0BD3DF27">
      <w:pPr>
        <w:ind w:firstLine="480" w:firstLineChars="0"/>
      </w:pPr>
      <w:r>
        <w:rPr>
          <w:rFonts w:hint="eastAsia"/>
        </w:rPr>
        <w:t>此外，为避免“仅依赖最终代第一前沿”导致优质解因末代随机波动而丢失，本文维护独立精英档案</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存储历史非支配解，并将其作为最终输出的候选集合来源。每代演化结束后，将当前种群中的可行非支配个体并入精英档案，即</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oMath>
      <w:r>
        <w:rPr>
          <w:rFonts w:hint="eastAsia"/>
        </w:rPr>
        <w:t>（当前前沿）。当档案规模超过上限时，限制规模为</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t>
            </m:r>
            <m:ctrlPr>
              <w:rPr>
                <w:rFonts w:ascii="Cambria Math" w:hAnsi="Cambria Math"/>
              </w:rPr>
            </m:ctrlPr>
          </m:sub>
        </m:sSub>
      </m:oMath>
      <w:r>
        <w:rPr>
          <w:rFonts w:hint="eastAsia"/>
        </w:rPr>
        <w:t>，依据拥挤度距离进行裁剪，以保留能够较好表征Pareto前沿形状的代表性候选。</w:t>
      </w:r>
    </w:p>
    <w:p w14:paraId="5A248C8B">
      <w:pPr>
        <w:ind w:firstLine="480" w:firstLineChars="0"/>
      </w:pPr>
      <w:r>
        <w:rPr>
          <w:rFonts w:hint="eastAsia"/>
        </w:rPr>
        <w:t>迭代结束后，档案</w:t>
      </w:r>
      <m:oMath>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hint="eastAsia" w:ascii="Cambria Math" w:hAnsi="Cambria Math"/>
              </w:rPr>
              <m:t>T</m:t>
            </m:r>
            <m:ctrlPr>
              <w:rPr>
                <w:rFonts w:ascii="Cambria Math" w:hAnsi="Cambria Math"/>
              </w:rPr>
            </m:ctrlPr>
          </m:sub>
        </m:sSub>
      </m:oMath>
      <w:r>
        <w:rPr>
          <w:rFonts w:hint="eastAsia"/>
        </w:rPr>
        <w:t>为一组非支配解，但实际注入需要单篇对抗文档，因此本文采用“平衡型代表解选择”，采用“接近理想点”的平衡型代表解选择策略，从档案中选取综合距离最小的个体作为最终代表解：</w:t>
      </w:r>
    </w:p>
    <w:p w14:paraId="4730A53C">
      <w:pPr>
        <w:pStyle w:val="92"/>
        <w:ind w:firstLine="480"/>
      </w:pPr>
      <m:oMathPara>
        <m:oMath>
          <m:eqArr>
            <m:eqArrPr>
              <m:maxDist m:val="1"/>
              <m:ctrlPr>
                <w:rPr>
                  <w:rFonts w:hint="eastAsia" w:ascii="Cambria Math" w:hAnsi="Cambria Math"/>
                </w:rPr>
              </m:ctrlPr>
            </m:eqArrPr>
            <m:e>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
                <m:rPr>
                  <m:sty m:val="p"/>
                </m:rPr>
                <w:rPr>
                  <w:rFonts w:ascii="Cambria Math" w:hAnsi="Cambria Math"/>
                </w:rPr>
                <m:t>arg</m:t>
              </m:r>
              <m:r>
                <m:rPr/>
                <w:rPr>
                  <w:rFonts w:ascii="Cambria Math" w:hAnsi="Cambria Math"/>
                </w:rPr>
                <m:t>⁡</m:t>
              </m:r>
              <m:limLow>
                <m:limLowPr>
                  <m:ctrlPr>
                    <w:rPr>
                      <w:rFonts w:ascii="Cambria Math" w:hAnsi="Cambria Math"/>
                    </w:rPr>
                  </m:ctrlPr>
                </m:limLowPr>
                <m:e>
                  <m:r>
                    <m:rPr/>
                    <w:rPr>
                      <w:rFonts w:ascii="Cambria Math" w:hAnsi="Cambria Math"/>
                    </w:rPr>
                    <m:t>min</m:t>
                  </m:r>
                  <m:ctrlPr>
                    <w:rPr>
                      <w:rFonts w:ascii="Cambria Math" w:hAnsi="Cambria Math"/>
                    </w:rPr>
                  </m:ctrlPr>
                </m:e>
                <m:lim>
                  <m:r>
                    <m:rPr/>
                    <w:rPr>
                      <w:rFonts w:ascii="Cambria Math" w:hAnsi="Cambria Math"/>
                    </w:rPr>
                    <m:t>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lim>
              </m:limLow>
              <m:r>
                <m:rPr/>
                <w:rPr>
                  <w:rFonts w:ascii="Cambria Math" w:hAnsi="Cambria Math"/>
                </w:rPr>
                <m:t> </m:t>
              </m:r>
              <m:d>
                <m:dPr>
                  <m:begChr m:val="["/>
                  <m:endChr m:val="]"/>
                  <m:ctrlPr>
                    <w:rPr>
                      <w:rFonts w:ascii="Cambria Math" w:hAnsi="Cambria Math"/>
                    </w:rPr>
                  </m:ctrlPr>
                </m:dPr>
                <m:e>
                  <m:r>
                    <m:rPr/>
                    <w:rPr>
                      <w:rFonts w:ascii="Cambria Math" w:hAnsi="Cambria Math"/>
                    </w:rPr>
                    <m:t>λ</m:t>
                  </m:r>
                  <m:sSup>
                    <m:sSupPr>
                      <m:ctrlPr>
                        <w:rPr>
                          <w:rFonts w:ascii="Cambria Math" w:hAnsi="Cambria Math"/>
                        </w:rPr>
                      </m:ctrlPr>
                    </m:sSupPr>
                    <m:e>
                      <m:d>
                        <m:dPr>
                          <m:ctrlPr>
                            <w:rPr>
                              <w:rFonts w:ascii="Cambria Math" w:hAnsi="Cambria Math"/>
                            </w:rPr>
                          </m:ctrlPr>
                        </m:dPr>
                        <m:e>
                          <m:r>
                            <m:rPr/>
                            <w:rPr>
                              <w:rFonts w:ascii="Cambria Math" w:hAnsi="Cambria Math"/>
                            </w:rPr>
                            <m:t>1−</m:t>
                          </m:r>
                          <m:sSub>
                            <m:sSubPr>
                              <m:ctrlPr>
                                <w:rPr>
                                  <w:rFonts w:ascii="Cambria Math" w:hAnsi="Cambria Math"/>
                                </w:rPr>
                              </m:ctrlPr>
                            </m:sSubPr>
                            <m:e>
                              <m:acc>
                                <m:accPr>
                                  <m:ctrlPr>
                                    <w:rPr>
                                      <w:rFonts w:ascii="Cambria Math" w:hAnsi="Cambria Math"/>
                                    </w:rPr>
                                  </m:ctrlPr>
                                </m:accPr>
                                <m:e>
                                  <m:r>
                                    <m:rPr/>
                                    <w:rPr>
                                      <w:rFonts w:ascii="Cambria Math" w:hAnsi="Cambria Math"/>
                                    </w:rPr>
                                    <m:t>f</m:t>
                                  </m:r>
                                  <m:ctrlPr>
                                    <w:rPr>
                                      <w:rFonts w:ascii="Cambria Math" w:hAnsi="Cambria Math"/>
                                    </w:rPr>
                                  </m:ctrlPr>
                                </m:e>
                              </m:acc>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(d)</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+(1−λ)</m:t>
                  </m:r>
                  <m:sSup>
                    <m:sSupPr>
                      <m:ctrlPr>
                        <w:rPr>
                          <w:rFonts w:ascii="Cambria Math" w:hAnsi="Cambria Math"/>
                        </w:rPr>
                      </m:ctrlPr>
                    </m:sSupPr>
                    <m:e>
                      <m:d>
                        <m:dPr>
                          <m:ctrlPr>
                            <w:rPr>
                              <w:rFonts w:ascii="Cambria Math" w:hAnsi="Cambria Math"/>
                            </w:rPr>
                          </m:ctrlPr>
                        </m:dPr>
                        <m:e>
                          <m:r>
                            <m:rPr/>
                            <w:rPr>
                              <w:rFonts w:ascii="Cambria Math" w:hAnsi="Cambria Math"/>
                            </w:rPr>
                            <m:t>1−</m:t>
                          </m:r>
                          <m:sSub>
                            <m:sSubPr>
                              <m:ctrlPr>
                                <w:rPr>
                                  <w:rFonts w:ascii="Cambria Math" w:hAnsi="Cambria Math"/>
                                </w:rPr>
                              </m:ctrlPr>
                            </m:sSubPr>
                            <m:e>
                              <m:acc>
                                <m:accPr>
                                  <m:ctrlPr>
                                    <w:rPr>
                                      <w:rFonts w:ascii="Cambria Math" w:hAnsi="Cambria Math"/>
                                    </w:rPr>
                                  </m:ctrlPr>
                                </m:accPr>
                                <m:e>
                                  <m:r>
                                    <m:rPr/>
                                    <w:rPr>
                                      <w:rFonts w:ascii="Cambria Math" w:hAnsi="Cambria Math"/>
                                    </w:rPr>
                                    <m:t>f</m:t>
                                  </m:r>
                                  <m:ctrlPr>
                                    <w:rPr>
                                      <w:rFonts w:ascii="Cambria Math" w:hAnsi="Cambria Math"/>
                                    </w:rPr>
                                  </m:ctrlPr>
                                </m:e>
                              </m:acc>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(d)</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r>
                <m:rPr>
                  <m:sty m:val="p"/>
                </m:rPr>
                <w:rPr>
                  <w:rFonts w:ascii="Cambria Math" w:hAnsi="Cambria Math"/>
                </w:rPr>
                <m:t>#</m:t>
              </m:r>
              <m:r>
                <m:rPr>
                  <m:sty m:val="p"/>
                </m:rPr>
                <w:rPr>
                  <w:rFonts w:hint="eastAsia" w:ascii="Cambria Math" w:hAnsi="Cambria Math"/>
                </w:rPr>
                <m:t>（</m:t>
              </m:r>
              <m:r>
                <m:rPr>
                  <m:sty m:val="p"/>
                </m:rPr>
                <w:rPr>
                  <w:rFonts w:ascii="Cambria Math" w:hAnsi="Cambria Math"/>
                </w:rPr>
                <m:t>4−9</m:t>
              </m:r>
              <m:r>
                <m:rPr>
                  <m:sty m:val="p"/>
                </m:rPr>
                <w:rPr>
                  <w:rFonts w:hint="eastAsia" w:ascii="Cambria Math" w:hAnsi="Cambria Math"/>
                </w:rPr>
                <m:t>）</m:t>
              </m:r>
              <m:ctrlPr>
                <w:rPr>
                  <w:rFonts w:hint="eastAsia" w:ascii="Cambria Math" w:hAnsi="Cambria Math"/>
                </w:rPr>
              </m:ctrlPr>
            </m:e>
          </m:eqArr>
        </m:oMath>
      </m:oMathPara>
    </w:p>
    <w:p w14:paraId="303FC87D">
      <w:pPr>
        <w:ind w:firstLine="0" w:firstLineChars="0"/>
      </w:pPr>
      <w:r>
        <w:rPr>
          <w:rFonts w:hint="eastAsia"/>
        </w:rPr>
        <w:t>其中参数</w:t>
      </w:r>
      <m:oMath>
        <m:r>
          <m:rPr>
            <m:sty m:val="p"/>
          </m:rPr>
          <w:rPr>
            <w:rFonts w:ascii="Cambria Math" w:hAnsi="Cambria Math"/>
          </w:rPr>
          <m:t>λ</m:t>
        </m:r>
      </m:oMath>
      <w:r>
        <w:rPr>
          <w:rFonts w:hint="eastAsia"/>
        </w:rPr>
        <w:t>用于抑制过度偏科解（本文</w:t>
      </w:r>
      <m:oMath>
        <m:r>
          <m:rPr>
            <m:sty m:val="p"/>
          </m:rPr>
          <w:rPr>
            <w:rFonts w:ascii="Cambria Math" w:hAnsi="Cambria Math"/>
          </w:rPr>
          <m:t>λ=0.5</m:t>
        </m:r>
      </m:oMath>
      <w:r>
        <w:rPr>
          <w:rFonts w:hint="eastAsia"/>
        </w:rPr>
        <w:t>）。</w:t>
      </w:r>
    </w:p>
    <w:p w14:paraId="19FB2726">
      <w:pPr>
        <w:ind w:firstLine="480" w:firstLineChars="0"/>
      </w:pPr>
      <w:r>
        <w:rPr>
          <w:rFonts w:hint="eastAsia"/>
        </w:rPr>
        <w:t>最终每个语义中心均对应一篇对抗文档，即</w:t>
      </w:r>
    </w:p>
    <w:p w14:paraId="53199812">
      <w:pPr>
        <w:ind w:firstLine="480" w:firstLineChars="0"/>
        <w:rPr>
          <w:rFonts w:hAnsi="Cambria Math"/>
        </w:rPr>
      </w:pPr>
      <m:oMathPara>
        <m:oMath>
          <m:eqArr>
            <m:eqArrPr>
              <m:maxDist m:val="1"/>
              <m:ctrlPr>
                <w:rPr>
                  <w:rFonts w:hint="eastAsia" w:ascii="Cambria Math" w:hAnsi="Cambria Math"/>
                </w:rPr>
              </m:ctrlPr>
            </m:eqArrPr>
            <m:e>
              <m:sSup>
                <m:sSupPr>
                  <m:ctrlPr>
                    <w:rPr>
                      <w:rFonts w:ascii="Cambria Math" w:hAnsi="Cambria Math"/>
                    </w:rPr>
                  </m:ctrlPr>
                </m:sSupPr>
                <m:e>
                  <m:r>
                    <m:rPr>
                      <m:scr m:val="script"/>
                    </m:rPr>
                    <w:rPr>
                      <w:rFonts w:ascii="Cambria Math" w:hAnsi="Cambria Math"/>
                    </w:rPr>
                    <m:t>D</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M</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r>
                <m:rPr>
                  <m:sty m:val="p"/>
                </m:rPr>
                <w:rPr>
                  <w:rFonts w:ascii="Cambria Math" w:hAnsi="Cambria Math"/>
                </w:rPr>
                <m:t>#</m:t>
              </m:r>
              <m:r>
                <m:rPr>
                  <m:sty m:val="p"/>
                </m:rPr>
                <w:rPr>
                  <w:rFonts w:hint="eastAsia" w:ascii="Cambria Math" w:hAnsi="Cambria Math"/>
                </w:rPr>
                <m:t>（</m:t>
              </m:r>
              <m:r>
                <m:rPr>
                  <m:sty m:val="p"/>
                </m:rPr>
                <w:rPr>
                  <w:rFonts w:ascii="Cambria Math" w:hAnsi="Cambria Math"/>
                </w:rPr>
                <m:t>4−10</m:t>
              </m:r>
              <m:r>
                <m:rPr>
                  <m:sty m:val="p"/>
                </m:rPr>
                <w:rPr>
                  <w:rFonts w:hint="eastAsia" w:ascii="Cambria Math" w:hAnsi="Cambria Math"/>
                </w:rPr>
                <m:t>）</m:t>
              </m:r>
              <m:ctrlPr>
                <w:rPr>
                  <w:rFonts w:hint="eastAsia" w:ascii="Cambria Math" w:hAnsi="Cambria Math"/>
                </w:rPr>
              </m:ctrlPr>
            </m:e>
          </m:eqArr>
        </m:oMath>
      </m:oMathPara>
    </w:p>
    <w:p w14:paraId="17EBDE62">
      <w:pPr>
        <w:pStyle w:val="3"/>
        <w:spacing w:before="163" w:after="163"/>
      </w:pPr>
      <w:bookmarkStart w:id="32" w:name="_Toc30185"/>
      <w:r>
        <w:rPr>
          <w:rFonts w:hint="eastAsia"/>
        </w:rPr>
        <w:t>4</w:t>
      </w:r>
      <w:r>
        <w:t>.</w:t>
      </w:r>
      <w:r>
        <w:rPr>
          <w:rFonts w:hint="eastAsia"/>
        </w:rPr>
        <w:t>3</w:t>
      </w:r>
      <w:r>
        <w:t xml:space="preserve">  </w:t>
      </w:r>
      <w:r>
        <w:rPr>
          <w:rFonts w:hint="eastAsia"/>
        </w:rPr>
        <w:t>实验与结果分析</w:t>
      </w:r>
      <w:bookmarkEnd w:id="32"/>
    </w:p>
    <w:p w14:paraId="4EBF0209">
      <w:pPr>
        <w:pStyle w:val="4"/>
      </w:pPr>
      <w:bookmarkStart w:id="33" w:name="_Toc22869"/>
      <w:r>
        <w:rPr>
          <w:rFonts w:hint="eastAsia"/>
        </w:rPr>
        <w:t>4.3.1  实验数据集</w:t>
      </w:r>
      <w:bookmarkEnd w:id="33"/>
    </w:p>
    <w:p w14:paraId="10BDE219">
      <w:pPr>
        <w:ind w:firstLine="480"/>
        <w:rPr>
          <w:rFonts w:hint="default" w:eastAsia="宋体"/>
          <w:lang w:val="en-US" w:eastAsia="zh-CN"/>
        </w:rPr>
      </w:pPr>
      <w:r>
        <w:rPr>
          <w:rFonts w:hint="eastAsia"/>
        </w:rPr>
        <w:t>为全面评估本文所提方法在不同知识组织粒度与不同领域文本上的攻击效果，</w:t>
      </w:r>
      <w:r>
        <w:rPr>
          <w:rFonts w:hint="eastAsia"/>
          <w:lang w:val="en-US" w:eastAsia="zh-CN"/>
        </w:rPr>
        <w:t>本文选取</w:t>
      </w:r>
      <w:r>
        <w:rPr>
          <w:rFonts w:hint="eastAsia"/>
        </w:rPr>
        <w:t>Natural Questions（NQ）[52]、</w:t>
      </w:r>
      <w:r>
        <w:rPr>
          <w:rFonts w:hint="eastAsia"/>
          <w:lang w:val="en-US" w:eastAsia="zh-CN"/>
        </w:rPr>
        <w:t>FinQA</w:t>
      </w:r>
      <w:r>
        <w:rPr>
          <w:rFonts w:hint="eastAsia"/>
        </w:rPr>
        <w:t>[53]以及基于PAtent-based iNdustrial Dataset for Answers and eXplanations（PANDAX）数据集[54]构建的工业专利文档工业问答子集</w:t>
      </w:r>
      <w:r>
        <w:rPr>
          <w:rFonts w:hint="eastAsia"/>
          <w:lang w:val="en-US" w:eastAsia="zh-CN"/>
        </w:rPr>
        <w:t>进行实验</w:t>
      </w:r>
      <w:r>
        <w:rPr>
          <w:rFonts w:hint="eastAsia"/>
        </w:rPr>
        <w:t>。</w:t>
      </w:r>
    </w:p>
    <w:p w14:paraId="5F978FDA">
      <w:pPr>
        <w:ind w:firstLine="480"/>
      </w:pPr>
      <w:r>
        <w:rPr>
          <w:rFonts w:hint="eastAsia"/>
        </w:rPr>
        <w:t>NQ是Google Research发布的</w:t>
      </w:r>
      <w:r>
        <w:t>面向开放域问答的基准数据集</w:t>
      </w:r>
      <w:r>
        <w:rPr>
          <w:rFonts w:hint="eastAsia"/>
        </w:rPr>
        <w:t>。本文采用BEIR评测基准收录并整理后的检索评测版本，</w:t>
      </w:r>
      <w:r>
        <w:rPr>
          <w:rFonts w:hint="eastAsia"/>
          <w:lang w:val="en-US" w:eastAsia="zh-CN"/>
        </w:rPr>
        <w:t>该版本</w:t>
      </w:r>
      <w:r>
        <w:rPr>
          <w:rFonts w:hint="eastAsia"/>
        </w:rPr>
        <w:t>检索数据形式被组织为“</w:t>
      </w:r>
      <w:r>
        <w:rPr>
          <w:rFonts w:hint="eastAsia"/>
          <w:lang w:val="en-US" w:eastAsia="zh-CN"/>
        </w:rPr>
        <w:t>语料、查询及映射关系</w:t>
      </w:r>
      <w:r>
        <w:rPr>
          <w:rFonts w:hint="eastAsia"/>
        </w:rPr>
        <w:t>”</w:t>
      </w:r>
      <w:r>
        <w:rPr>
          <w:rFonts w:hint="eastAsia"/>
          <w:lang w:eastAsia="zh-CN"/>
        </w:rPr>
        <w:t>，</w:t>
      </w:r>
      <w:r>
        <w:rPr>
          <w:rFonts w:hint="eastAsia"/>
        </w:rPr>
        <w:t>包含3,452条查询和2,681,468篇来源于Wikipedia</w:t>
      </w:r>
      <w:r>
        <w:rPr>
          <w:rFonts w:hint="eastAsia"/>
          <w:lang w:val="en-US" w:eastAsia="zh-CN"/>
        </w:rPr>
        <w:t>的</w:t>
      </w:r>
      <w:r>
        <w:rPr>
          <w:rFonts w:hint="eastAsia"/>
        </w:rPr>
        <w:t>语料</w:t>
      </w:r>
      <w:r>
        <w:rPr>
          <w:rFonts w:hint="eastAsia"/>
          <w:lang w:eastAsia="zh-CN"/>
        </w:rPr>
        <w:t>，</w:t>
      </w:r>
      <w:r>
        <w:rPr>
          <w:rFonts w:hint="eastAsia"/>
        </w:rPr>
        <w:t>可用于评估方法在通用开放域、真实用户问题分布条件下的检索命中与回答误导能力。</w:t>
      </w:r>
      <w:r>
        <w:rPr>
          <w:rFonts w:hint="eastAsia"/>
          <w:lang w:val="en-US" w:eastAsia="zh-CN"/>
        </w:rPr>
        <w:t>该数据集单条语料约为50-200 words，在实验过程中无需额外进行切分，直接作为独立检索单元存入向量数据库</w:t>
      </w:r>
      <w:r>
        <w:rPr>
          <w:rFonts w:hint="eastAsia"/>
        </w:rPr>
        <w:t>。</w:t>
      </w:r>
    </w:p>
    <w:p w14:paraId="547695EE">
      <w:pPr>
        <w:ind w:firstLine="480"/>
        <w:rPr>
          <w:rFonts w:hint="default" w:eastAsia="宋体"/>
          <w:lang w:val="en-US" w:eastAsia="zh-CN"/>
        </w:rPr>
      </w:pPr>
      <w:r>
        <w:rPr>
          <w:rFonts w:hint="eastAsia"/>
          <w:lang w:val="en-US" w:eastAsia="zh-CN"/>
        </w:rPr>
        <w:t>FinQA</w:t>
      </w:r>
      <w:r>
        <w:rPr>
          <w:rFonts w:hint="eastAsia"/>
        </w:rPr>
        <w:t>面向</w:t>
      </w:r>
      <w:r>
        <w:rPr>
          <w:rFonts w:hint="eastAsia"/>
          <w:lang w:val="en-US" w:eastAsia="zh-CN"/>
        </w:rPr>
        <w:t>金融报告等高信息密度</w:t>
      </w:r>
      <w:r>
        <w:rPr>
          <w:rFonts w:hint="eastAsia"/>
        </w:rPr>
        <w:t>的</w:t>
      </w:r>
      <w:r>
        <w:rPr>
          <w:rFonts w:hint="eastAsia"/>
          <w:lang w:val="en-US" w:eastAsia="zh-CN"/>
        </w:rPr>
        <w:t>专业文档</w:t>
      </w:r>
      <w:r>
        <w:rPr>
          <w:rFonts w:hint="eastAsia"/>
          <w:lang w:eastAsia="zh-CN"/>
        </w:rPr>
        <w:t>，</w:t>
      </w:r>
      <w:r>
        <w:rPr>
          <w:rFonts w:hint="eastAsia"/>
        </w:rPr>
        <w:t>构建于公司财务报告文本与表格之上，</w:t>
      </w:r>
      <w:r>
        <w:rPr>
          <w:rFonts w:hint="eastAsia"/>
          <w:lang w:val="en-US" w:eastAsia="zh-CN"/>
        </w:rPr>
        <w:t>被组织为“报告文本—问题—答案—推理程序”样本形式。该数据集</w:t>
      </w:r>
      <w:r>
        <w:rPr>
          <w:rFonts w:hint="eastAsia"/>
        </w:rPr>
        <w:t>共包含8,281条样本，其单条语料篇幅</w:t>
      </w:r>
      <w:r>
        <w:rPr>
          <w:rFonts w:hint="eastAsia"/>
          <w:lang w:val="en-US" w:eastAsia="zh-CN"/>
        </w:rPr>
        <w:t>约700词，较NQ数据集</w:t>
      </w:r>
      <w:r>
        <w:rPr>
          <w:rFonts w:hint="eastAsia"/>
        </w:rPr>
        <w:t>明显更长，更接近真实企业知识系统中“长篇说明文档”的组织方式</w:t>
      </w:r>
      <w:r>
        <w:rPr>
          <w:rFonts w:hint="eastAsia"/>
          <w:lang w:eastAsia="zh-CN"/>
        </w:rPr>
        <w:t>，</w:t>
      </w:r>
      <w:r>
        <w:rPr>
          <w:rFonts w:hint="eastAsia"/>
        </w:rPr>
        <w:t>可用于评估本文方法在</w:t>
      </w:r>
      <w:r>
        <w:rPr>
          <w:rFonts w:hint="eastAsia"/>
          <w:lang w:val="en-US" w:eastAsia="zh-CN"/>
        </w:rPr>
        <w:t>专业长文本情况</w:t>
      </w:r>
      <w:r>
        <w:rPr>
          <w:rFonts w:hint="eastAsia"/>
        </w:rPr>
        <w:t>下的检索可达性与端到端攻击稳定性。</w:t>
      </w:r>
      <w:r>
        <w:rPr>
          <w:rFonts w:hint="eastAsia"/>
          <w:lang w:val="en-US" w:eastAsia="zh-CN"/>
        </w:rPr>
        <w:t>本文将</w:t>
      </w:r>
      <w:r>
        <w:rPr>
          <w:rFonts w:ascii="宋体" w:hAnsi="宋体" w:eastAsia="宋体" w:cs="宋体"/>
          <w:sz w:val="24"/>
          <w:szCs w:val="24"/>
        </w:rPr>
        <w:t>原始长文本切分为多个语义上连续且适于向量检索的文本块，并以此作为知识库中的基本检索单元。</w:t>
      </w:r>
    </w:p>
    <w:p w14:paraId="6462AF57">
      <w:pPr>
        <w:ind w:firstLine="480"/>
      </w:pPr>
      <w:r>
        <w:rPr>
          <w:rFonts w:hint="eastAsia"/>
        </w:rPr>
        <w:t>PANDAX是面向工业系统的开源问答-解释数据集，并配套20篇工业系统相关专利PDF源文件，其内容覆盖冷却系统、绿色技术、可再生能源及碳捕集与封存等主题。考虑其原始问答均为“yes/no”判别问题，本文实验仅采用其对应的20篇专利PDF作为工业领域知识库语料，按照第三章知识库管理模块中的文档解析、文本清洗、切块、向量化与索引构建流程建立工业文档型知识库。然后对每篇专利文件构造</w:t>
      </w:r>
      <w:r>
        <w:rPr>
          <w:rFonts w:hint="eastAsia"/>
          <w:lang w:val="en-US" w:eastAsia="zh-CN"/>
        </w:rPr>
        <w:t>4</w:t>
      </w:r>
      <w:r>
        <w:rPr>
          <w:rFonts w:hint="eastAsia"/>
        </w:rPr>
        <w:t>个可由原文直接支持的事实型问题，覆盖部件、功能等各类型。该设置可检验电力场景中规程、手册与技术文档入库后，本文方法在专业领域文档语料条件下的攻击效果。</w:t>
      </w:r>
    </w:p>
    <w:p w14:paraId="38ED7B51">
      <w:pPr>
        <w:ind w:firstLine="480"/>
      </w:pPr>
      <w:r>
        <w:rPr>
          <w:rFonts w:hint="eastAsia"/>
        </w:rPr>
        <w:t>三个数据集分别从通用开放域</w:t>
      </w:r>
      <w:r>
        <w:rPr>
          <w:rFonts w:hint="eastAsia"/>
          <w:lang w:val="en-US" w:eastAsia="zh-CN"/>
        </w:rPr>
        <w:t>短文本语料</w:t>
      </w:r>
      <w:r>
        <w:rPr>
          <w:rFonts w:hint="eastAsia"/>
        </w:rPr>
        <w:t>、</w:t>
      </w:r>
      <w:r>
        <w:rPr>
          <w:rFonts w:hint="eastAsia"/>
          <w:lang w:val="en-US" w:eastAsia="zh-CN"/>
        </w:rPr>
        <w:t>特定领域长篇专业报告型语料</w:t>
      </w:r>
      <w:r>
        <w:rPr>
          <w:rFonts w:hint="eastAsia"/>
        </w:rPr>
        <w:t>，以及</w:t>
      </w:r>
      <w:r>
        <w:rPr>
          <w:rFonts w:hint="eastAsia"/>
          <w:lang w:val="en-US" w:eastAsia="zh-CN"/>
        </w:rPr>
        <w:t>真实</w:t>
      </w:r>
      <w:r>
        <w:rPr>
          <w:rFonts w:hint="eastAsia"/>
        </w:rPr>
        <w:t>工业专利PDF为原始知识载体的领域问答三个层面验证本文方法，较为完整地覆盖本文所关注的RAG知识库毒化攻击在不同语料规模、不同文档形态与不同领域条件下的表现差异。</w:t>
      </w:r>
    </w:p>
    <w:p w14:paraId="09A09CAF">
      <w:pPr>
        <w:pStyle w:val="4"/>
      </w:pPr>
      <w:bookmarkStart w:id="34" w:name="_Toc25780"/>
      <w:r>
        <w:rPr>
          <w:rFonts w:hint="eastAsia"/>
        </w:rPr>
        <w:t>4.3.2  基线方法</w:t>
      </w:r>
      <w:bookmarkEnd w:id="34"/>
    </w:p>
    <w:p w14:paraId="71A79946">
      <w:pPr>
        <w:ind w:firstLine="480"/>
      </w:pPr>
      <w:r>
        <w:rPr>
          <w:rFonts w:hint="eastAsia"/>
        </w:rPr>
        <w:t>为全面评估本文提出的RAG 知识库投毒攻击方法在不同威胁假设下的有效性与适用边界，本章将本文方法与五种具有代表性的RAG投毒攻击方法进行对比。所选基线覆盖了定向知识腐化（假设预先知道用户具体查询）与非定向语料投毒（假设预先不知道用户具体查询）两类攻击目标；且白盒后门攻击、白盒梯度优化、黑盒攻击三类攻击方法兼具。通过对比这些方法，不仅能够从攻击成功率等角度验证本文方法在黑盒场景下的有效性，还可以进一步分析不同攻击范式在“可检索性—可控生成—隐蔽性”三者之间的权衡关系，从而为后续防御策略设计与讨论提供依据。具体而言，包括如下基线方法：</w:t>
      </w:r>
    </w:p>
    <w:p w14:paraId="45AFF902">
      <w:pPr>
        <w:ind w:firstLine="480"/>
      </w:pPr>
      <w:r>
        <w:rPr>
          <w:rFonts w:hint="eastAsia"/>
        </w:rPr>
        <w:t>Phantom[]：该方法面向RAG提出一种更强调隐蔽性的触发式后门投毒，攻击者仅需向知识库中注入单个恶意文档，当用户查询中出现某个自然出现的触发词序列时，系统输出就会发生完整性破坏。该方案采用两阶段优化框架，第一阶段在向量空间中优化投毒文档，使其仅在触发出现时更易被检索到；第二阶段再通过优化附加对抗字符串来驱动生成端达成多种对抗目标，并尝试绕过生成模型的安全对齐。</w:t>
      </w:r>
    </w:p>
    <w:p w14:paraId="0AF08ED5">
      <w:pPr>
        <w:ind w:firstLine="480"/>
      </w:pPr>
      <w:r>
        <w:rPr>
          <w:rFonts w:hint="eastAsia"/>
        </w:rPr>
        <w:t xml:space="preserve">PoisonedRAG </w:t>
      </w:r>
      <w:r>
        <w:rPr>
          <w:rFonts w:hint="eastAsia"/>
          <w:vertAlign w:val="superscript"/>
        </w:rPr>
        <w:t>[19]</w:t>
      </w:r>
      <w:r>
        <w:rPr>
          <w:rFonts w:hint="eastAsia"/>
        </w:rPr>
        <w:t>：该方法是一种定向知识库投毒攻击，攻击者先选定目标问题与目标答案，再向RAG知识库注入少量恶意文本使得系统生成攻击者指定答案。该方法将投毒文本生成形式化为优化问题，并提出分别优化检索条件与生成条件，从而实现“可检索且可控生成”的定向投毒。该方法作者同时提出了黑白盒两种方法，本研究两种情况均进行实验。</w:t>
      </w:r>
    </w:p>
    <w:p w14:paraId="49A43155">
      <w:pPr>
        <w:ind w:firstLine="480"/>
      </w:pPr>
      <w:r>
        <w:rPr>
          <w:rFonts w:hint="eastAsia"/>
        </w:rPr>
        <w:t>CorpusPoisoning[]：该方法是白盒的、面向稠密检索器的非定向语料投毒攻击，攻击者向检索语料库中注入极少量对抗段落，使系统在广泛用户查询下将这些段落</w:t>
      </w:r>
      <w:r>
        <w:rPr>
          <w:rFonts w:hint="eastAsia"/>
          <w:lang w:val="en-US" w:eastAsia="zh-CN"/>
        </w:rPr>
        <w:t>被检索</w:t>
      </w:r>
      <w:r>
        <w:rPr>
          <w:rFonts w:hint="eastAsia"/>
        </w:rPr>
        <w:t>至</w:t>
      </w:r>
      <w:r>
        <w:rPr>
          <w:rFonts w:hint="eastAsia"/>
          <w:lang w:val="en-US" w:eastAsia="zh-CN"/>
        </w:rPr>
        <w:t>Top-K语段</w:t>
      </w:r>
      <w:r>
        <w:rPr>
          <w:rFonts w:hint="eastAsia"/>
        </w:rPr>
        <w:t>，从而挤占原本最相关证据并削弱RAG的grounding能力。该方法改进前人HotFlip算法[]，采用梯度引导的离散搜索以在巨大的离散词元空间中高效逼近最优对抗段落，从而获得对未见查询的泛化攻击效果。</w:t>
      </w:r>
    </w:p>
    <w:p w14:paraId="3B056D4F">
      <w:pPr>
        <w:ind w:firstLine="480"/>
      </w:pPr>
      <w:r>
        <w:t>RAG Paradox</w:t>
      </w:r>
      <w:r>
        <w:rPr>
          <w:rFonts w:hint="eastAsia"/>
        </w:rPr>
        <w:t>[]：该方法提出一种更现实的黑盒攻击，通过观察系统暴露的检索结果与来源来反推检索偏好，并将投毒内容发布到这些可上传的外部平台，从而影响后续检索与回答。其方法核心对查询做语义成分分解，再分析高排名文档如何体现这些成分，从而归纳检索器隐含偏好，并据此生成既提升可检索性、又保持文本连贯自然的投毒文档。</w:t>
      </w:r>
    </w:p>
    <w:p w14:paraId="5A3F4AF6">
      <w:pPr>
        <w:ind w:firstLine="480"/>
      </w:pPr>
      <w:r>
        <w:rPr>
          <w:rFonts w:hint="eastAsia"/>
        </w:rPr>
        <w:t>DIGA[]：该方法属于典型的非定向语料投毒，其目标不是针对某个固定问答对植入“指定答案”，而是构造能影响大量查询的对抗性段落，使其更容易被检索器选中，从而系统性干扰RAG的检索。该方法利用检索器对词序不敏感以及对少数“高影响词元”存在偏置的特性，以遗传算法为框架生成对抗段落。</w:t>
      </w:r>
    </w:p>
    <w:p w14:paraId="492BA259">
      <w:pPr>
        <w:pStyle w:val="4"/>
      </w:pPr>
      <w:bookmarkStart w:id="35" w:name="_Toc16898"/>
      <w:r>
        <w:rPr>
          <w:rFonts w:hint="eastAsia"/>
        </w:rPr>
        <w:t xml:space="preserve">4.3.3  </w:t>
      </w:r>
      <w:r>
        <w:t>目标RAG系统</w:t>
      </w:r>
      <w:bookmarkEnd w:id="35"/>
    </w:p>
    <w:p w14:paraId="2A000826">
      <w:pPr>
        <w:ind w:firstLine="480"/>
      </w:pPr>
      <w:r>
        <w:rPr>
          <w:rFonts w:hint="eastAsia"/>
        </w:rPr>
        <w:t>为保证基线对比的可控性与可复现性，本研究默认在Contriever检索器与GPT-4o模型搭建的RAG系统上完成主实验与消融实验，并在迁移实验中进一步更换检索器与生成模型以验证方法的可迁移性。其中检索模型从Contriever迁移至DPR-nq、ANCE；生成模型从GPT-4o进一步扩展为Llama-3-8B、Qwen2-7B-Instruct。</w:t>
      </w:r>
      <w:r>
        <w:t>本文额外采用Qwen2.5-1.5B基础模型作为困惑度评估器，用于计算候选对抗文档的文档级困惑度</w:t>
      </w:r>
      <w:r>
        <w:rPr>
          <w:rFonts w:hint="eastAsia"/>
          <w:lang w:val="en-US" w:eastAsia="zh-CN"/>
        </w:rPr>
        <w:t>以支持约束违反的判断及种群筛选</w:t>
      </w:r>
      <w:r>
        <w:t>。</w:t>
      </w:r>
    </w:p>
    <w:p w14:paraId="5E456F26">
      <w:pPr>
        <w:pStyle w:val="4"/>
      </w:pPr>
      <w:bookmarkStart w:id="36" w:name="_Toc18765"/>
      <w:r>
        <w:rPr>
          <w:rFonts w:hint="eastAsia"/>
        </w:rPr>
        <w:t>4.3.4  评价指标与实验设计</w:t>
      </w:r>
      <w:bookmarkEnd w:id="36"/>
    </w:p>
    <w:p w14:paraId="28C5DA60">
      <w:pPr>
        <w:ind w:firstLine="480"/>
      </w:pPr>
      <w:r>
        <w:rPr>
          <w:rFonts w:hint="eastAsia"/>
        </w:rPr>
        <w:t>本研究实验采用两个评价指标。其一为攻击成功率（Attack Success Rate，ASR），即在所有测试查询中，大模型的回复在语义上蕴含目标错误答案的百分比，用于衡量当对抗文档注入知识库后，RAG系统在查询集上的失真程度。其二为对抗段落检索命中率（Retrieval Success Rate，RSR），即在所有测试查询中，</w:t>
      </w:r>
      <w:r>
        <w:rPr>
          <w:rFonts w:hint="eastAsia"/>
          <w:lang w:val="en-US" w:eastAsia="zh-CN"/>
        </w:rPr>
        <w:t>与当前问题对应的对抗文本</w:t>
      </w:r>
      <w:r>
        <w:rPr>
          <w:rFonts w:hint="eastAsia"/>
        </w:rPr>
        <w:t>进入</w:t>
      </w:r>
      <w:r>
        <w:rPr>
          <w:rFonts w:hint="eastAsia"/>
          <w:lang w:eastAsia="zh-CN"/>
        </w:rPr>
        <w:t>Top-K</w:t>
      </w:r>
      <w:r>
        <w:rPr>
          <w:rFonts w:hint="eastAsia"/>
        </w:rPr>
        <w:t>的查询比例。</w:t>
      </w:r>
      <w:r>
        <w:rPr>
          <w:rFonts w:hint="eastAsia"/>
          <w:lang w:val="en-US" w:eastAsia="zh-CN"/>
        </w:rPr>
        <w:t>对于切分后入库的数据集与对抗文档，只要该对抗文档任意段落进入Top-K即记为命中。</w:t>
      </w:r>
      <w:r>
        <w:rPr>
          <w:rFonts w:hint="eastAsia"/>
        </w:rPr>
        <w:t>本文默认k=10。对于ASR的判定，本文采用“子串匹配+人工复核”的方式，即首先在生成回复中匹配是否存在目标错误答案完全一致的内容（忽略大小写等因素）</w:t>
      </w:r>
      <w:r>
        <w:rPr>
          <w:rFonts w:hint="eastAsia"/>
          <w:lang w:eastAsia="zh-CN"/>
        </w:rPr>
        <w:t>，对</w:t>
      </w:r>
      <w:r>
        <w:rPr>
          <w:rFonts w:hint="eastAsia"/>
        </w:rPr>
        <w:t>被判定为无的进一步进行人工复核，避免格式异常或语义一致但表述不同的情况，并最终确认含有目标错误答案的回复数量。</w:t>
      </w:r>
    </w:p>
    <w:p w14:paraId="495758FC">
      <w:pPr>
        <w:ind w:firstLine="480"/>
      </w:pPr>
      <w:r>
        <w:rPr>
          <w:rFonts w:hint="eastAsia"/>
        </w:rPr>
        <w:t>本文共完成四组实验。首先在NQ、</w:t>
      </w:r>
      <w:r>
        <w:rPr>
          <w:rFonts w:hint="eastAsia"/>
          <w:lang w:val="en-US" w:eastAsia="zh-CN"/>
        </w:rPr>
        <w:t>FinQA</w:t>
      </w:r>
      <w:r>
        <w:rPr>
          <w:rFonts w:hint="eastAsia"/>
        </w:rPr>
        <w:t>与PANDAX三个数据集上进行跨数据集的攻击效果对比实验。在实验组织上，本文对每种攻击方法独立运行五轮，</w:t>
      </w:r>
      <w:r>
        <w:rPr>
          <w:rFonts w:hint="eastAsia"/>
          <w:lang w:val="en-US" w:eastAsia="zh-CN"/>
        </w:rPr>
        <w:t>每轮</w:t>
      </w:r>
      <w:r>
        <w:rPr>
          <w:rFonts w:hint="eastAsia"/>
        </w:rPr>
        <w:t>在NQ和</w:t>
      </w:r>
      <w:r>
        <w:rPr>
          <w:rFonts w:hint="eastAsia"/>
          <w:lang w:val="en-US" w:eastAsia="zh-CN"/>
        </w:rPr>
        <w:t>FinQA</w:t>
      </w:r>
      <w:r>
        <w:rPr>
          <w:rFonts w:hint="eastAsia"/>
        </w:rPr>
        <w:t>数据集上分别随机抽取20个目标问题，在PANDAX数据集上随机抽取15个目标问题</w:t>
      </w:r>
      <w:r>
        <w:rPr>
          <w:rFonts w:hint="eastAsia"/>
          <w:lang w:eastAsia="zh-CN"/>
        </w:rPr>
        <w:t>。对于NQ，采用其BEIR检索版本，因其</w:t>
      </w:r>
      <w:r>
        <w:rPr>
          <w:rFonts w:hint="eastAsia"/>
          <w:lang w:val="en-US" w:eastAsia="zh-CN"/>
        </w:rPr>
        <w:t>语料</w:t>
      </w:r>
      <w:r>
        <w:rPr>
          <w:rFonts w:hint="eastAsia"/>
          <w:lang w:eastAsia="zh-CN"/>
        </w:rPr>
        <w:t>本身即为</w:t>
      </w:r>
      <w:r>
        <w:rPr>
          <w:rFonts w:hint="eastAsia"/>
          <w:lang w:val="en-US" w:eastAsia="zh-CN"/>
        </w:rPr>
        <w:t>短篇文本</w:t>
      </w:r>
      <w:r>
        <w:rPr>
          <w:rFonts w:hint="eastAsia"/>
          <w:lang w:eastAsia="zh-CN"/>
        </w:rPr>
        <w:t>且单条语料通常约为50–200</w:t>
      </w:r>
      <w:r>
        <w:rPr>
          <w:rFonts w:hint="eastAsia"/>
          <w:lang w:val="en-US" w:eastAsia="zh-CN"/>
        </w:rPr>
        <w:t>词</w:t>
      </w:r>
      <w:r>
        <w:rPr>
          <w:rFonts w:hint="eastAsia"/>
          <w:lang w:eastAsia="zh-CN"/>
        </w:rPr>
        <w:t>，故</w:t>
      </w:r>
      <w:r>
        <w:rPr>
          <w:rFonts w:hint="eastAsia"/>
          <w:lang w:val="en-US" w:eastAsia="zh-CN"/>
        </w:rPr>
        <w:t>依照前人实验方式</w:t>
      </w:r>
      <w:r>
        <w:rPr>
          <w:rFonts w:hint="eastAsia"/>
          <w:lang w:eastAsia="zh-CN"/>
        </w:rPr>
        <w:t>不再额外切分，直接将</w:t>
      </w:r>
      <w:r>
        <w:rPr>
          <w:rFonts w:hint="eastAsia"/>
          <w:lang w:val="en-US" w:eastAsia="zh-CN"/>
        </w:rPr>
        <w:t>全部语料</w:t>
      </w:r>
      <w:r>
        <w:rPr>
          <w:rFonts w:hint="eastAsia"/>
          <w:lang w:eastAsia="zh-CN"/>
        </w:rPr>
        <w:t>文本存入向量数据库，并在每轮实验中围绕20个目标问题分别生成20篇长度约为100–200</w:t>
      </w:r>
      <w:r>
        <w:rPr>
          <w:rFonts w:hint="eastAsia"/>
          <w:lang w:val="en-US" w:eastAsia="zh-CN"/>
        </w:rPr>
        <w:t>词</w:t>
      </w:r>
      <w:r>
        <w:rPr>
          <w:rFonts w:hint="eastAsia"/>
          <w:lang w:eastAsia="zh-CN"/>
        </w:rPr>
        <w:t>的对抗语料，直接作为新的</w:t>
      </w:r>
      <w:r>
        <w:rPr>
          <w:rFonts w:hint="eastAsia"/>
          <w:lang w:val="en-US" w:eastAsia="zh-CN"/>
        </w:rPr>
        <w:t>语料</w:t>
      </w:r>
      <w:r>
        <w:rPr>
          <w:rFonts w:hint="eastAsia"/>
          <w:lang w:eastAsia="zh-CN"/>
        </w:rPr>
        <w:t>注入知识库。对于FinQA，考虑其原始语料在本文实验实现中单条约为700</w:t>
      </w:r>
      <w:r>
        <w:rPr>
          <w:rFonts w:hint="eastAsia"/>
          <w:lang w:val="en-US" w:eastAsia="zh-CN"/>
        </w:rPr>
        <w:t>词</w:t>
      </w:r>
      <w:r>
        <w:rPr>
          <w:rFonts w:hint="eastAsia"/>
          <w:lang w:eastAsia="zh-CN"/>
        </w:rPr>
        <w:t>、</w:t>
      </w:r>
      <w:r>
        <w:rPr>
          <w:rFonts w:hint="eastAsia"/>
          <w:lang w:val="en-US" w:eastAsia="zh-CN"/>
        </w:rPr>
        <w:t>即</w:t>
      </w:r>
      <w:r>
        <w:rPr>
          <w:rFonts w:hint="eastAsia"/>
          <w:lang w:eastAsia="zh-CN"/>
        </w:rPr>
        <w:t>900–950</w:t>
      </w:r>
      <w:r>
        <w:rPr>
          <w:rFonts w:hint="eastAsia"/>
          <w:lang w:val="en-US" w:eastAsia="zh-CN"/>
        </w:rPr>
        <w:t>词元</w:t>
      </w:r>
      <w:r>
        <w:rPr>
          <w:rFonts w:hint="eastAsia"/>
          <w:lang w:eastAsia="zh-CN"/>
        </w:rPr>
        <w:t>，因此先按256</w:t>
      </w:r>
      <w:r>
        <w:rPr>
          <w:rFonts w:hint="eastAsia"/>
          <w:lang w:val="en-US" w:eastAsia="zh-CN"/>
        </w:rPr>
        <w:t>词元</w:t>
      </w:r>
      <w:r>
        <w:rPr>
          <w:rFonts w:hint="eastAsia"/>
          <w:lang w:eastAsia="zh-CN"/>
        </w:rPr>
        <w:t>、</w:t>
      </w:r>
      <w:r>
        <w:rPr>
          <w:rFonts w:hint="eastAsia"/>
          <w:lang w:val="en-US" w:eastAsia="zh-CN"/>
        </w:rPr>
        <w:t>相邻块重叠32词元</w:t>
      </w:r>
      <w:r>
        <w:rPr>
          <w:rFonts w:hint="eastAsia"/>
          <w:lang w:eastAsia="zh-CN"/>
        </w:rPr>
        <w:t>的规则切分后建立知识库；每轮围绕20个目标问题生成20篇长度约为600–800</w:t>
      </w:r>
      <w:r>
        <w:rPr>
          <w:rFonts w:hint="eastAsia"/>
          <w:lang w:val="en-US" w:eastAsia="zh-CN"/>
        </w:rPr>
        <w:t>词</w:t>
      </w:r>
      <w:r>
        <w:rPr>
          <w:rFonts w:hint="eastAsia"/>
          <w:lang w:eastAsia="zh-CN"/>
        </w:rPr>
        <w:t>的对抗语料，并按照同样的切分策略后注入知识库。对于PANDAX，</w:t>
      </w:r>
      <w:r>
        <w:rPr>
          <w:rFonts w:hint="eastAsia"/>
          <w:lang w:val="en-US" w:eastAsia="zh-CN"/>
        </w:rPr>
        <w:t>本文</w:t>
      </w:r>
      <w:r>
        <w:rPr>
          <w:rFonts w:hint="eastAsia"/>
          <w:lang w:eastAsia="zh-CN"/>
        </w:rPr>
        <w:t>仅使用其配套提供的20篇工业专利PDF文件作为工业领域知识库语料，</w:t>
      </w:r>
      <w:r>
        <w:rPr>
          <w:rFonts w:hint="eastAsia"/>
          <w:lang w:val="en-US" w:eastAsia="zh-CN"/>
        </w:rPr>
        <w:t>按照前述切分策略</w:t>
      </w:r>
      <w:r>
        <w:rPr>
          <w:rFonts w:hint="eastAsia"/>
        </w:rPr>
        <w:t>构建知识库并建立向量索引，</w:t>
      </w:r>
      <w:r>
        <w:rPr>
          <w:rFonts w:hint="eastAsia"/>
          <w:lang w:val="en-US" w:eastAsia="zh-CN"/>
        </w:rPr>
        <w:t>然后</w:t>
      </w:r>
      <w:r>
        <w:rPr>
          <w:rFonts w:hint="eastAsia"/>
          <w:lang w:eastAsia="zh-CN"/>
        </w:rPr>
        <w:t>对20篇专利文件构造测试问题，在每轮实验中随机抽取其中15个目标问题，</w:t>
      </w:r>
      <w:r>
        <w:rPr>
          <w:rFonts w:hint="eastAsia"/>
        </w:rPr>
        <w:t>由本文方法与各基线方法生成</w:t>
      </w:r>
      <w:r>
        <w:rPr>
          <w:rFonts w:hint="eastAsia"/>
          <w:lang w:eastAsia="zh-CN"/>
        </w:rPr>
        <w:t>长度约为1000</w:t>
      </w:r>
      <w:r>
        <w:rPr>
          <w:rFonts w:hint="eastAsia"/>
          <w:lang w:val="en-US" w:eastAsia="zh-CN"/>
        </w:rPr>
        <w:t>词</w:t>
      </w:r>
      <w:r>
        <w:rPr>
          <w:rFonts w:hint="eastAsia"/>
          <w:lang w:eastAsia="zh-CN"/>
        </w:rPr>
        <w:t>的</w:t>
      </w:r>
      <w:r>
        <w:rPr>
          <w:rFonts w:hint="eastAsia"/>
        </w:rPr>
        <w:t>投毒文本并</w:t>
      </w:r>
      <w:r>
        <w:rPr>
          <w:rFonts w:hint="eastAsia"/>
          <w:lang w:val="en-US" w:eastAsia="zh-CN"/>
        </w:rPr>
        <w:t>按相同方式切分</w:t>
      </w:r>
      <w:r>
        <w:rPr>
          <w:rFonts w:hint="eastAsia"/>
        </w:rPr>
        <w:t>注入知识库形成污染版本</w:t>
      </w:r>
      <w:r>
        <w:rPr>
          <w:rFonts w:hint="eastAsia"/>
          <w:lang w:eastAsia="zh-CN"/>
        </w:rPr>
        <w:t>。</w:t>
      </w:r>
      <w:r>
        <w:rPr>
          <w:rFonts w:hint="eastAsia"/>
        </w:rPr>
        <w:t>最终在每个数据集上对五轮表现计算平均值得到ASR与RSR。</w:t>
      </w:r>
    </w:p>
    <w:p w14:paraId="36FD99A8">
      <w:pPr>
        <w:ind w:firstLine="480"/>
      </w:pPr>
      <w:r>
        <w:rPr>
          <w:rFonts w:hint="eastAsia"/>
        </w:rPr>
        <w:t>其次进行消融实验，围绕所设计的BOGA-RAGP算法的随机语句采样初始化与固定温度参数这两个关键机制进行逐项剥离，明确各步骤设计是否确实分别贡献于检索命中与端到端攻击。消融实验每次仅移除一个模块并保持其余设置不变，且仍采用与主实验一致的RAG系统配置与评价指标变化刻画各模块的必要性，以避免外部因素干扰。</w:t>
      </w:r>
    </w:p>
    <w:p w14:paraId="39FCA144">
      <w:pPr>
        <w:ind w:firstLine="480"/>
      </w:pPr>
      <w:r>
        <w:rPr>
          <w:rFonts w:hint="eastAsia"/>
        </w:rPr>
        <w:t>为了验证所提算法在不同RAG系统上的泛化性，遵循4.3.3中所述，将实验迁移到四种不同检索器与生成模型组合进行测试。迁移实验过程中保持文本分块方式、知识库构建策略等其他因素不变，仅替换检索与生成模型，检验算法是否仍能稳定诱导对抗段落的检索与错误答案的生成。</w:t>
      </w:r>
    </w:p>
    <w:p w14:paraId="2BC38260">
      <w:pPr>
        <w:ind w:firstLine="480"/>
      </w:pPr>
      <w:r>
        <w:rPr>
          <w:rFonts w:hint="eastAsia"/>
        </w:rPr>
        <w:t>最后进行鲁棒性实验，验证所提算法抵抗现有防御方法的能力。在不改变目标RAG系统的前提下，引入困惑度检测[,,]和文档改写[]两种防御方法。部署防御后，重新在PANDAX数据集上评估本文方法与基线方法的ASR与RSR，进一步分析攻击方法在现有防御基础上的威胁性。</w:t>
      </w:r>
    </w:p>
    <w:p w14:paraId="066D5A18">
      <w:pPr>
        <w:pStyle w:val="4"/>
      </w:pPr>
      <w:bookmarkStart w:id="37" w:name="_Toc15736"/>
      <w:r>
        <w:rPr>
          <w:rFonts w:hint="eastAsia"/>
        </w:rPr>
        <w:t>4.3.5  实验结果与分析</w:t>
      </w:r>
      <w:bookmarkEnd w:id="37"/>
    </w:p>
    <w:p w14:paraId="2C260D8E">
      <w:pPr>
        <w:ind w:firstLine="480"/>
      </w:pPr>
      <w:r>
        <w:rPr>
          <w:rFonts w:hint="eastAsia"/>
        </w:rPr>
        <w:t>依据4.3.4节的实验设置，ASR与RSR作为核心评价指标，并取五轮实验结果平均值作为结果。本节对跨数据集对比、消融、迁移与防御下鲁棒性四组实验结果进行展示与分析。</w:t>
      </w:r>
    </w:p>
    <w:p w14:paraId="4AE2DB53">
      <w:pPr>
        <w:ind w:firstLine="480"/>
      </w:pPr>
      <w:r>
        <w:rPr>
          <w:rFonts w:hint="eastAsia"/>
        </w:rPr>
        <w:t>对比实验结果如表4-1所示。实验结果表明，本文提出的BOGA-RAGP在NQ、</w:t>
      </w:r>
      <w:r>
        <w:rPr>
          <w:rFonts w:hint="eastAsia"/>
          <w:lang w:val="en-US" w:eastAsia="zh-CN"/>
        </w:rPr>
        <w:t>FinQA</w:t>
      </w:r>
      <w:r>
        <w:rPr>
          <w:rFonts w:hint="eastAsia"/>
        </w:rPr>
        <w:t>与PANDAX三个数据集上均表现出稳定且突出的攻击效果，在ASR与RSR两项指标上整体优于对比基线，尤其在PANDAX数据集上，本文方法在工业场景下的表现尤为突出，ASR平均达到90.7%，RSR平均达到93.3%，相比黑盒基线方法大幅提升，比白盒方法也略有提升。这得益于双目标优化框架在检索成功率与生成诱导能力间的平衡，避免了基线方法如DIGA较低的ASR和RSR导致的泛化不足。</w:t>
      </w:r>
    </w:p>
    <w:p w14:paraId="7C04D7B7">
      <w:pPr>
        <w:pStyle w:val="9"/>
        <w:keepNext/>
      </w:pPr>
      <w:r>
        <w:rPr>
          <w:rFonts w:hint="eastAsia"/>
        </w:rPr>
        <w:t>表4</w:t>
      </w:r>
      <w:r>
        <w:noBreakHyphen/>
      </w:r>
      <w:r>
        <w:fldChar w:fldCharType="begin"/>
      </w:r>
      <w:r>
        <w:instrText xml:space="preserve"> </w:instrText>
      </w:r>
      <w:r>
        <w:rPr>
          <w:rFonts w:hint="eastAsia"/>
        </w:rPr>
        <w:instrText xml:space="preserve">SEQ 表格 \* ARABIC \s 1</w:instrText>
      </w:r>
      <w:r>
        <w:instrText xml:space="preserve"> </w:instrText>
      </w:r>
      <w:r>
        <w:fldChar w:fldCharType="separate"/>
      </w:r>
      <w:r>
        <w:t>1</w:t>
      </w:r>
      <w:r>
        <w:fldChar w:fldCharType="end"/>
      </w:r>
      <w:r>
        <w:rPr>
          <w:rFonts w:hint="eastAsia"/>
        </w:rPr>
        <w:t xml:space="preserve"> 攻击算法与基线方法的对比实验结果（单位：%）</w:t>
      </w:r>
    </w:p>
    <w:tbl>
      <w:tblPr>
        <w:tblStyle w:val="37"/>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6"/>
        <w:gridCol w:w="1130"/>
        <w:gridCol w:w="1121"/>
        <w:gridCol w:w="1131"/>
        <w:gridCol w:w="1121"/>
        <w:gridCol w:w="1131"/>
        <w:gridCol w:w="1121"/>
      </w:tblGrid>
      <w:tr w14:paraId="6C593E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restart"/>
            <w:tcBorders>
              <w:top w:val="single" w:color="auto" w:sz="12" w:space="0"/>
            </w:tcBorders>
            <w:vAlign w:val="center"/>
          </w:tcPr>
          <w:p w14:paraId="60D47C24">
            <w:pPr>
              <w:pStyle w:val="94"/>
            </w:pPr>
            <w:r>
              <w:rPr>
                <w:rFonts w:hint="eastAsia"/>
              </w:rPr>
              <w:t>攻击方法</w:t>
            </w:r>
          </w:p>
        </w:tc>
        <w:tc>
          <w:tcPr>
            <w:tcW w:w="2268" w:type="dxa"/>
            <w:gridSpan w:val="2"/>
            <w:tcBorders>
              <w:top w:val="single" w:color="auto" w:sz="12" w:space="0"/>
              <w:bottom w:val="single" w:color="auto" w:sz="8" w:space="0"/>
            </w:tcBorders>
            <w:vAlign w:val="center"/>
          </w:tcPr>
          <w:p w14:paraId="52AB6A3D">
            <w:pPr>
              <w:pStyle w:val="94"/>
            </w:pPr>
            <w:r>
              <w:rPr>
                <w:rFonts w:hint="eastAsia"/>
              </w:rPr>
              <w:t>NQ</w:t>
            </w:r>
          </w:p>
        </w:tc>
        <w:tc>
          <w:tcPr>
            <w:tcW w:w="2268" w:type="dxa"/>
            <w:gridSpan w:val="2"/>
            <w:tcBorders>
              <w:top w:val="single" w:color="auto" w:sz="12" w:space="0"/>
              <w:bottom w:val="single" w:color="auto" w:sz="8" w:space="0"/>
            </w:tcBorders>
            <w:vAlign w:val="center"/>
          </w:tcPr>
          <w:p w14:paraId="151774FD">
            <w:pPr>
              <w:pStyle w:val="94"/>
              <w:rPr>
                <w:rFonts w:hint="eastAsia" w:eastAsia="宋体"/>
                <w:lang w:eastAsia="zh-CN"/>
              </w:rPr>
            </w:pPr>
            <w:r>
              <w:rPr>
                <w:rFonts w:hint="eastAsia"/>
                <w:lang w:val="en-US" w:eastAsia="zh-CN"/>
              </w:rPr>
              <w:t>FinQA</w:t>
            </w:r>
          </w:p>
        </w:tc>
        <w:tc>
          <w:tcPr>
            <w:tcW w:w="2268" w:type="dxa"/>
            <w:gridSpan w:val="2"/>
            <w:tcBorders>
              <w:top w:val="single" w:color="auto" w:sz="12" w:space="0"/>
              <w:bottom w:val="single" w:color="auto" w:sz="8" w:space="0"/>
            </w:tcBorders>
            <w:vAlign w:val="center"/>
          </w:tcPr>
          <w:p w14:paraId="3FEFC4AF">
            <w:pPr>
              <w:pStyle w:val="94"/>
            </w:pPr>
            <w:r>
              <w:rPr>
                <w:rFonts w:hint="eastAsia"/>
              </w:rPr>
              <w:t>PANDAX</w:t>
            </w:r>
          </w:p>
        </w:tc>
      </w:tr>
      <w:tr w14:paraId="4A5F6F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continue"/>
            <w:tcBorders>
              <w:bottom w:val="single" w:color="auto" w:sz="8" w:space="0"/>
            </w:tcBorders>
          </w:tcPr>
          <w:p w14:paraId="36D0ADCB">
            <w:pPr>
              <w:pStyle w:val="94"/>
            </w:pPr>
          </w:p>
        </w:tc>
        <w:tc>
          <w:tcPr>
            <w:tcW w:w="1134" w:type="dxa"/>
            <w:tcBorders>
              <w:top w:val="single" w:color="auto" w:sz="8" w:space="0"/>
              <w:bottom w:val="single" w:color="auto" w:sz="8" w:space="0"/>
            </w:tcBorders>
          </w:tcPr>
          <w:p w14:paraId="7EA82387">
            <w:pPr>
              <w:pStyle w:val="94"/>
            </w:pPr>
            <w:r>
              <w:rPr>
                <w:rFonts w:hint="eastAsia"/>
              </w:rPr>
              <w:t>ASR</w:t>
            </w:r>
          </w:p>
        </w:tc>
        <w:tc>
          <w:tcPr>
            <w:tcW w:w="1134" w:type="dxa"/>
            <w:tcBorders>
              <w:top w:val="single" w:color="auto" w:sz="8" w:space="0"/>
              <w:bottom w:val="single" w:color="auto" w:sz="8" w:space="0"/>
            </w:tcBorders>
          </w:tcPr>
          <w:p w14:paraId="1367E9A2">
            <w:pPr>
              <w:pStyle w:val="94"/>
            </w:pPr>
            <w:r>
              <w:rPr>
                <w:rFonts w:hint="eastAsia"/>
              </w:rPr>
              <w:t>RSR</w:t>
            </w:r>
          </w:p>
        </w:tc>
        <w:tc>
          <w:tcPr>
            <w:tcW w:w="1134" w:type="dxa"/>
            <w:tcBorders>
              <w:top w:val="single" w:color="auto" w:sz="8" w:space="0"/>
              <w:bottom w:val="single" w:color="auto" w:sz="8" w:space="0"/>
            </w:tcBorders>
          </w:tcPr>
          <w:p w14:paraId="147A9B6F">
            <w:pPr>
              <w:pStyle w:val="94"/>
            </w:pPr>
            <w:r>
              <w:rPr>
                <w:rFonts w:hint="eastAsia"/>
              </w:rPr>
              <w:t>ASR</w:t>
            </w:r>
          </w:p>
        </w:tc>
        <w:tc>
          <w:tcPr>
            <w:tcW w:w="1134" w:type="dxa"/>
            <w:tcBorders>
              <w:top w:val="single" w:color="auto" w:sz="8" w:space="0"/>
              <w:bottom w:val="single" w:color="auto" w:sz="8" w:space="0"/>
            </w:tcBorders>
          </w:tcPr>
          <w:p w14:paraId="3EA9B1EA">
            <w:pPr>
              <w:pStyle w:val="94"/>
            </w:pPr>
            <w:r>
              <w:rPr>
                <w:rFonts w:hint="eastAsia"/>
              </w:rPr>
              <w:t>RSR</w:t>
            </w:r>
          </w:p>
        </w:tc>
        <w:tc>
          <w:tcPr>
            <w:tcW w:w="1134" w:type="dxa"/>
            <w:tcBorders>
              <w:top w:val="single" w:color="auto" w:sz="8" w:space="0"/>
              <w:bottom w:val="single" w:color="auto" w:sz="8" w:space="0"/>
            </w:tcBorders>
          </w:tcPr>
          <w:p w14:paraId="0F1B2784">
            <w:pPr>
              <w:pStyle w:val="94"/>
            </w:pPr>
            <w:r>
              <w:rPr>
                <w:rFonts w:hint="eastAsia"/>
              </w:rPr>
              <w:t>ASR</w:t>
            </w:r>
          </w:p>
        </w:tc>
        <w:tc>
          <w:tcPr>
            <w:tcW w:w="1134" w:type="dxa"/>
            <w:tcBorders>
              <w:top w:val="single" w:color="auto" w:sz="8" w:space="0"/>
              <w:bottom w:val="single" w:color="auto" w:sz="8" w:space="0"/>
            </w:tcBorders>
          </w:tcPr>
          <w:p w14:paraId="1FC7ADB3">
            <w:pPr>
              <w:pStyle w:val="94"/>
            </w:pPr>
            <w:r>
              <w:rPr>
                <w:rFonts w:hint="eastAsia"/>
              </w:rPr>
              <w:t>RSR</w:t>
            </w:r>
          </w:p>
        </w:tc>
      </w:tr>
      <w:tr w14:paraId="4AEE62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auto" w:sz="8" w:space="0"/>
            </w:tcBorders>
          </w:tcPr>
          <w:p w14:paraId="4A358EA3">
            <w:pPr>
              <w:pStyle w:val="94"/>
            </w:pPr>
            <w:r>
              <w:rPr>
                <w:rFonts w:hint="eastAsia"/>
              </w:rPr>
              <w:t>Phantom</w:t>
            </w:r>
          </w:p>
        </w:tc>
        <w:tc>
          <w:tcPr>
            <w:tcW w:w="1134" w:type="dxa"/>
            <w:tcBorders>
              <w:top w:val="single" w:color="auto" w:sz="8" w:space="0"/>
            </w:tcBorders>
          </w:tcPr>
          <w:p w14:paraId="03ADCF6C">
            <w:pPr>
              <w:pStyle w:val="94"/>
            </w:pPr>
            <w:r>
              <w:rPr>
                <w:rFonts w:hint="eastAsia"/>
              </w:rPr>
              <w:t>88.0</w:t>
            </w:r>
          </w:p>
        </w:tc>
        <w:tc>
          <w:tcPr>
            <w:tcW w:w="1134" w:type="dxa"/>
            <w:tcBorders>
              <w:top w:val="single" w:color="auto" w:sz="8" w:space="0"/>
            </w:tcBorders>
          </w:tcPr>
          <w:p w14:paraId="3DFB0B4C">
            <w:pPr>
              <w:pStyle w:val="94"/>
            </w:pPr>
            <w:r>
              <w:rPr>
                <w:rFonts w:hint="eastAsia"/>
              </w:rPr>
              <w:t>91.0</w:t>
            </w:r>
          </w:p>
        </w:tc>
        <w:tc>
          <w:tcPr>
            <w:tcW w:w="1134" w:type="dxa"/>
            <w:tcBorders>
              <w:top w:val="single" w:color="auto" w:sz="8" w:space="0"/>
            </w:tcBorders>
          </w:tcPr>
          <w:p w14:paraId="62ED2AC3">
            <w:pPr>
              <w:pStyle w:val="94"/>
            </w:pPr>
            <w:r>
              <w:rPr>
                <w:rFonts w:hint="eastAsia"/>
              </w:rPr>
              <w:t>84.0</w:t>
            </w:r>
          </w:p>
        </w:tc>
        <w:tc>
          <w:tcPr>
            <w:tcW w:w="1134" w:type="dxa"/>
            <w:tcBorders>
              <w:top w:val="single" w:color="auto" w:sz="8" w:space="0"/>
            </w:tcBorders>
          </w:tcPr>
          <w:p w14:paraId="3F8E77F8">
            <w:pPr>
              <w:pStyle w:val="94"/>
            </w:pPr>
            <w:r>
              <w:rPr>
                <w:rFonts w:hint="eastAsia"/>
              </w:rPr>
              <w:t>87.0</w:t>
            </w:r>
          </w:p>
        </w:tc>
        <w:tc>
          <w:tcPr>
            <w:tcW w:w="1134" w:type="dxa"/>
            <w:tcBorders>
              <w:top w:val="single" w:color="auto" w:sz="8" w:space="0"/>
            </w:tcBorders>
          </w:tcPr>
          <w:p w14:paraId="579D4BF8">
            <w:pPr>
              <w:pStyle w:val="94"/>
            </w:pPr>
            <w:r>
              <w:rPr>
                <w:rFonts w:hint="eastAsia"/>
              </w:rPr>
              <w:t>85.3</w:t>
            </w:r>
          </w:p>
        </w:tc>
        <w:tc>
          <w:tcPr>
            <w:tcW w:w="1134" w:type="dxa"/>
            <w:tcBorders>
              <w:top w:val="single" w:color="auto" w:sz="8" w:space="0"/>
            </w:tcBorders>
          </w:tcPr>
          <w:p w14:paraId="487851FE">
            <w:pPr>
              <w:pStyle w:val="94"/>
            </w:pPr>
            <w:r>
              <w:rPr>
                <w:rFonts w:hint="eastAsia"/>
              </w:rPr>
              <w:t>88.0</w:t>
            </w:r>
          </w:p>
        </w:tc>
      </w:tr>
      <w:tr w14:paraId="6AAD76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Pr>
          <w:p w14:paraId="3645B18D">
            <w:pPr>
              <w:pStyle w:val="94"/>
            </w:pPr>
            <w:r>
              <w:rPr>
                <w:rFonts w:hint="eastAsia"/>
              </w:rPr>
              <w:t>PoisonedRAG(W/B)</w:t>
            </w:r>
          </w:p>
        </w:tc>
        <w:tc>
          <w:tcPr>
            <w:tcW w:w="1134" w:type="dxa"/>
          </w:tcPr>
          <w:p w14:paraId="2AB93B07">
            <w:pPr>
              <w:pStyle w:val="94"/>
            </w:pPr>
            <w:r>
              <w:rPr>
                <w:rFonts w:hint="eastAsia"/>
              </w:rPr>
              <w:t>91.0/85.0</w:t>
            </w:r>
          </w:p>
        </w:tc>
        <w:tc>
          <w:tcPr>
            <w:tcW w:w="1134" w:type="dxa"/>
          </w:tcPr>
          <w:p w14:paraId="1F1A35FD">
            <w:pPr>
              <w:pStyle w:val="94"/>
            </w:pPr>
            <w:r>
              <w:rPr>
                <w:rFonts w:hint="eastAsia"/>
              </w:rPr>
              <w:t>93.0</w:t>
            </w:r>
          </w:p>
        </w:tc>
        <w:tc>
          <w:tcPr>
            <w:tcW w:w="1134" w:type="dxa"/>
          </w:tcPr>
          <w:p w14:paraId="4B95F876">
            <w:pPr>
              <w:pStyle w:val="94"/>
            </w:pPr>
            <w:r>
              <w:rPr>
                <w:rFonts w:hint="eastAsia"/>
              </w:rPr>
              <w:t>86.0/83.0</w:t>
            </w:r>
          </w:p>
        </w:tc>
        <w:tc>
          <w:tcPr>
            <w:tcW w:w="1134" w:type="dxa"/>
          </w:tcPr>
          <w:p w14:paraId="5369A0A1">
            <w:pPr>
              <w:pStyle w:val="94"/>
            </w:pPr>
            <w:r>
              <w:rPr>
                <w:rFonts w:hint="eastAsia"/>
              </w:rPr>
              <w:t>86.0</w:t>
            </w:r>
          </w:p>
        </w:tc>
        <w:tc>
          <w:tcPr>
            <w:tcW w:w="1134" w:type="dxa"/>
          </w:tcPr>
          <w:p w14:paraId="1644318F">
            <w:pPr>
              <w:pStyle w:val="94"/>
            </w:pPr>
            <w:r>
              <w:rPr>
                <w:rFonts w:hint="eastAsia"/>
              </w:rPr>
              <w:t>89.3/82.7</w:t>
            </w:r>
          </w:p>
        </w:tc>
        <w:tc>
          <w:tcPr>
            <w:tcW w:w="1134" w:type="dxa"/>
          </w:tcPr>
          <w:p w14:paraId="512DF219">
            <w:pPr>
              <w:pStyle w:val="94"/>
            </w:pPr>
            <w:r>
              <w:rPr>
                <w:rFonts w:hint="eastAsia"/>
              </w:rPr>
              <w:t>90.7</w:t>
            </w:r>
          </w:p>
        </w:tc>
      </w:tr>
      <w:tr w14:paraId="499D9B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1BB87E1A">
            <w:pPr>
              <w:pStyle w:val="94"/>
            </w:pPr>
            <w:r>
              <w:rPr>
                <w:rFonts w:hint="eastAsia"/>
              </w:rPr>
              <w:t>CorpusPoisoning</w:t>
            </w:r>
          </w:p>
        </w:tc>
        <w:tc>
          <w:tcPr>
            <w:tcW w:w="1134" w:type="dxa"/>
            <w:vAlign w:val="center"/>
          </w:tcPr>
          <w:p w14:paraId="0FCA65AB">
            <w:pPr>
              <w:pStyle w:val="94"/>
            </w:pPr>
            <w:r>
              <w:rPr>
                <w:rFonts w:hint="eastAsia"/>
              </w:rPr>
              <w:t>93.0</w:t>
            </w:r>
          </w:p>
        </w:tc>
        <w:tc>
          <w:tcPr>
            <w:tcW w:w="1134" w:type="dxa"/>
            <w:vAlign w:val="center"/>
          </w:tcPr>
          <w:p w14:paraId="62AB09C4">
            <w:pPr>
              <w:pStyle w:val="94"/>
            </w:pPr>
            <w:r>
              <w:rPr>
                <w:rFonts w:hint="eastAsia"/>
              </w:rPr>
              <w:t>96.0</w:t>
            </w:r>
          </w:p>
        </w:tc>
        <w:tc>
          <w:tcPr>
            <w:tcW w:w="1134" w:type="dxa"/>
            <w:vAlign w:val="center"/>
          </w:tcPr>
          <w:p w14:paraId="56A28A54">
            <w:pPr>
              <w:pStyle w:val="94"/>
            </w:pPr>
            <w:r>
              <w:rPr>
                <w:rFonts w:hint="eastAsia"/>
              </w:rPr>
              <w:t>86.0</w:t>
            </w:r>
          </w:p>
        </w:tc>
        <w:tc>
          <w:tcPr>
            <w:tcW w:w="1134" w:type="dxa"/>
            <w:vAlign w:val="center"/>
          </w:tcPr>
          <w:p w14:paraId="34A1A876">
            <w:pPr>
              <w:pStyle w:val="94"/>
            </w:pPr>
            <w:r>
              <w:rPr>
                <w:rFonts w:hint="eastAsia"/>
              </w:rPr>
              <w:t>89.0</w:t>
            </w:r>
          </w:p>
        </w:tc>
        <w:tc>
          <w:tcPr>
            <w:tcW w:w="1134" w:type="dxa"/>
            <w:vAlign w:val="center"/>
          </w:tcPr>
          <w:p w14:paraId="38C87894">
            <w:pPr>
              <w:pStyle w:val="94"/>
            </w:pPr>
            <w:r>
              <w:rPr>
                <w:rFonts w:hint="eastAsia"/>
              </w:rPr>
              <w:t>88.0</w:t>
            </w:r>
          </w:p>
        </w:tc>
        <w:tc>
          <w:tcPr>
            <w:tcW w:w="1134" w:type="dxa"/>
            <w:vAlign w:val="center"/>
          </w:tcPr>
          <w:p w14:paraId="7DC6AB11">
            <w:pPr>
              <w:pStyle w:val="94"/>
            </w:pPr>
            <w:r>
              <w:rPr>
                <w:rFonts w:hint="eastAsia"/>
              </w:rPr>
              <w:t>92.0</w:t>
            </w:r>
          </w:p>
        </w:tc>
      </w:tr>
      <w:tr w14:paraId="53342D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3E5795EB">
            <w:pPr>
              <w:pStyle w:val="94"/>
            </w:pPr>
            <w:r>
              <w:rPr>
                <w:rFonts w:hint="eastAsia"/>
              </w:rPr>
              <w:t>RAG Paradox</w:t>
            </w:r>
          </w:p>
        </w:tc>
        <w:tc>
          <w:tcPr>
            <w:tcW w:w="1134" w:type="dxa"/>
            <w:vAlign w:val="center"/>
          </w:tcPr>
          <w:p w14:paraId="411F4086">
            <w:pPr>
              <w:pStyle w:val="94"/>
            </w:pPr>
            <w:r>
              <w:rPr>
                <w:rFonts w:hint="eastAsia"/>
              </w:rPr>
              <w:t>85.0</w:t>
            </w:r>
          </w:p>
        </w:tc>
        <w:tc>
          <w:tcPr>
            <w:tcW w:w="1134" w:type="dxa"/>
          </w:tcPr>
          <w:p w14:paraId="66FB1A96">
            <w:pPr>
              <w:pStyle w:val="94"/>
            </w:pPr>
            <w:r>
              <w:rPr>
                <w:rFonts w:hint="eastAsia"/>
              </w:rPr>
              <w:t>88.0</w:t>
            </w:r>
          </w:p>
        </w:tc>
        <w:tc>
          <w:tcPr>
            <w:tcW w:w="1134" w:type="dxa"/>
            <w:vAlign w:val="center"/>
          </w:tcPr>
          <w:p w14:paraId="4A37D863">
            <w:pPr>
              <w:pStyle w:val="94"/>
            </w:pPr>
            <w:r>
              <w:rPr>
                <w:rFonts w:hint="eastAsia"/>
              </w:rPr>
              <w:t>77.0</w:t>
            </w:r>
          </w:p>
        </w:tc>
        <w:tc>
          <w:tcPr>
            <w:tcW w:w="1134" w:type="dxa"/>
            <w:vAlign w:val="center"/>
          </w:tcPr>
          <w:p w14:paraId="5B753D62">
            <w:pPr>
              <w:pStyle w:val="94"/>
            </w:pPr>
            <w:r>
              <w:rPr>
                <w:rFonts w:hint="eastAsia"/>
              </w:rPr>
              <w:t>81.0</w:t>
            </w:r>
          </w:p>
        </w:tc>
        <w:tc>
          <w:tcPr>
            <w:tcW w:w="1134" w:type="dxa"/>
            <w:vAlign w:val="center"/>
          </w:tcPr>
          <w:p w14:paraId="3BC0B643">
            <w:pPr>
              <w:pStyle w:val="94"/>
            </w:pPr>
            <w:r>
              <w:rPr>
                <w:rFonts w:hint="eastAsia"/>
              </w:rPr>
              <w:t>77.3</w:t>
            </w:r>
          </w:p>
        </w:tc>
        <w:tc>
          <w:tcPr>
            <w:tcW w:w="1134" w:type="dxa"/>
          </w:tcPr>
          <w:p w14:paraId="6B1D0420">
            <w:pPr>
              <w:pStyle w:val="94"/>
            </w:pPr>
            <w:r>
              <w:rPr>
                <w:rFonts w:hint="eastAsia"/>
              </w:rPr>
              <w:t>82.7</w:t>
            </w:r>
          </w:p>
        </w:tc>
      </w:tr>
      <w:tr w14:paraId="516639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13AFFA27">
            <w:pPr>
              <w:pStyle w:val="94"/>
            </w:pPr>
            <w:r>
              <w:rPr>
                <w:rFonts w:hint="eastAsia"/>
              </w:rPr>
              <w:t>DIGA</w:t>
            </w:r>
          </w:p>
        </w:tc>
        <w:tc>
          <w:tcPr>
            <w:tcW w:w="1134" w:type="dxa"/>
            <w:vAlign w:val="center"/>
          </w:tcPr>
          <w:p w14:paraId="611C5BC5">
            <w:pPr>
              <w:pStyle w:val="94"/>
            </w:pPr>
            <w:r>
              <w:rPr>
                <w:rFonts w:hint="eastAsia"/>
              </w:rPr>
              <w:t>87.0</w:t>
            </w:r>
          </w:p>
        </w:tc>
        <w:tc>
          <w:tcPr>
            <w:tcW w:w="1134" w:type="dxa"/>
          </w:tcPr>
          <w:p w14:paraId="17F977D9">
            <w:pPr>
              <w:pStyle w:val="94"/>
            </w:pPr>
            <w:r>
              <w:rPr>
                <w:rFonts w:hint="eastAsia"/>
              </w:rPr>
              <w:t>90.0</w:t>
            </w:r>
          </w:p>
        </w:tc>
        <w:tc>
          <w:tcPr>
            <w:tcW w:w="1134" w:type="dxa"/>
            <w:vAlign w:val="center"/>
          </w:tcPr>
          <w:p w14:paraId="58778D28">
            <w:pPr>
              <w:pStyle w:val="94"/>
            </w:pPr>
            <w:r>
              <w:rPr>
                <w:rFonts w:hint="eastAsia"/>
              </w:rPr>
              <w:t>81.0</w:t>
            </w:r>
          </w:p>
        </w:tc>
        <w:tc>
          <w:tcPr>
            <w:tcW w:w="1134" w:type="dxa"/>
            <w:vAlign w:val="center"/>
          </w:tcPr>
          <w:p w14:paraId="7D6F22C0">
            <w:pPr>
              <w:pStyle w:val="94"/>
            </w:pPr>
            <w:r>
              <w:rPr>
                <w:rFonts w:hint="eastAsia"/>
              </w:rPr>
              <w:t>84.0</w:t>
            </w:r>
          </w:p>
        </w:tc>
        <w:tc>
          <w:tcPr>
            <w:tcW w:w="1134" w:type="dxa"/>
            <w:vAlign w:val="center"/>
          </w:tcPr>
          <w:p w14:paraId="2B951D2E">
            <w:pPr>
              <w:pStyle w:val="94"/>
            </w:pPr>
            <w:r>
              <w:rPr>
                <w:rFonts w:hint="eastAsia"/>
              </w:rPr>
              <w:t>84.0</w:t>
            </w:r>
          </w:p>
        </w:tc>
        <w:tc>
          <w:tcPr>
            <w:tcW w:w="1134" w:type="dxa"/>
          </w:tcPr>
          <w:p w14:paraId="128D4A40">
            <w:pPr>
              <w:pStyle w:val="94"/>
            </w:pPr>
            <w:r>
              <w:rPr>
                <w:rFonts w:hint="eastAsia"/>
              </w:rPr>
              <w:t>86.7</w:t>
            </w:r>
          </w:p>
        </w:tc>
      </w:tr>
      <w:tr w14:paraId="52E65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59AEB7A5">
            <w:pPr>
              <w:pStyle w:val="94"/>
            </w:pPr>
            <w:r>
              <w:rPr>
                <w:rFonts w:hint="eastAsia"/>
              </w:rPr>
              <w:t>本文算法</w:t>
            </w:r>
          </w:p>
        </w:tc>
        <w:tc>
          <w:tcPr>
            <w:tcW w:w="1134" w:type="dxa"/>
            <w:vAlign w:val="center"/>
          </w:tcPr>
          <w:p w14:paraId="1EC810A8">
            <w:pPr>
              <w:pStyle w:val="94"/>
            </w:pPr>
            <w:r>
              <w:rPr>
                <w:rFonts w:hint="eastAsia"/>
              </w:rPr>
              <w:t>94.0</w:t>
            </w:r>
          </w:p>
        </w:tc>
        <w:tc>
          <w:tcPr>
            <w:tcW w:w="1134" w:type="dxa"/>
          </w:tcPr>
          <w:p w14:paraId="7C33BD17">
            <w:pPr>
              <w:pStyle w:val="94"/>
            </w:pPr>
            <w:r>
              <w:rPr>
                <w:rFonts w:hint="eastAsia"/>
              </w:rPr>
              <w:t>96.0</w:t>
            </w:r>
          </w:p>
        </w:tc>
        <w:tc>
          <w:tcPr>
            <w:tcW w:w="1134" w:type="dxa"/>
            <w:vAlign w:val="center"/>
          </w:tcPr>
          <w:p w14:paraId="67EA272B">
            <w:pPr>
              <w:pStyle w:val="94"/>
            </w:pPr>
            <w:r>
              <w:rPr>
                <w:rFonts w:hint="eastAsia"/>
              </w:rPr>
              <w:t>88.0</w:t>
            </w:r>
          </w:p>
        </w:tc>
        <w:tc>
          <w:tcPr>
            <w:tcW w:w="1134" w:type="dxa"/>
            <w:vAlign w:val="center"/>
          </w:tcPr>
          <w:p w14:paraId="1CED9ABA">
            <w:pPr>
              <w:pStyle w:val="94"/>
            </w:pPr>
            <w:r>
              <w:rPr>
                <w:rFonts w:hint="eastAsia"/>
              </w:rPr>
              <w:t>90.0</w:t>
            </w:r>
          </w:p>
        </w:tc>
        <w:tc>
          <w:tcPr>
            <w:tcW w:w="1134" w:type="dxa"/>
            <w:vAlign w:val="center"/>
          </w:tcPr>
          <w:p w14:paraId="62559FF2">
            <w:pPr>
              <w:pStyle w:val="94"/>
            </w:pPr>
            <w:r>
              <w:rPr>
                <w:rFonts w:hint="eastAsia"/>
              </w:rPr>
              <w:t>90.7</w:t>
            </w:r>
          </w:p>
        </w:tc>
        <w:tc>
          <w:tcPr>
            <w:tcW w:w="1134" w:type="dxa"/>
          </w:tcPr>
          <w:p w14:paraId="09E5E09B">
            <w:pPr>
              <w:pStyle w:val="94"/>
            </w:pPr>
            <w:r>
              <w:rPr>
                <w:rFonts w:hint="eastAsia"/>
              </w:rPr>
              <w:t>93.3</w:t>
            </w:r>
          </w:p>
        </w:tc>
      </w:tr>
    </w:tbl>
    <w:p w14:paraId="6AB2ADA0">
      <w:pPr>
        <w:ind w:firstLine="480"/>
      </w:pPr>
      <w:r>
        <w:rPr>
          <w:rFonts w:hint="eastAsia"/>
        </w:rPr>
        <w:t>消融实验结果如表4-2所示。可以看到，仅将“重要性引导的种群初始化”替换为随机采样初始化后，三个数据集上的ASR与RSR均出现明显下降，这说明重要性引导的初始化能够为搜索提供更高质量的起点，使种群更早覆盖“高影响语句表达”，从而更快形成对检索器相似度更敏感的对抗表征。当进一步对“动态重要性引导变异”的温度策略进行消融时，整体性能同样下降，但下降幅度相对更温和。该现象表明温度调整在遗传搜索中承担了“前期促进探索、后期促进收敛”的作用：当温度固定后，搜索过程更容易出现“探索不足或收敛不足”的折中，从而在检索命中与端到端失真上同时受到影响。</w:t>
      </w:r>
    </w:p>
    <w:p w14:paraId="63BBC6F6">
      <w:pPr>
        <w:pStyle w:val="9"/>
        <w:keepNext/>
      </w:pPr>
      <w:r>
        <w:rPr>
          <w:rFonts w:hint="eastAsia"/>
        </w:rPr>
        <w:t>表4</w:t>
      </w:r>
      <w:r>
        <w:noBreakHyphen/>
      </w:r>
      <w:r>
        <w:rPr>
          <w:rFonts w:hint="eastAsia"/>
        </w:rPr>
        <w:t>2 消融实验结果（单位：%）</w:t>
      </w:r>
    </w:p>
    <w:tbl>
      <w:tblPr>
        <w:tblStyle w:val="37"/>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7"/>
        <w:gridCol w:w="1134"/>
        <w:gridCol w:w="1134"/>
        <w:gridCol w:w="1134"/>
        <w:gridCol w:w="1134"/>
        <w:gridCol w:w="1134"/>
        <w:gridCol w:w="1134"/>
      </w:tblGrid>
      <w:tr w14:paraId="6E9F2A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restart"/>
            <w:tcBorders>
              <w:top w:val="single" w:color="auto" w:sz="12" w:space="0"/>
            </w:tcBorders>
            <w:vAlign w:val="center"/>
          </w:tcPr>
          <w:p w14:paraId="35CCC487">
            <w:pPr>
              <w:pStyle w:val="94"/>
            </w:pPr>
            <w:r>
              <w:rPr>
                <w:rFonts w:hint="eastAsia"/>
              </w:rPr>
              <w:t>消融设置</w:t>
            </w:r>
          </w:p>
        </w:tc>
        <w:tc>
          <w:tcPr>
            <w:tcW w:w="2268" w:type="dxa"/>
            <w:gridSpan w:val="2"/>
            <w:tcBorders>
              <w:top w:val="single" w:color="auto" w:sz="12" w:space="0"/>
              <w:bottom w:val="single" w:color="auto" w:sz="8" w:space="0"/>
            </w:tcBorders>
            <w:vAlign w:val="center"/>
          </w:tcPr>
          <w:p w14:paraId="0B9C3DDF">
            <w:pPr>
              <w:pStyle w:val="94"/>
            </w:pPr>
            <w:r>
              <w:rPr>
                <w:rFonts w:hint="eastAsia"/>
              </w:rPr>
              <w:t>NQ</w:t>
            </w:r>
          </w:p>
        </w:tc>
        <w:tc>
          <w:tcPr>
            <w:tcW w:w="2268" w:type="dxa"/>
            <w:gridSpan w:val="2"/>
            <w:tcBorders>
              <w:top w:val="single" w:color="auto" w:sz="12" w:space="0"/>
              <w:bottom w:val="single" w:color="auto" w:sz="8" w:space="0"/>
            </w:tcBorders>
            <w:vAlign w:val="center"/>
          </w:tcPr>
          <w:p w14:paraId="03FE4ACA">
            <w:pPr>
              <w:pStyle w:val="94"/>
            </w:pPr>
            <w:r>
              <w:rPr>
                <w:rFonts w:hint="eastAsia"/>
                <w:lang w:val="en-US" w:eastAsia="zh-CN"/>
              </w:rPr>
              <w:t>FinQA</w:t>
            </w:r>
          </w:p>
        </w:tc>
        <w:tc>
          <w:tcPr>
            <w:tcW w:w="2268" w:type="dxa"/>
            <w:gridSpan w:val="2"/>
            <w:tcBorders>
              <w:top w:val="single" w:color="auto" w:sz="12" w:space="0"/>
              <w:bottom w:val="single" w:color="auto" w:sz="8" w:space="0"/>
            </w:tcBorders>
            <w:vAlign w:val="center"/>
          </w:tcPr>
          <w:p w14:paraId="4D87D264">
            <w:pPr>
              <w:pStyle w:val="94"/>
            </w:pPr>
            <w:r>
              <w:rPr>
                <w:rFonts w:hint="eastAsia"/>
              </w:rPr>
              <w:t>PANDAX</w:t>
            </w:r>
          </w:p>
        </w:tc>
      </w:tr>
      <w:tr w14:paraId="303BD3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continue"/>
            <w:tcBorders>
              <w:bottom w:val="single" w:color="auto" w:sz="8" w:space="0"/>
            </w:tcBorders>
          </w:tcPr>
          <w:p w14:paraId="6B2311F6">
            <w:pPr>
              <w:pStyle w:val="94"/>
            </w:pPr>
          </w:p>
        </w:tc>
        <w:tc>
          <w:tcPr>
            <w:tcW w:w="1134" w:type="dxa"/>
            <w:tcBorders>
              <w:top w:val="single" w:color="auto" w:sz="8" w:space="0"/>
              <w:bottom w:val="single" w:color="auto" w:sz="8" w:space="0"/>
            </w:tcBorders>
          </w:tcPr>
          <w:p w14:paraId="3B74FAFC">
            <w:pPr>
              <w:pStyle w:val="94"/>
            </w:pPr>
            <w:r>
              <w:rPr>
                <w:rFonts w:hint="eastAsia"/>
              </w:rPr>
              <w:t>ASR</w:t>
            </w:r>
          </w:p>
        </w:tc>
        <w:tc>
          <w:tcPr>
            <w:tcW w:w="1134" w:type="dxa"/>
            <w:tcBorders>
              <w:top w:val="single" w:color="auto" w:sz="8" w:space="0"/>
              <w:bottom w:val="single" w:color="auto" w:sz="8" w:space="0"/>
            </w:tcBorders>
          </w:tcPr>
          <w:p w14:paraId="11CD6FB0">
            <w:pPr>
              <w:pStyle w:val="94"/>
            </w:pPr>
            <w:r>
              <w:rPr>
                <w:rFonts w:hint="eastAsia"/>
              </w:rPr>
              <w:t>RSR</w:t>
            </w:r>
          </w:p>
        </w:tc>
        <w:tc>
          <w:tcPr>
            <w:tcW w:w="1134" w:type="dxa"/>
            <w:tcBorders>
              <w:top w:val="single" w:color="auto" w:sz="8" w:space="0"/>
              <w:bottom w:val="single" w:color="auto" w:sz="8" w:space="0"/>
            </w:tcBorders>
          </w:tcPr>
          <w:p w14:paraId="11427A1F">
            <w:pPr>
              <w:pStyle w:val="94"/>
            </w:pPr>
            <w:r>
              <w:rPr>
                <w:rFonts w:hint="eastAsia"/>
              </w:rPr>
              <w:t>ASR</w:t>
            </w:r>
          </w:p>
        </w:tc>
        <w:tc>
          <w:tcPr>
            <w:tcW w:w="1134" w:type="dxa"/>
            <w:tcBorders>
              <w:top w:val="single" w:color="auto" w:sz="8" w:space="0"/>
              <w:bottom w:val="single" w:color="auto" w:sz="8" w:space="0"/>
            </w:tcBorders>
          </w:tcPr>
          <w:p w14:paraId="3E53C02B">
            <w:pPr>
              <w:pStyle w:val="94"/>
            </w:pPr>
            <w:r>
              <w:rPr>
                <w:rFonts w:hint="eastAsia"/>
              </w:rPr>
              <w:t>RSR</w:t>
            </w:r>
          </w:p>
        </w:tc>
        <w:tc>
          <w:tcPr>
            <w:tcW w:w="1134" w:type="dxa"/>
            <w:tcBorders>
              <w:top w:val="single" w:color="auto" w:sz="8" w:space="0"/>
              <w:bottom w:val="single" w:color="auto" w:sz="8" w:space="0"/>
            </w:tcBorders>
          </w:tcPr>
          <w:p w14:paraId="2E000159">
            <w:pPr>
              <w:pStyle w:val="94"/>
            </w:pPr>
            <w:r>
              <w:rPr>
                <w:rFonts w:hint="eastAsia"/>
              </w:rPr>
              <w:t>ASR</w:t>
            </w:r>
          </w:p>
        </w:tc>
        <w:tc>
          <w:tcPr>
            <w:tcW w:w="1134" w:type="dxa"/>
            <w:tcBorders>
              <w:top w:val="single" w:color="auto" w:sz="8" w:space="0"/>
              <w:bottom w:val="single" w:color="auto" w:sz="8" w:space="0"/>
            </w:tcBorders>
          </w:tcPr>
          <w:p w14:paraId="514070FF">
            <w:pPr>
              <w:pStyle w:val="94"/>
            </w:pPr>
            <w:r>
              <w:rPr>
                <w:rFonts w:hint="eastAsia"/>
              </w:rPr>
              <w:t>RSR</w:t>
            </w:r>
          </w:p>
        </w:tc>
      </w:tr>
      <w:tr w14:paraId="346756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auto" w:sz="8" w:space="0"/>
            </w:tcBorders>
          </w:tcPr>
          <w:p w14:paraId="02255989">
            <w:pPr>
              <w:pStyle w:val="94"/>
            </w:pPr>
            <w:r>
              <w:rPr>
                <w:rFonts w:hint="eastAsia"/>
              </w:rPr>
              <w:t>完整算法</w:t>
            </w:r>
          </w:p>
        </w:tc>
        <w:tc>
          <w:tcPr>
            <w:tcW w:w="1134" w:type="dxa"/>
            <w:tcBorders>
              <w:top w:val="single" w:color="auto" w:sz="8" w:space="0"/>
            </w:tcBorders>
            <w:vAlign w:val="center"/>
          </w:tcPr>
          <w:p w14:paraId="6DE89138">
            <w:pPr>
              <w:pStyle w:val="94"/>
            </w:pPr>
            <w:r>
              <w:rPr>
                <w:rFonts w:hint="eastAsia"/>
              </w:rPr>
              <w:t>94.0</w:t>
            </w:r>
          </w:p>
        </w:tc>
        <w:tc>
          <w:tcPr>
            <w:tcW w:w="1134" w:type="dxa"/>
            <w:tcBorders>
              <w:top w:val="single" w:color="auto" w:sz="8" w:space="0"/>
            </w:tcBorders>
          </w:tcPr>
          <w:p w14:paraId="0E17F0E2">
            <w:pPr>
              <w:pStyle w:val="94"/>
            </w:pPr>
            <w:r>
              <w:rPr>
                <w:rFonts w:hint="eastAsia"/>
              </w:rPr>
              <w:t>96.0</w:t>
            </w:r>
          </w:p>
        </w:tc>
        <w:tc>
          <w:tcPr>
            <w:tcW w:w="1134" w:type="dxa"/>
            <w:tcBorders>
              <w:top w:val="single" w:color="auto" w:sz="8" w:space="0"/>
            </w:tcBorders>
            <w:vAlign w:val="center"/>
          </w:tcPr>
          <w:p w14:paraId="4780C8EC">
            <w:pPr>
              <w:pStyle w:val="94"/>
            </w:pPr>
            <w:r>
              <w:rPr>
                <w:rFonts w:hint="eastAsia"/>
              </w:rPr>
              <w:t>89.0</w:t>
            </w:r>
          </w:p>
        </w:tc>
        <w:tc>
          <w:tcPr>
            <w:tcW w:w="1134" w:type="dxa"/>
            <w:tcBorders>
              <w:top w:val="single" w:color="auto" w:sz="8" w:space="0"/>
            </w:tcBorders>
            <w:vAlign w:val="center"/>
          </w:tcPr>
          <w:p w14:paraId="32A8CFC4">
            <w:pPr>
              <w:pStyle w:val="94"/>
            </w:pPr>
            <w:r>
              <w:rPr>
                <w:rFonts w:hint="eastAsia"/>
              </w:rPr>
              <w:t>90.0</w:t>
            </w:r>
          </w:p>
        </w:tc>
        <w:tc>
          <w:tcPr>
            <w:tcW w:w="1134" w:type="dxa"/>
            <w:tcBorders>
              <w:top w:val="single" w:color="auto" w:sz="8" w:space="0"/>
            </w:tcBorders>
            <w:vAlign w:val="center"/>
          </w:tcPr>
          <w:p w14:paraId="1137575D">
            <w:pPr>
              <w:pStyle w:val="94"/>
            </w:pPr>
            <w:r>
              <w:rPr>
                <w:rFonts w:hint="eastAsia"/>
              </w:rPr>
              <w:t>90.7</w:t>
            </w:r>
          </w:p>
        </w:tc>
        <w:tc>
          <w:tcPr>
            <w:tcW w:w="1134" w:type="dxa"/>
            <w:tcBorders>
              <w:top w:val="single" w:color="auto" w:sz="8" w:space="0"/>
            </w:tcBorders>
          </w:tcPr>
          <w:p w14:paraId="131F575D">
            <w:pPr>
              <w:pStyle w:val="94"/>
            </w:pPr>
            <w:r>
              <w:rPr>
                <w:rFonts w:hint="eastAsia"/>
              </w:rPr>
              <w:t>93.3</w:t>
            </w:r>
          </w:p>
        </w:tc>
      </w:tr>
      <w:tr w14:paraId="107F59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Pr>
          <w:p w14:paraId="7B7577D9">
            <w:pPr>
              <w:pStyle w:val="94"/>
            </w:pPr>
            <w:r>
              <w:rPr>
                <w:rFonts w:hint="eastAsia"/>
              </w:rPr>
              <w:t>随机采样初始化</w:t>
            </w:r>
          </w:p>
        </w:tc>
        <w:tc>
          <w:tcPr>
            <w:tcW w:w="1134" w:type="dxa"/>
          </w:tcPr>
          <w:p w14:paraId="6483BED5">
            <w:pPr>
              <w:pStyle w:val="94"/>
            </w:pPr>
            <w:r>
              <w:rPr>
                <w:rFonts w:hint="eastAsia"/>
              </w:rPr>
              <w:t>81.0</w:t>
            </w:r>
          </w:p>
        </w:tc>
        <w:tc>
          <w:tcPr>
            <w:tcW w:w="1134" w:type="dxa"/>
          </w:tcPr>
          <w:p w14:paraId="2D3CED16">
            <w:pPr>
              <w:pStyle w:val="94"/>
            </w:pPr>
            <w:r>
              <w:rPr>
                <w:rFonts w:hint="eastAsia"/>
              </w:rPr>
              <w:t>84.0</w:t>
            </w:r>
          </w:p>
        </w:tc>
        <w:tc>
          <w:tcPr>
            <w:tcW w:w="1134" w:type="dxa"/>
          </w:tcPr>
          <w:p w14:paraId="15603A90">
            <w:pPr>
              <w:pStyle w:val="94"/>
            </w:pPr>
            <w:r>
              <w:rPr>
                <w:rFonts w:hint="eastAsia"/>
              </w:rPr>
              <w:t>76.0</w:t>
            </w:r>
          </w:p>
        </w:tc>
        <w:tc>
          <w:tcPr>
            <w:tcW w:w="1134" w:type="dxa"/>
          </w:tcPr>
          <w:p w14:paraId="27B36A6D">
            <w:pPr>
              <w:pStyle w:val="94"/>
            </w:pPr>
            <w:r>
              <w:rPr>
                <w:rFonts w:hint="eastAsia"/>
              </w:rPr>
              <w:t>78.0</w:t>
            </w:r>
          </w:p>
        </w:tc>
        <w:tc>
          <w:tcPr>
            <w:tcW w:w="1134" w:type="dxa"/>
          </w:tcPr>
          <w:p w14:paraId="29068F59">
            <w:pPr>
              <w:pStyle w:val="94"/>
            </w:pPr>
            <w:r>
              <w:rPr>
                <w:rFonts w:hint="eastAsia"/>
              </w:rPr>
              <w:t>77.3</w:t>
            </w:r>
          </w:p>
        </w:tc>
        <w:tc>
          <w:tcPr>
            <w:tcW w:w="1134" w:type="dxa"/>
          </w:tcPr>
          <w:p w14:paraId="7BB60233">
            <w:pPr>
              <w:pStyle w:val="94"/>
            </w:pPr>
            <w:r>
              <w:rPr>
                <w:rFonts w:hint="eastAsia"/>
              </w:rPr>
              <w:t>80.0</w:t>
            </w:r>
          </w:p>
        </w:tc>
      </w:tr>
      <w:tr w14:paraId="65DA4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009BA6AF">
            <w:pPr>
              <w:pStyle w:val="94"/>
            </w:pPr>
            <m:oMath>
              <m:r>
                <m:rPr>
                  <m:sty m:val="p"/>
                </m:rPr>
                <w:rPr>
                  <w:rFonts w:ascii="Cambria Math" w:hAnsi="Cambria Math"/>
                </w:rPr>
                <m:t>τ</m:t>
              </m:r>
            </m:oMath>
            <w:r>
              <w:rPr>
                <w:rFonts w:hint="eastAsia"/>
              </w:rPr>
              <w:t>固定</w:t>
            </w:r>
          </w:p>
        </w:tc>
        <w:tc>
          <w:tcPr>
            <w:tcW w:w="1134" w:type="dxa"/>
            <w:vAlign w:val="center"/>
          </w:tcPr>
          <w:p w14:paraId="6E5631FB">
            <w:pPr>
              <w:pStyle w:val="94"/>
            </w:pPr>
            <w:r>
              <w:rPr>
                <w:rFonts w:hint="eastAsia"/>
              </w:rPr>
              <w:t>83.0</w:t>
            </w:r>
          </w:p>
        </w:tc>
        <w:tc>
          <w:tcPr>
            <w:tcW w:w="1134" w:type="dxa"/>
            <w:vAlign w:val="center"/>
          </w:tcPr>
          <w:p w14:paraId="7BC8630A">
            <w:pPr>
              <w:pStyle w:val="94"/>
            </w:pPr>
            <w:r>
              <w:rPr>
                <w:rFonts w:hint="eastAsia"/>
              </w:rPr>
              <w:t>86.0</w:t>
            </w:r>
          </w:p>
        </w:tc>
        <w:tc>
          <w:tcPr>
            <w:tcW w:w="1134" w:type="dxa"/>
            <w:vAlign w:val="center"/>
          </w:tcPr>
          <w:p w14:paraId="518C81EC">
            <w:pPr>
              <w:pStyle w:val="94"/>
            </w:pPr>
            <w:r>
              <w:rPr>
                <w:rFonts w:hint="eastAsia"/>
              </w:rPr>
              <w:t>79.0</w:t>
            </w:r>
          </w:p>
        </w:tc>
        <w:tc>
          <w:tcPr>
            <w:tcW w:w="1134" w:type="dxa"/>
            <w:vAlign w:val="center"/>
          </w:tcPr>
          <w:p w14:paraId="16612E5A">
            <w:pPr>
              <w:pStyle w:val="94"/>
            </w:pPr>
            <w:r>
              <w:rPr>
                <w:rFonts w:hint="eastAsia"/>
              </w:rPr>
              <w:t>81.0</w:t>
            </w:r>
          </w:p>
        </w:tc>
        <w:tc>
          <w:tcPr>
            <w:tcW w:w="1134" w:type="dxa"/>
            <w:vAlign w:val="center"/>
          </w:tcPr>
          <w:p w14:paraId="293BF096">
            <w:pPr>
              <w:pStyle w:val="94"/>
            </w:pPr>
            <w:r>
              <w:rPr>
                <w:rFonts w:hint="eastAsia"/>
              </w:rPr>
              <w:t>82.7</w:t>
            </w:r>
          </w:p>
        </w:tc>
        <w:tc>
          <w:tcPr>
            <w:tcW w:w="1134" w:type="dxa"/>
            <w:vAlign w:val="center"/>
          </w:tcPr>
          <w:p w14:paraId="7B8985AD">
            <w:pPr>
              <w:pStyle w:val="94"/>
            </w:pPr>
            <w:r>
              <w:rPr>
                <w:rFonts w:hint="eastAsia"/>
              </w:rPr>
              <w:t>82.7</w:t>
            </w:r>
          </w:p>
        </w:tc>
      </w:tr>
    </w:tbl>
    <w:p w14:paraId="00DEA6A6">
      <w:pPr>
        <w:ind w:firstLine="480"/>
      </w:pPr>
      <w:r>
        <w:rPr>
          <w:rFonts w:hint="eastAsia"/>
        </w:rPr>
        <w:t>迁移实验结果如图4-3、4-4、4-5所示。从图中可见，BOGA-RAGP在不同检索器与生成模型上的泛化性能良好。即使在其他数据集上测试由NQ数据集训练的DPR-nq，效果也仅仅是小幅下降这些结果表明，本文方法不依赖特定组件，对检索器和生成模型具有鲁棒性。</w:t>
      </w:r>
    </w:p>
    <w:p w14:paraId="78ABDCE8">
      <w:pPr>
        <w:spacing w:line="240" w:lineRule="auto"/>
        <w:ind w:firstLine="0" w:firstLineChars="0"/>
      </w:pPr>
      <w:r>
        <w:rPr>
          <w:rFonts w:hint="eastAsia"/>
        </w:rPr>
        <w:drawing>
          <wp:inline distT="0" distB="0" distL="114300" distR="114300">
            <wp:extent cx="5278120" cy="2639060"/>
            <wp:effectExtent l="0" t="0" r="10160" b="12700"/>
            <wp:docPr id="21" name="图片 21" descr="fig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4-3"/>
                    <pic:cNvPicPr>
                      <a:picLocks noChangeAspect="1"/>
                    </pic:cNvPicPr>
                  </pic:nvPicPr>
                  <pic:blipFill>
                    <a:blip r:embed="rId34"/>
                    <a:stretch>
                      <a:fillRect/>
                    </a:stretch>
                  </pic:blipFill>
                  <pic:spPr>
                    <a:xfrm>
                      <a:off x="0" y="0"/>
                      <a:ext cx="5278120" cy="2639060"/>
                    </a:xfrm>
                    <a:prstGeom prst="rect">
                      <a:avLst/>
                    </a:prstGeom>
                  </pic:spPr>
                </pic:pic>
              </a:graphicData>
            </a:graphic>
          </wp:inline>
        </w:drawing>
      </w:r>
    </w:p>
    <w:p w14:paraId="7446AFBC">
      <w:pPr>
        <w:pStyle w:val="98"/>
      </w:pPr>
      <w:r>
        <w:rPr>
          <w:rFonts w:hint="eastAsia"/>
        </w:rPr>
        <w:t>图4-3 NQ数据集上迁移实验结果</w:t>
      </w:r>
    </w:p>
    <w:p w14:paraId="56D0A3A0">
      <w:pPr>
        <w:spacing w:line="240" w:lineRule="auto"/>
        <w:ind w:firstLine="0" w:firstLineChars="0"/>
      </w:pPr>
      <w:r>
        <w:rPr>
          <w:rFonts w:hint="eastAsia"/>
        </w:rPr>
        <w:drawing>
          <wp:inline distT="0" distB="0" distL="114300" distR="114300">
            <wp:extent cx="5278120" cy="2639060"/>
            <wp:effectExtent l="0" t="0" r="10160" b="12700"/>
            <wp:docPr id="22" name="图片 22" descr="fig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ig4-4"/>
                    <pic:cNvPicPr>
                      <a:picLocks noChangeAspect="1"/>
                    </pic:cNvPicPr>
                  </pic:nvPicPr>
                  <pic:blipFill>
                    <a:blip r:embed="rId35"/>
                    <a:stretch>
                      <a:fillRect/>
                    </a:stretch>
                  </pic:blipFill>
                  <pic:spPr>
                    <a:xfrm>
                      <a:off x="0" y="0"/>
                      <a:ext cx="5278120" cy="2639060"/>
                    </a:xfrm>
                    <a:prstGeom prst="rect">
                      <a:avLst/>
                    </a:prstGeom>
                  </pic:spPr>
                </pic:pic>
              </a:graphicData>
            </a:graphic>
          </wp:inline>
        </w:drawing>
      </w:r>
    </w:p>
    <w:p w14:paraId="1D22135C">
      <w:pPr>
        <w:pStyle w:val="98"/>
      </w:pPr>
      <w:r>
        <w:rPr>
          <w:rFonts w:hint="eastAsia"/>
        </w:rPr>
        <w:t xml:space="preserve">图4-4 </w:t>
      </w:r>
      <w:r>
        <w:rPr>
          <w:rFonts w:hint="eastAsia"/>
          <w:lang w:val="en-US" w:eastAsia="zh-CN"/>
        </w:rPr>
        <w:t>FinQA</w:t>
      </w:r>
      <w:r>
        <w:rPr>
          <w:rFonts w:hint="eastAsia"/>
        </w:rPr>
        <w:t>数据集上迁移实验结果</w:t>
      </w:r>
    </w:p>
    <w:p w14:paraId="3F4D68EB">
      <w:pPr>
        <w:spacing w:line="240" w:lineRule="auto"/>
        <w:ind w:firstLine="0" w:firstLineChars="0"/>
      </w:pPr>
      <w:r>
        <w:rPr>
          <w:rFonts w:hint="eastAsia"/>
        </w:rPr>
        <w:drawing>
          <wp:inline distT="0" distB="0" distL="114300" distR="114300">
            <wp:extent cx="5278120" cy="2639060"/>
            <wp:effectExtent l="0" t="0" r="10160" b="12700"/>
            <wp:docPr id="23" name="图片 23" descr="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4-5"/>
                    <pic:cNvPicPr>
                      <a:picLocks noChangeAspect="1"/>
                    </pic:cNvPicPr>
                  </pic:nvPicPr>
                  <pic:blipFill>
                    <a:blip r:embed="rId36"/>
                    <a:stretch>
                      <a:fillRect/>
                    </a:stretch>
                  </pic:blipFill>
                  <pic:spPr>
                    <a:xfrm>
                      <a:off x="0" y="0"/>
                      <a:ext cx="5278120" cy="2639060"/>
                    </a:xfrm>
                    <a:prstGeom prst="rect">
                      <a:avLst/>
                    </a:prstGeom>
                  </pic:spPr>
                </pic:pic>
              </a:graphicData>
            </a:graphic>
          </wp:inline>
        </w:drawing>
      </w:r>
    </w:p>
    <w:p w14:paraId="17BED791">
      <w:pPr>
        <w:pStyle w:val="98"/>
      </w:pPr>
      <w:r>
        <w:rPr>
          <w:rFonts w:hint="eastAsia"/>
        </w:rPr>
        <w:t>图4-5 PANDAX数据集上迁移实验结果</w:t>
      </w:r>
    </w:p>
    <w:p w14:paraId="0F608123">
      <w:pPr>
        <w:ind w:firstLine="480"/>
      </w:pPr>
      <w:r>
        <w:t>鲁棒性实验结果如表4-3所示。在引入困惑度检测防御后，本文方法的ASR在PANDAX上</w:t>
      </w:r>
      <w:r>
        <w:rPr>
          <w:rFonts w:hint="eastAsia"/>
        </w:rPr>
        <w:t>由90.7%</w:t>
      </w:r>
      <w:r>
        <w:t>下降</w:t>
      </w:r>
      <w:r>
        <w:rPr>
          <w:rFonts w:hint="eastAsia"/>
        </w:rPr>
        <w:t>至78</w:t>
      </w:r>
      <w:r>
        <w:t>.</w:t>
      </w:r>
      <w:r>
        <w:rPr>
          <w:rFonts w:hint="eastAsia"/>
        </w:rPr>
        <w:t>7</w:t>
      </w:r>
      <w:r>
        <w:t>%，RSR</w:t>
      </w:r>
      <w:r>
        <w:rPr>
          <w:rFonts w:hint="eastAsia"/>
        </w:rPr>
        <w:t>由93.3%</w:t>
      </w:r>
      <w:r>
        <w:t>下降</w:t>
      </w:r>
      <w:r>
        <w:rPr>
          <w:rFonts w:hint="eastAsia"/>
        </w:rPr>
        <w:t>至81.3</w:t>
      </w:r>
      <w:r>
        <w:t>%，但仍高于</w:t>
      </w:r>
      <w:r>
        <w:rPr>
          <w:rFonts w:hint="eastAsia"/>
        </w:rPr>
        <w:t>黑白盒最优基线</w:t>
      </w:r>
      <w:r>
        <w:t>，表明BOGA-RAGP通过语义隐蔽优化能部分绕过PPL阈值过滤；文档改写防御下，ASR下降到</w:t>
      </w:r>
      <w:r>
        <w:rPr>
          <w:rFonts w:hint="eastAsia"/>
        </w:rPr>
        <w:t>86.7</w:t>
      </w:r>
      <w:r>
        <w:t>%，RSR下降到89.</w:t>
      </w:r>
      <w:r>
        <w:rPr>
          <w:rFonts w:hint="eastAsia"/>
        </w:rPr>
        <w:t>3</w:t>
      </w:r>
      <w:r>
        <w:t>%，</w:t>
      </w:r>
      <w:r>
        <w:rPr>
          <w:rFonts w:hint="eastAsia"/>
        </w:rPr>
        <w:t>同样优于各基线方法，这充分</w:t>
      </w:r>
      <w:r>
        <w:t>说明双目标框架在保持自然性的同时提升了抵抗改写的稳定性。</w:t>
      </w:r>
    </w:p>
    <w:p w14:paraId="0446DCAF">
      <w:pPr>
        <w:pStyle w:val="9"/>
        <w:keepNext/>
      </w:pPr>
      <w:r>
        <w:rPr>
          <w:rFonts w:hint="eastAsia"/>
        </w:rPr>
        <w:t>表4</w:t>
      </w:r>
      <w:r>
        <w:noBreakHyphen/>
      </w:r>
      <w:r>
        <w:rPr>
          <w:rFonts w:hint="eastAsia"/>
        </w:rPr>
        <w:t>3 鲁棒性实验结果（单位：%）</w:t>
      </w:r>
    </w:p>
    <w:tbl>
      <w:tblPr>
        <w:tblStyle w:val="37"/>
        <w:tblW w:w="8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6"/>
        <w:gridCol w:w="1130"/>
        <w:gridCol w:w="1121"/>
        <w:gridCol w:w="1131"/>
        <w:gridCol w:w="1121"/>
        <w:gridCol w:w="1131"/>
        <w:gridCol w:w="1121"/>
      </w:tblGrid>
      <w:tr w14:paraId="7F46CC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restart"/>
            <w:tcBorders>
              <w:top w:val="single" w:color="auto" w:sz="12" w:space="0"/>
            </w:tcBorders>
            <w:vAlign w:val="center"/>
          </w:tcPr>
          <w:p w14:paraId="2D8CC532">
            <w:pPr>
              <w:pStyle w:val="94"/>
            </w:pPr>
            <w:r>
              <w:rPr>
                <w:rFonts w:hint="eastAsia"/>
              </w:rPr>
              <w:t>攻击方法</w:t>
            </w:r>
          </w:p>
        </w:tc>
        <w:tc>
          <w:tcPr>
            <w:tcW w:w="2268" w:type="dxa"/>
            <w:gridSpan w:val="2"/>
            <w:tcBorders>
              <w:top w:val="single" w:color="auto" w:sz="12" w:space="0"/>
              <w:bottom w:val="single" w:color="auto" w:sz="8" w:space="0"/>
            </w:tcBorders>
            <w:vAlign w:val="center"/>
          </w:tcPr>
          <w:p w14:paraId="0C75DBAB">
            <w:pPr>
              <w:pStyle w:val="94"/>
            </w:pPr>
            <w:r>
              <w:rPr>
                <w:rFonts w:hint="eastAsia"/>
              </w:rPr>
              <w:t>无防御</w:t>
            </w:r>
          </w:p>
        </w:tc>
        <w:tc>
          <w:tcPr>
            <w:tcW w:w="2268" w:type="dxa"/>
            <w:gridSpan w:val="2"/>
            <w:tcBorders>
              <w:top w:val="single" w:color="auto" w:sz="12" w:space="0"/>
              <w:bottom w:val="single" w:color="auto" w:sz="8" w:space="0"/>
            </w:tcBorders>
            <w:vAlign w:val="center"/>
          </w:tcPr>
          <w:p w14:paraId="2078F40F">
            <w:pPr>
              <w:pStyle w:val="94"/>
            </w:pPr>
            <w:r>
              <w:rPr>
                <w:rFonts w:hint="eastAsia"/>
              </w:rPr>
              <w:t>困惑度检测</w:t>
            </w:r>
          </w:p>
        </w:tc>
        <w:tc>
          <w:tcPr>
            <w:tcW w:w="2268" w:type="dxa"/>
            <w:gridSpan w:val="2"/>
            <w:tcBorders>
              <w:top w:val="single" w:color="auto" w:sz="12" w:space="0"/>
              <w:bottom w:val="single" w:color="auto" w:sz="8" w:space="0"/>
            </w:tcBorders>
            <w:vAlign w:val="center"/>
          </w:tcPr>
          <w:p w14:paraId="5B379B1F">
            <w:pPr>
              <w:pStyle w:val="94"/>
            </w:pPr>
            <w:r>
              <w:rPr>
                <w:rFonts w:hint="eastAsia"/>
              </w:rPr>
              <w:t>文档改写</w:t>
            </w:r>
          </w:p>
        </w:tc>
      </w:tr>
      <w:tr w14:paraId="034A49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Merge w:val="continue"/>
            <w:tcBorders>
              <w:bottom w:val="single" w:color="auto" w:sz="8" w:space="0"/>
            </w:tcBorders>
          </w:tcPr>
          <w:p w14:paraId="5A212FD5">
            <w:pPr>
              <w:pStyle w:val="94"/>
            </w:pPr>
          </w:p>
        </w:tc>
        <w:tc>
          <w:tcPr>
            <w:tcW w:w="1134" w:type="dxa"/>
            <w:tcBorders>
              <w:top w:val="single" w:color="auto" w:sz="8" w:space="0"/>
              <w:bottom w:val="single" w:color="auto" w:sz="8" w:space="0"/>
            </w:tcBorders>
          </w:tcPr>
          <w:p w14:paraId="4634E1A9">
            <w:pPr>
              <w:pStyle w:val="94"/>
            </w:pPr>
            <w:r>
              <w:rPr>
                <w:rFonts w:hint="eastAsia"/>
              </w:rPr>
              <w:t>ASR</w:t>
            </w:r>
          </w:p>
        </w:tc>
        <w:tc>
          <w:tcPr>
            <w:tcW w:w="1134" w:type="dxa"/>
            <w:tcBorders>
              <w:top w:val="single" w:color="auto" w:sz="8" w:space="0"/>
              <w:bottom w:val="single" w:color="auto" w:sz="8" w:space="0"/>
            </w:tcBorders>
          </w:tcPr>
          <w:p w14:paraId="75C1DDB8">
            <w:pPr>
              <w:pStyle w:val="94"/>
            </w:pPr>
            <w:r>
              <w:rPr>
                <w:rFonts w:hint="eastAsia"/>
              </w:rPr>
              <w:t>RSR</w:t>
            </w:r>
          </w:p>
        </w:tc>
        <w:tc>
          <w:tcPr>
            <w:tcW w:w="1134" w:type="dxa"/>
            <w:tcBorders>
              <w:top w:val="single" w:color="auto" w:sz="8" w:space="0"/>
              <w:bottom w:val="single" w:color="auto" w:sz="8" w:space="0"/>
            </w:tcBorders>
          </w:tcPr>
          <w:p w14:paraId="2963C711">
            <w:pPr>
              <w:pStyle w:val="94"/>
            </w:pPr>
            <w:r>
              <w:rPr>
                <w:rFonts w:hint="eastAsia"/>
              </w:rPr>
              <w:t>ASR</w:t>
            </w:r>
          </w:p>
        </w:tc>
        <w:tc>
          <w:tcPr>
            <w:tcW w:w="1134" w:type="dxa"/>
            <w:tcBorders>
              <w:top w:val="single" w:color="auto" w:sz="8" w:space="0"/>
              <w:bottom w:val="single" w:color="auto" w:sz="8" w:space="0"/>
            </w:tcBorders>
          </w:tcPr>
          <w:p w14:paraId="73D8AE51">
            <w:pPr>
              <w:pStyle w:val="94"/>
            </w:pPr>
            <w:r>
              <w:rPr>
                <w:rFonts w:hint="eastAsia"/>
              </w:rPr>
              <w:t>RSR</w:t>
            </w:r>
          </w:p>
        </w:tc>
        <w:tc>
          <w:tcPr>
            <w:tcW w:w="1134" w:type="dxa"/>
            <w:tcBorders>
              <w:top w:val="single" w:color="auto" w:sz="8" w:space="0"/>
              <w:bottom w:val="single" w:color="auto" w:sz="8" w:space="0"/>
            </w:tcBorders>
          </w:tcPr>
          <w:p w14:paraId="5AA43CC8">
            <w:pPr>
              <w:pStyle w:val="94"/>
            </w:pPr>
            <w:r>
              <w:rPr>
                <w:rFonts w:hint="eastAsia"/>
              </w:rPr>
              <w:t>ASR</w:t>
            </w:r>
          </w:p>
        </w:tc>
        <w:tc>
          <w:tcPr>
            <w:tcW w:w="1134" w:type="dxa"/>
            <w:tcBorders>
              <w:top w:val="single" w:color="auto" w:sz="8" w:space="0"/>
              <w:bottom w:val="single" w:color="auto" w:sz="8" w:space="0"/>
            </w:tcBorders>
          </w:tcPr>
          <w:p w14:paraId="69BC9919">
            <w:pPr>
              <w:pStyle w:val="94"/>
            </w:pPr>
            <w:r>
              <w:rPr>
                <w:rFonts w:hint="eastAsia"/>
              </w:rPr>
              <w:t>RSR</w:t>
            </w:r>
          </w:p>
        </w:tc>
      </w:tr>
      <w:tr w14:paraId="106C99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auto" w:sz="8" w:space="0"/>
            </w:tcBorders>
          </w:tcPr>
          <w:p w14:paraId="53E3F976">
            <w:pPr>
              <w:pStyle w:val="94"/>
            </w:pPr>
            <w:r>
              <w:rPr>
                <w:rFonts w:hint="eastAsia"/>
              </w:rPr>
              <w:t>Phantom</w:t>
            </w:r>
          </w:p>
        </w:tc>
        <w:tc>
          <w:tcPr>
            <w:tcW w:w="1134" w:type="dxa"/>
            <w:tcBorders>
              <w:top w:val="single" w:color="auto" w:sz="8" w:space="0"/>
            </w:tcBorders>
          </w:tcPr>
          <w:p w14:paraId="6BE5FD7B">
            <w:pPr>
              <w:pStyle w:val="94"/>
            </w:pPr>
            <w:r>
              <w:rPr>
                <w:rFonts w:hint="eastAsia"/>
              </w:rPr>
              <w:t>85.3</w:t>
            </w:r>
          </w:p>
        </w:tc>
        <w:tc>
          <w:tcPr>
            <w:tcW w:w="1134" w:type="dxa"/>
            <w:tcBorders>
              <w:top w:val="single" w:color="auto" w:sz="8" w:space="0"/>
            </w:tcBorders>
          </w:tcPr>
          <w:p w14:paraId="713A51D0">
            <w:pPr>
              <w:pStyle w:val="94"/>
            </w:pPr>
            <w:r>
              <w:rPr>
                <w:rFonts w:hint="eastAsia"/>
              </w:rPr>
              <w:t>88.0</w:t>
            </w:r>
          </w:p>
        </w:tc>
        <w:tc>
          <w:tcPr>
            <w:tcW w:w="1134" w:type="dxa"/>
            <w:tcBorders>
              <w:top w:val="single" w:color="auto" w:sz="8" w:space="0"/>
            </w:tcBorders>
          </w:tcPr>
          <w:p w14:paraId="65619BC3">
            <w:pPr>
              <w:pStyle w:val="94"/>
            </w:pPr>
            <w:r>
              <w:rPr>
                <w:rFonts w:hint="eastAsia"/>
              </w:rPr>
              <w:t>64.0</w:t>
            </w:r>
          </w:p>
        </w:tc>
        <w:tc>
          <w:tcPr>
            <w:tcW w:w="1134" w:type="dxa"/>
            <w:tcBorders>
              <w:top w:val="single" w:color="auto" w:sz="8" w:space="0"/>
            </w:tcBorders>
          </w:tcPr>
          <w:p w14:paraId="6CA163C6">
            <w:pPr>
              <w:pStyle w:val="94"/>
            </w:pPr>
            <w:r>
              <w:rPr>
                <w:rFonts w:hint="eastAsia"/>
              </w:rPr>
              <w:t>66.7</w:t>
            </w:r>
          </w:p>
        </w:tc>
        <w:tc>
          <w:tcPr>
            <w:tcW w:w="1134" w:type="dxa"/>
            <w:tcBorders>
              <w:top w:val="single" w:color="auto" w:sz="8" w:space="0"/>
            </w:tcBorders>
          </w:tcPr>
          <w:p w14:paraId="067D9E44">
            <w:pPr>
              <w:pStyle w:val="94"/>
            </w:pPr>
            <w:r>
              <w:rPr>
                <w:rFonts w:hint="eastAsia"/>
              </w:rPr>
              <w:t>65.3</w:t>
            </w:r>
          </w:p>
        </w:tc>
        <w:tc>
          <w:tcPr>
            <w:tcW w:w="1134" w:type="dxa"/>
            <w:tcBorders>
              <w:top w:val="single" w:color="auto" w:sz="8" w:space="0"/>
            </w:tcBorders>
          </w:tcPr>
          <w:p w14:paraId="1C2D4995">
            <w:pPr>
              <w:pStyle w:val="94"/>
            </w:pPr>
            <w:r>
              <w:rPr>
                <w:rFonts w:hint="eastAsia"/>
              </w:rPr>
              <w:t>68.0</w:t>
            </w:r>
          </w:p>
        </w:tc>
      </w:tr>
      <w:tr w14:paraId="4C8350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Pr>
          <w:p w14:paraId="314671DE">
            <w:pPr>
              <w:pStyle w:val="94"/>
            </w:pPr>
            <w:r>
              <w:rPr>
                <w:rFonts w:hint="eastAsia"/>
              </w:rPr>
              <w:t>PoisonedRAG(W/B)</w:t>
            </w:r>
          </w:p>
        </w:tc>
        <w:tc>
          <w:tcPr>
            <w:tcW w:w="1134" w:type="dxa"/>
          </w:tcPr>
          <w:p w14:paraId="768B1CE0">
            <w:pPr>
              <w:pStyle w:val="94"/>
            </w:pPr>
            <w:r>
              <w:rPr>
                <w:rFonts w:hint="eastAsia"/>
              </w:rPr>
              <w:t>89.3/82.7</w:t>
            </w:r>
          </w:p>
        </w:tc>
        <w:tc>
          <w:tcPr>
            <w:tcW w:w="1134" w:type="dxa"/>
          </w:tcPr>
          <w:p w14:paraId="51DFA54D">
            <w:pPr>
              <w:pStyle w:val="94"/>
            </w:pPr>
            <w:r>
              <w:rPr>
                <w:rFonts w:hint="eastAsia"/>
              </w:rPr>
              <w:t>90.7</w:t>
            </w:r>
          </w:p>
        </w:tc>
        <w:tc>
          <w:tcPr>
            <w:tcW w:w="1134" w:type="dxa"/>
          </w:tcPr>
          <w:p w14:paraId="0BD5526B">
            <w:pPr>
              <w:pStyle w:val="94"/>
            </w:pPr>
            <w:r>
              <w:rPr>
                <w:rFonts w:hint="eastAsia"/>
              </w:rPr>
              <w:t>69.3/62.7</w:t>
            </w:r>
          </w:p>
        </w:tc>
        <w:tc>
          <w:tcPr>
            <w:tcW w:w="1134" w:type="dxa"/>
          </w:tcPr>
          <w:p w14:paraId="11C78560">
            <w:pPr>
              <w:pStyle w:val="94"/>
            </w:pPr>
            <w:r>
              <w:rPr>
                <w:rFonts w:hint="eastAsia"/>
              </w:rPr>
              <w:t>70.7</w:t>
            </w:r>
          </w:p>
        </w:tc>
        <w:tc>
          <w:tcPr>
            <w:tcW w:w="1134" w:type="dxa"/>
          </w:tcPr>
          <w:p w14:paraId="2E5477B0">
            <w:pPr>
              <w:pStyle w:val="94"/>
            </w:pPr>
            <w:r>
              <w:rPr>
                <w:rFonts w:hint="eastAsia"/>
              </w:rPr>
              <w:t>62.7/53.3</w:t>
            </w:r>
          </w:p>
        </w:tc>
        <w:tc>
          <w:tcPr>
            <w:tcW w:w="1134" w:type="dxa"/>
          </w:tcPr>
          <w:p w14:paraId="79805D2C">
            <w:pPr>
              <w:pStyle w:val="94"/>
            </w:pPr>
            <w:r>
              <w:rPr>
                <w:rFonts w:hint="eastAsia"/>
              </w:rPr>
              <w:t>65.3</w:t>
            </w:r>
          </w:p>
        </w:tc>
      </w:tr>
      <w:tr w14:paraId="5F080D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64BBDCA2">
            <w:pPr>
              <w:pStyle w:val="94"/>
            </w:pPr>
            <w:r>
              <w:rPr>
                <w:rFonts w:hint="eastAsia"/>
              </w:rPr>
              <w:t>CorpusPoisoning</w:t>
            </w:r>
          </w:p>
        </w:tc>
        <w:tc>
          <w:tcPr>
            <w:tcW w:w="1134" w:type="dxa"/>
            <w:vAlign w:val="center"/>
          </w:tcPr>
          <w:p w14:paraId="160C2B7D">
            <w:pPr>
              <w:pStyle w:val="94"/>
            </w:pPr>
            <w:r>
              <w:rPr>
                <w:rFonts w:hint="eastAsia"/>
              </w:rPr>
              <w:t>88.0</w:t>
            </w:r>
          </w:p>
        </w:tc>
        <w:tc>
          <w:tcPr>
            <w:tcW w:w="1134" w:type="dxa"/>
            <w:vAlign w:val="center"/>
          </w:tcPr>
          <w:p w14:paraId="6BED1ED1">
            <w:pPr>
              <w:pStyle w:val="94"/>
            </w:pPr>
            <w:r>
              <w:rPr>
                <w:rFonts w:hint="eastAsia"/>
              </w:rPr>
              <w:t>92.0</w:t>
            </w:r>
          </w:p>
        </w:tc>
        <w:tc>
          <w:tcPr>
            <w:tcW w:w="1134" w:type="dxa"/>
            <w:vAlign w:val="center"/>
          </w:tcPr>
          <w:p w14:paraId="02C431EA">
            <w:pPr>
              <w:pStyle w:val="94"/>
            </w:pPr>
            <w:r>
              <w:rPr>
                <w:rFonts w:hint="eastAsia"/>
              </w:rPr>
              <w:t>76.0</w:t>
            </w:r>
          </w:p>
        </w:tc>
        <w:tc>
          <w:tcPr>
            <w:tcW w:w="1134" w:type="dxa"/>
            <w:vAlign w:val="center"/>
          </w:tcPr>
          <w:p w14:paraId="3BBB8665">
            <w:pPr>
              <w:pStyle w:val="94"/>
            </w:pPr>
            <w:r>
              <w:rPr>
                <w:rFonts w:hint="eastAsia"/>
              </w:rPr>
              <w:t>78.7</w:t>
            </w:r>
          </w:p>
        </w:tc>
        <w:tc>
          <w:tcPr>
            <w:tcW w:w="1134" w:type="dxa"/>
            <w:vAlign w:val="center"/>
          </w:tcPr>
          <w:p w14:paraId="241FA6DD">
            <w:pPr>
              <w:pStyle w:val="94"/>
            </w:pPr>
            <w:r>
              <w:rPr>
                <w:rFonts w:hint="eastAsia"/>
              </w:rPr>
              <w:t>78.7</w:t>
            </w:r>
          </w:p>
        </w:tc>
        <w:tc>
          <w:tcPr>
            <w:tcW w:w="1134" w:type="dxa"/>
            <w:vAlign w:val="center"/>
          </w:tcPr>
          <w:p w14:paraId="6D51326A">
            <w:pPr>
              <w:pStyle w:val="94"/>
            </w:pPr>
            <w:r>
              <w:rPr>
                <w:rFonts w:hint="eastAsia"/>
              </w:rPr>
              <w:t>81.3</w:t>
            </w:r>
          </w:p>
        </w:tc>
      </w:tr>
      <w:tr w14:paraId="00112E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52F372D4">
            <w:pPr>
              <w:pStyle w:val="94"/>
            </w:pPr>
            <w:r>
              <w:rPr>
                <w:rFonts w:hint="eastAsia"/>
              </w:rPr>
              <w:t>RAG Paradox</w:t>
            </w:r>
          </w:p>
        </w:tc>
        <w:tc>
          <w:tcPr>
            <w:tcW w:w="1134" w:type="dxa"/>
            <w:vAlign w:val="center"/>
          </w:tcPr>
          <w:p w14:paraId="608914C4">
            <w:pPr>
              <w:pStyle w:val="94"/>
            </w:pPr>
            <w:r>
              <w:rPr>
                <w:rFonts w:hint="eastAsia"/>
              </w:rPr>
              <w:t>77.3</w:t>
            </w:r>
          </w:p>
        </w:tc>
        <w:tc>
          <w:tcPr>
            <w:tcW w:w="1134" w:type="dxa"/>
          </w:tcPr>
          <w:p w14:paraId="05EE96AC">
            <w:pPr>
              <w:pStyle w:val="94"/>
            </w:pPr>
            <w:r>
              <w:rPr>
                <w:rFonts w:hint="eastAsia"/>
              </w:rPr>
              <w:t>82.7</w:t>
            </w:r>
          </w:p>
        </w:tc>
        <w:tc>
          <w:tcPr>
            <w:tcW w:w="1134" w:type="dxa"/>
            <w:vAlign w:val="center"/>
          </w:tcPr>
          <w:p w14:paraId="2D16F471">
            <w:pPr>
              <w:pStyle w:val="94"/>
            </w:pPr>
            <w:r>
              <w:rPr>
                <w:rFonts w:hint="eastAsia"/>
              </w:rPr>
              <w:t>56.0</w:t>
            </w:r>
          </w:p>
        </w:tc>
        <w:tc>
          <w:tcPr>
            <w:tcW w:w="1134" w:type="dxa"/>
            <w:vAlign w:val="center"/>
          </w:tcPr>
          <w:p w14:paraId="64AC501E">
            <w:pPr>
              <w:pStyle w:val="94"/>
            </w:pPr>
            <w:r>
              <w:rPr>
                <w:rFonts w:hint="eastAsia"/>
              </w:rPr>
              <w:t>58.7</w:t>
            </w:r>
          </w:p>
        </w:tc>
        <w:tc>
          <w:tcPr>
            <w:tcW w:w="1134" w:type="dxa"/>
            <w:vAlign w:val="center"/>
          </w:tcPr>
          <w:p w14:paraId="418A6A29">
            <w:pPr>
              <w:pStyle w:val="94"/>
            </w:pPr>
            <w:r>
              <w:rPr>
                <w:rFonts w:hint="eastAsia"/>
              </w:rPr>
              <w:t>60.0</w:t>
            </w:r>
          </w:p>
        </w:tc>
        <w:tc>
          <w:tcPr>
            <w:tcW w:w="1134" w:type="dxa"/>
          </w:tcPr>
          <w:p w14:paraId="761789DF">
            <w:pPr>
              <w:pStyle w:val="94"/>
            </w:pPr>
            <w:r>
              <w:rPr>
                <w:rFonts w:hint="eastAsia"/>
              </w:rPr>
              <w:t>61.3</w:t>
            </w:r>
          </w:p>
        </w:tc>
      </w:tr>
      <w:tr w14:paraId="532FAA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2E25E325">
            <w:pPr>
              <w:pStyle w:val="94"/>
            </w:pPr>
            <w:r>
              <w:rPr>
                <w:rFonts w:hint="eastAsia"/>
              </w:rPr>
              <w:t>DIGA</w:t>
            </w:r>
          </w:p>
        </w:tc>
        <w:tc>
          <w:tcPr>
            <w:tcW w:w="1134" w:type="dxa"/>
            <w:vAlign w:val="center"/>
          </w:tcPr>
          <w:p w14:paraId="7E87D802">
            <w:pPr>
              <w:pStyle w:val="94"/>
            </w:pPr>
            <w:r>
              <w:rPr>
                <w:rFonts w:hint="eastAsia"/>
              </w:rPr>
              <w:t>84.0</w:t>
            </w:r>
          </w:p>
        </w:tc>
        <w:tc>
          <w:tcPr>
            <w:tcW w:w="1134" w:type="dxa"/>
          </w:tcPr>
          <w:p w14:paraId="3C76BCD6">
            <w:pPr>
              <w:pStyle w:val="94"/>
            </w:pPr>
            <w:r>
              <w:rPr>
                <w:rFonts w:hint="eastAsia"/>
              </w:rPr>
              <w:t>86.7</w:t>
            </w:r>
          </w:p>
        </w:tc>
        <w:tc>
          <w:tcPr>
            <w:tcW w:w="1134" w:type="dxa"/>
            <w:vAlign w:val="center"/>
          </w:tcPr>
          <w:p w14:paraId="32373E2D">
            <w:pPr>
              <w:pStyle w:val="94"/>
            </w:pPr>
            <w:r>
              <w:rPr>
                <w:rFonts w:hint="eastAsia"/>
              </w:rPr>
              <w:t>76.0</w:t>
            </w:r>
          </w:p>
        </w:tc>
        <w:tc>
          <w:tcPr>
            <w:tcW w:w="1134" w:type="dxa"/>
            <w:vAlign w:val="center"/>
          </w:tcPr>
          <w:p w14:paraId="0C59156C">
            <w:pPr>
              <w:pStyle w:val="94"/>
            </w:pPr>
            <w:r>
              <w:rPr>
                <w:rFonts w:hint="eastAsia"/>
              </w:rPr>
              <w:t>78.7</w:t>
            </w:r>
          </w:p>
        </w:tc>
        <w:tc>
          <w:tcPr>
            <w:tcW w:w="1134" w:type="dxa"/>
            <w:vAlign w:val="center"/>
          </w:tcPr>
          <w:p w14:paraId="5097983D">
            <w:pPr>
              <w:pStyle w:val="94"/>
            </w:pPr>
            <w:r>
              <w:rPr>
                <w:rFonts w:hint="eastAsia"/>
              </w:rPr>
              <w:t>74.7</w:t>
            </w:r>
          </w:p>
        </w:tc>
        <w:tc>
          <w:tcPr>
            <w:tcW w:w="1134" w:type="dxa"/>
          </w:tcPr>
          <w:p w14:paraId="62B84B5A">
            <w:pPr>
              <w:pStyle w:val="94"/>
            </w:pPr>
            <w:r>
              <w:rPr>
                <w:rFonts w:hint="eastAsia"/>
              </w:rPr>
              <w:t>77.3</w:t>
            </w:r>
          </w:p>
        </w:tc>
      </w:tr>
      <w:tr w14:paraId="031FA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vAlign w:val="center"/>
          </w:tcPr>
          <w:p w14:paraId="66B8D5B6">
            <w:pPr>
              <w:pStyle w:val="94"/>
            </w:pPr>
            <w:r>
              <w:rPr>
                <w:rFonts w:hint="eastAsia"/>
              </w:rPr>
              <w:t>本文算法</w:t>
            </w:r>
          </w:p>
        </w:tc>
        <w:tc>
          <w:tcPr>
            <w:tcW w:w="1134" w:type="dxa"/>
            <w:vAlign w:val="center"/>
          </w:tcPr>
          <w:p w14:paraId="5BEB9363">
            <w:pPr>
              <w:pStyle w:val="94"/>
            </w:pPr>
            <w:r>
              <w:rPr>
                <w:rFonts w:hint="eastAsia"/>
              </w:rPr>
              <w:t>90.7</w:t>
            </w:r>
          </w:p>
        </w:tc>
        <w:tc>
          <w:tcPr>
            <w:tcW w:w="1134" w:type="dxa"/>
          </w:tcPr>
          <w:p w14:paraId="778228DC">
            <w:pPr>
              <w:pStyle w:val="94"/>
            </w:pPr>
            <w:r>
              <w:rPr>
                <w:rFonts w:hint="eastAsia"/>
              </w:rPr>
              <w:t>93.3</w:t>
            </w:r>
          </w:p>
        </w:tc>
        <w:tc>
          <w:tcPr>
            <w:tcW w:w="1134" w:type="dxa"/>
            <w:vAlign w:val="center"/>
          </w:tcPr>
          <w:p w14:paraId="57666F57">
            <w:pPr>
              <w:pStyle w:val="94"/>
            </w:pPr>
            <w:r>
              <w:rPr>
                <w:rFonts w:hint="eastAsia"/>
              </w:rPr>
              <w:t>78.7</w:t>
            </w:r>
          </w:p>
        </w:tc>
        <w:tc>
          <w:tcPr>
            <w:tcW w:w="1134" w:type="dxa"/>
            <w:vAlign w:val="center"/>
          </w:tcPr>
          <w:p w14:paraId="0FCA3A58">
            <w:pPr>
              <w:pStyle w:val="94"/>
            </w:pPr>
            <w:r>
              <w:rPr>
                <w:rFonts w:hint="eastAsia"/>
              </w:rPr>
              <w:t>81.3</w:t>
            </w:r>
          </w:p>
        </w:tc>
        <w:tc>
          <w:tcPr>
            <w:tcW w:w="1134" w:type="dxa"/>
            <w:vAlign w:val="center"/>
          </w:tcPr>
          <w:p w14:paraId="5C2CFE5C">
            <w:pPr>
              <w:pStyle w:val="94"/>
            </w:pPr>
            <w:r>
              <w:rPr>
                <w:rFonts w:hint="eastAsia"/>
              </w:rPr>
              <w:t>86.7</w:t>
            </w:r>
          </w:p>
        </w:tc>
        <w:tc>
          <w:tcPr>
            <w:tcW w:w="1134" w:type="dxa"/>
          </w:tcPr>
          <w:p w14:paraId="4526F8B2">
            <w:pPr>
              <w:pStyle w:val="94"/>
            </w:pPr>
            <w:r>
              <w:rPr>
                <w:rFonts w:hint="eastAsia"/>
              </w:rPr>
              <w:t>89.3</w:t>
            </w:r>
          </w:p>
        </w:tc>
      </w:tr>
    </w:tbl>
    <w:p w14:paraId="703E5EF4">
      <w:pPr>
        <w:pStyle w:val="3"/>
        <w:spacing w:before="163" w:after="163"/>
      </w:pPr>
      <w:bookmarkStart w:id="38" w:name="_Toc19393"/>
      <w:r>
        <w:rPr>
          <w:rFonts w:hint="eastAsia"/>
        </w:rPr>
        <w:t>4</w:t>
      </w:r>
      <w:r>
        <w:t>.</w:t>
      </w:r>
      <w:r>
        <w:rPr>
          <w:rFonts w:hint="eastAsia"/>
        </w:rPr>
        <w:t>4</w:t>
      </w:r>
      <w:r>
        <w:t xml:space="preserve">  本章小结</w:t>
      </w:r>
      <w:bookmarkEnd w:id="38"/>
    </w:p>
    <w:p w14:paraId="23CDABAF">
      <w:pPr>
        <w:ind w:firstLine="480"/>
      </w:pPr>
      <w:r>
        <w:rPr>
          <w:rFonts w:hint="eastAsia"/>
        </w:rPr>
        <w:t>本章基于RAG系统知识库语料的“可信”漏洞，对攻击方法进行了创新探索与实验分析，取得了显著成果。首先提出基于双目标遗传算法的BOGA-RAGP方法，通过问题建模和算法设计，实现了检索成功率与语义隐蔽性的Pareto优化，生成具有隐蔽性且有效的对抗文档。然后设计了四项实验</w:t>
      </w:r>
      <w:r>
        <w:rPr>
          <w:rFonts w:hint="eastAsia"/>
          <w:lang w:eastAsia="zh-CN"/>
        </w:rPr>
        <w:t>，</w:t>
      </w:r>
      <w:r>
        <w:rPr>
          <w:rFonts w:hint="eastAsia"/>
        </w:rPr>
        <w:t>依次验证了攻击有效性、模块必要性</w:t>
      </w:r>
      <w:r>
        <w:rPr>
          <w:rFonts w:hint="eastAsia"/>
          <w:lang w:eastAsia="zh-CN"/>
        </w:rPr>
        <w:t>、</w:t>
      </w:r>
      <w:r>
        <w:rPr>
          <w:rFonts w:hint="eastAsia"/>
        </w:rPr>
        <w:t>迁移能力以及抵抗防御的水平。</w:t>
      </w:r>
    </w:p>
    <w:p w14:paraId="2440187D">
      <w:pPr>
        <w:ind w:firstLine="480"/>
      </w:pPr>
    </w:p>
    <w:bookmarkEnd w:id="0"/>
    <w:bookmarkEnd w:id="1"/>
    <w:bookmarkEnd w:id="2"/>
    <w:bookmarkEnd w:id="3"/>
    <w:bookmarkEnd w:id="4"/>
    <w:bookmarkEnd w:id="5"/>
    <w:bookmarkEnd w:id="6"/>
    <w:p w14:paraId="49F84AED">
      <w:pPr>
        <w:pStyle w:val="2"/>
        <w:spacing w:after="652"/>
        <w:sectPr>
          <w:headerReference r:id="rId11" w:type="default"/>
          <w:footnotePr>
            <w:numFmt w:val="decimalEnclosedCircleChinese"/>
            <w:numRestart w:val="eachPage"/>
          </w:footnotePr>
          <w:pgSz w:w="11906" w:h="16838"/>
          <w:pgMar w:top="1440" w:right="1797" w:bottom="1440" w:left="1797" w:header="850" w:footer="992" w:gutter="0"/>
          <w:cols w:space="720" w:num="1"/>
          <w:docGrid w:type="lines" w:linePitch="326" w:charSpace="0"/>
        </w:sectPr>
      </w:pPr>
      <w:bookmarkStart w:id="39" w:name="_Toc32507"/>
      <w:bookmarkStart w:id="40" w:name="_Toc16081"/>
    </w:p>
    <w:p w14:paraId="430AA183">
      <w:pPr>
        <w:pStyle w:val="2"/>
        <w:spacing w:after="652"/>
      </w:pPr>
      <w:bookmarkStart w:id="41" w:name="_Toc1470"/>
      <w:r>
        <w:rPr>
          <w:rFonts w:hint="eastAsia"/>
        </w:rPr>
        <w:t>第五章  面向电力场景RAG系统知识库毒化防御研究</w:t>
      </w:r>
      <w:bookmarkEnd w:id="41"/>
    </w:p>
    <w:p w14:paraId="09E30791">
      <w:pPr>
        <w:ind w:firstLine="480"/>
      </w:pPr>
      <w:r>
        <w:rPr>
          <w:rFonts w:hint="eastAsia"/>
        </w:rPr>
        <w:t>本文第四章围绕电力调度场景下的RAG链路，揭示了大模型可能在“看似有据可依”的证据包装下输出错误调度决策的关键风险</w:t>
      </w:r>
      <w:r>
        <w:rPr>
          <w:rFonts w:hint="eastAsia"/>
          <w:lang w:eastAsia="zh-CN"/>
        </w:rPr>
        <w:t>。</w:t>
      </w:r>
      <w:r>
        <w:rPr>
          <w:rFonts w:hint="eastAsia"/>
        </w:rPr>
        <w:t>在复杂电网环境中，这类异常决策具备连锁放大效应，可能进一步传导为运行不稳定甚至事故隐患。更重要的是，第四章的鲁棒性实验表明：在不改变目标RAG主流程的前提下，仅引入困惑度检测与文档改写等“简单防御”仍不足以消解该类攻击带来的威胁性，亟需一套可在线部署、可闭环验证的工程化防御措施。</w:t>
      </w:r>
    </w:p>
    <w:p w14:paraId="65A60B82">
      <w:pPr>
        <w:ind w:firstLine="480"/>
      </w:pPr>
      <w:r>
        <w:t>现有</w:t>
      </w:r>
      <w:r>
        <w:rPr>
          <w:rFonts w:hint="eastAsia"/>
        </w:rPr>
        <w:t>RAG投毒防御相关</w:t>
      </w:r>
      <w:r>
        <w:t>研究大体可归纳为“事前检测”与“事后缓解”两类路径</w:t>
      </w:r>
      <w:r>
        <w:rPr>
          <w:rFonts w:hint="eastAsia"/>
        </w:rPr>
        <w:t>：前者强调在不显著改变RAG主流程的前提下识别投毒行为或污染证据，后者侧重在生成前后阻断污染信息影响并提升系统鲁棒性。本章聚焦“事前检测”，将防护能力前移至检索侧，在扩展检索以稀释投毒命中比例基础上，通过嵌入空间异常检测捕捉异常聚集模式以及多粒度困惑度检测识别局部语言异常，从而在进入生成模型前过滤可疑证据。</w:t>
      </w:r>
    </w:p>
    <w:p w14:paraId="2E145F28">
      <w:pPr>
        <w:ind w:firstLine="480"/>
      </w:pPr>
      <w:r>
        <w:rPr>
          <w:rFonts w:hint="eastAsia"/>
        </w:rPr>
        <w:t>此外，本章将所提算法定位为“检索护栏”，并与现有开源输入、输出护栏联动形成面向RAG全链路的组合式防御框架。本章检索护栏直接作用于“支撑语料传递给大模型”前，而经典的输入、输出护栏则对查询提示词或生成结果做一前一后的内容合规检测，形成全面的、多元的防护方案。最后通过多项实验证明该防御框架在功能与性能需求上的有效性与工程可用性。</w:t>
      </w:r>
    </w:p>
    <w:p w14:paraId="5E934EB5">
      <w:pPr>
        <w:pStyle w:val="3"/>
        <w:spacing w:before="163" w:after="163"/>
      </w:pPr>
      <w:bookmarkStart w:id="42" w:name="_Toc31146"/>
      <w:r>
        <w:rPr>
          <w:rFonts w:hint="eastAsia"/>
        </w:rPr>
        <w:t>5</w:t>
      </w:r>
      <w:r>
        <w:t>.1</w:t>
      </w:r>
      <w:r>
        <w:rPr>
          <w:rFonts w:hint="eastAsia"/>
        </w:rPr>
        <w:t xml:space="preserve">  问题描述</w:t>
      </w:r>
      <w:bookmarkEnd w:id="42"/>
    </w:p>
    <w:p w14:paraId="543F530A">
      <w:pPr>
        <w:pStyle w:val="4"/>
      </w:pPr>
      <w:bookmarkStart w:id="43" w:name="_Toc1771"/>
      <w:r>
        <w:rPr>
          <w:rFonts w:hint="eastAsia"/>
        </w:rPr>
        <w:t>5.1.1  问题分析</w:t>
      </w:r>
      <w:bookmarkEnd w:id="43"/>
    </w:p>
    <w:p w14:paraId="1C6185F2">
      <w:pPr>
        <w:ind w:firstLine="480"/>
      </w:pPr>
      <w:r>
        <w:rPr>
          <w:rFonts w:hint="eastAsia"/>
        </w:rPr>
        <w:t>第四章的研究揭示了当</w:t>
      </w:r>
      <w:r>
        <w:rPr>
          <w:rFonts w:hint="eastAsia"/>
          <w:lang w:val="en-US" w:eastAsia="zh-CN"/>
        </w:rPr>
        <w:t>前</w:t>
      </w:r>
      <w:r>
        <w:rPr>
          <w:rFonts w:hint="eastAsia"/>
        </w:rPr>
        <w:t>RAG知识库毒化攻击具有较强威胁性，而传统的仅依赖困惑度阈值的过滤容易被低困惑度优化绕过、仅依赖相似度或规则匹配又难以区分“语义相关但事实错误”的证据片段，最终导致“漏检”与“误杀”并存，难以满足电力调度场景对高可靠、低时延的工程要求。</w:t>
      </w:r>
    </w:p>
    <w:p w14:paraId="645C4A30">
      <w:pPr>
        <w:ind w:firstLine="480"/>
      </w:pPr>
      <w:r>
        <w:rPr>
          <w:rFonts w:hint="eastAsia"/>
        </w:rPr>
        <w:t>进一步分析此类攻击可以发现，攻击者不论采取何等攻击手段，其核心思路始终立足于在有限篇幅内尽可能逼近用户查询以提升可检索性，同时强化对抗段落语句通顺性、表达连贯性。而这样的做法往往会使得投毒文档形成的候选段落之间相似度过高，且忽略内容在领域知识、业务逻辑上的正确性，进而表现出局部语言风格不一致的现象。此外，同样拥有“主动防御”理念且已经较为成熟的网络防火墙</w:t>
      </w:r>
      <w:r>
        <w:rPr>
          <w:rFonts w:hint="eastAsia"/>
          <w:lang w:eastAsia="zh-CN"/>
        </w:rPr>
        <w:t>，</w:t>
      </w:r>
      <w:r>
        <w:rPr>
          <w:rFonts w:hint="eastAsia"/>
          <w:lang w:val="en-US" w:eastAsia="zh-CN"/>
        </w:rPr>
        <w:t>其</w:t>
      </w:r>
      <w:r>
        <w:rPr>
          <w:rFonts w:hint="eastAsia"/>
        </w:rPr>
        <w:t>核心思想是实时检测和动态防御，即通过预定义模式对网络流量进行访问控制，进而隔离和监控外部攻击与异常活动。受此启发，本章类比将检索阶段视为需要重点把关的“证据入口”，通过学习良性文档嵌入空间及困惑度的统计模式与特征，对进入上下文的检索片段进行动态判别与拦截。</w:t>
      </w:r>
      <w:r>
        <w:rPr>
          <w:rFonts w:hint="eastAsia"/>
          <w:lang w:val="en-US" w:eastAsia="zh-CN"/>
        </w:rPr>
        <w:t>在</w:t>
      </w:r>
      <w:r>
        <w:rPr>
          <w:rFonts w:hint="eastAsia"/>
        </w:rPr>
        <w:t>采取检索扩展稀释投毒命中比例</w:t>
      </w:r>
      <w:r>
        <w:rPr>
          <w:rFonts w:hint="eastAsia"/>
          <w:lang w:val="en-US" w:eastAsia="zh-CN"/>
        </w:rPr>
        <w:t>的基础上，</w:t>
      </w:r>
      <w:r>
        <w:rPr>
          <w:rFonts w:hint="eastAsia"/>
        </w:rPr>
        <w:t>针对语义中心聚集现象，引入嵌入空间异常检测识别异常聚集模式；针对低困惑度隐蔽性优化，引入滑动窗口对</w:t>
      </w:r>
      <w:r>
        <w:rPr>
          <w:rFonts w:hint="eastAsia"/>
          <w:lang w:eastAsia="zh-CN"/>
        </w:rPr>
        <w:t>语句级</w:t>
      </w:r>
      <w:r>
        <w:rPr>
          <w:rFonts w:hint="eastAsia"/>
        </w:rPr>
        <w:t>困惑度进行检测以捕捉局部波动与风格断裂。最终于检索端提前阻断异常证据进入生成上下文，为后续构建面向电力调度的全链路护栏体系奠定基础。</w:t>
      </w:r>
    </w:p>
    <w:p w14:paraId="4396F2E5">
      <w:pPr>
        <w:pStyle w:val="4"/>
      </w:pPr>
      <w:bookmarkStart w:id="44" w:name="_Toc30730"/>
      <w:r>
        <w:rPr>
          <w:rFonts w:hint="eastAsia"/>
        </w:rPr>
        <w:t>5.1.2  问题建模</w:t>
      </w:r>
      <w:bookmarkEnd w:id="44"/>
    </w:p>
    <w:p w14:paraId="10F124C5">
      <w:pPr>
        <w:ind w:firstLine="480"/>
      </w:pPr>
      <w:r>
        <w:t>为系统性刻画电力调度场景下RAG知识库投毒风险与防御边界，本文沿用与先前研究一致的</w:t>
      </w:r>
      <w:r>
        <w:rPr>
          <w:rFonts w:hint="eastAsia"/>
        </w:rPr>
        <w:t>、第四章所述</w:t>
      </w:r>
      <w:r>
        <w:t>威胁模型</w:t>
      </w:r>
      <w:r>
        <w:rPr>
          <w:rFonts w:hint="eastAsia"/>
        </w:rPr>
        <w:t>。攻击者通过向知识数据库持续注入一篇或多篇恶意文本，使其在检索阶段进入</w:t>
      </w:r>
      <w:r>
        <w:rPr>
          <w:rFonts w:hint="eastAsia"/>
          <w:lang w:eastAsia="zh-CN"/>
        </w:rPr>
        <w:t>Top-K</w:t>
      </w:r>
      <w:r>
        <w:rPr>
          <w:rFonts w:hint="eastAsia"/>
        </w:rPr>
        <w:t>支撑证据，从而在生成阶段诱导模型输出错误调度建议。电力调度RAG系统采用端到端管道式架构，主要由知识数据库、检索模块与大语言模型三类核心组件构成。</w:t>
      </w:r>
    </w:p>
    <w:p w14:paraId="0E1C4A6C">
      <w:pPr>
        <w:ind w:firstLine="480"/>
      </w:pPr>
      <w:r>
        <w:rPr>
          <w:rFonts w:hint="eastAsia"/>
        </w:rPr>
        <w:t>对防御方而言，考虑到收集海量数据时难以进行“可信”层面的细粒度检查，因而问题的关键在于如何在不显著破坏正常检索与问答能力的前提下，在线识别并阻断异常证据进入生成上下文。形式化地，设原始知识库为</w:t>
      </w:r>
      <m:oMath>
        <m:r>
          <m:rPr/>
          <w:rPr>
            <w:rFonts w:hint="eastAsia" w:ascii="Cambria Math" w:hAnsi="Cambria Math"/>
          </w:rPr>
          <m:t>D</m:t>
        </m:r>
      </m:oMath>
      <w:r>
        <w:rPr>
          <w:rFonts w:hint="eastAsia"/>
        </w:rPr>
        <w:t>，用户查询为</w:t>
      </w:r>
      <m:oMath>
        <m:r>
          <m:rPr/>
          <w:rPr>
            <w:rFonts w:ascii="Cambria Math" w:hAnsi="Cambria Math"/>
          </w:rPr>
          <m:t>q</m:t>
        </m:r>
      </m:oMath>
      <w:r>
        <w:rPr>
          <w:rFonts w:hint="eastAsia"/>
        </w:rPr>
        <w:t>，使用检索器</w:t>
      </w:r>
      <w:r>
        <w:t>E ̂</w:t>
      </w:r>
      <w:r>
        <w:rPr>
          <w:rFonts w:hint="eastAsia"/>
        </w:rPr>
        <w:t>、大语言模型</w:t>
      </w:r>
      <w:r>
        <w:t>M</w:t>
      </w:r>
      <w:r>
        <w:rPr>
          <w:rFonts w:hint="eastAsia"/>
        </w:rPr>
        <w:t>。攻击者注入对抗文档d*后产生一个被污染的语料库</w:t>
      </w:r>
      <m:oMath>
        <m:sSup>
          <m:sSupPr>
            <m:ctrlPr>
              <w:rPr>
                <w:rFonts w:ascii="Cambria Math" w:hAnsi="Cambria Math"/>
              </w:rPr>
            </m:ctrlPr>
          </m:sSupPr>
          <m:e>
            <m:r>
              <m:rPr/>
              <w:rPr>
                <w:rFonts w:hint="eastAsia" w:ascii="Cambria Math" w:hAnsi="Cambria Math"/>
              </w:rPr>
              <m:t>D</m:t>
            </m:r>
            <m:ctrlPr>
              <w:rPr>
                <w:rFonts w:hint="eastAsia" w:ascii="Cambria Math" w:hAnsi="Cambria Math"/>
                <w:i/>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hint="eastAsia" w:ascii="Cambria Math" w:hAnsi="Cambria Math"/>
          </w:rPr>
          <m:t>D</m:t>
        </m:r>
      </m:oMath>
      <w:r>
        <w:rPr>
          <w:rFonts w:hint="eastAsia"/>
        </w:rPr>
        <w:t>∪d*。此时防御问题可进一步转化为：针对污染知识库</w:t>
      </w:r>
      <m:oMath>
        <m:sSup>
          <m:sSupPr>
            <m:ctrlPr>
              <w:rPr>
                <w:rFonts w:ascii="Cambria Math" w:hAnsi="Cambria Math"/>
              </w:rPr>
            </m:ctrlPr>
          </m:sSupPr>
          <m:e>
            <m:r>
              <m:rPr/>
              <w:rPr>
                <w:rFonts w:hint="eastAsia" w:ascii="Cambria Math" w:hAnsi="Cambria Math"/>
              </w:rPr>
              <m:t>D</m:t>
            </m:r>
            <m:ctrlPr>
              <w:rPr>
                <w:rFonts w:hint="eastAsia" w:ascii="Cambria Math" w:hAnsi="Cambria Math"/>
                <w:i/>
              </w:rPr>
            </m:ctrlPr>
          </m:e>
          <m:sup>
            <m:r>
              <m:rPr>
                <m:sty m:val="p"/>
              </m:rPr>
              <w:rPr>
                <w:rFonts w:ascii="Cambria Math" w:hAnsi="Cambria Math"/>
              </w:rPr>
              <m:t>'</m:t>
            </m:r>
            <m:ctrlPr>
              <w:rPr>
                <w:rFonts w:ascii="Cambria Math" w:hAnsi="Cambria Math"/>
              </w:rPr>
            </m:ctrlPr>
          </m:sup>
        </m:sSup>
      </m:oMath>
      <w:r>
        <w:rPr>
          <w:rFonts w:hint="eastAsia"/>
        </w:rPr>
        <w:t>上候选检索集合，对候选证据逐一进行判别、过滤与重排，得到过滤后的证据集合</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r>
        <w:rPr>
          <w:rFonts w:hint="eastAsia"/>
        </w:rPr>
        <w:t>参与最终答案生成。</w:t>
      </w:r>
    </w:p>
    <w:p w14:paraId="6E5FD531">
      <w:pPr>
        <w:ind w:firstLine="480"/>
      </w:pPr>
      <w:r>
        <w:rPr>
          <w:rFonts w:hint="eastAsia"/>
        </w:rPr>
        <w:t>基于上述建模，本文防御目标可概括为以下三个方面。第一，检测准确性目标：在可能存在污染的情况下尽可能准确地区分良性证据与毒化证据，使异常文本在进入生成模型前被前置识别和过滤，从而提升检索侧的整体判别准确性。第二，系统可用性目标：防御机制不应以大幅牺牲正常问答能力为代价，即在干净场景或轻度污染场景下，仍应尽可能保留与查询真正相关的高质量支撑证据，避免由于误杀正常文本而导致回答质量下降。第三，高质量部署目标：考虑到电力调度业务对响应时延、系统稳定性与接口兼容性的要求，所提防御框架应尽可能轻量化、易集成。</w:t>
      </w:r>
    </w:p>
    <w:p w14:paraId="6D82AF56">
      <w:pPr>
        <w:pStyle w:val="3"/>
        <w:spacing w:before="163" w:after="163"/>
      </w:pPr>
      <w:bookmarkStart w:id="45" w:name="_Toc7731"/>
      <w:r>
        <w:rPr>
          <w:rFonts w:hint="eastAsia"/>
        </w:rPr>
        <w:t>5</w:t>
      </w:r>
      <w:r>
        <w:t>.</w:t>
      </w:r>
      <w:r>
        <w:rPr>
          <w:rFonts w:hint="eastAsia"/>
        </w:rPr>
        <w:t>2  算法设计</w:t>
      </w:r>
      <w:bookmarkEnd w:id="45"/>
    </w:p>
    <w:p w14:paraId="498D5DDE">
      <w:pPr>
        <w:ind w:firstLine="480"/>
      </w:pPr>
      <w:r>
        <w:rPr>
          <w:rFonts w:hint="eastAsia"/>
        </w:rPr>
        <w:t>本节对所提防御算法进行系统性描述。首先介绍该算法总体方案，然后依次对每一步骤以及相应策略详细介绍。</w:t>
      </w:r>
    </w:p>
    <w:p w14:paraId="4F56EF94">
      <w:pPr>
        <w:pStyle w:val="4"/>
      </w:pPr>
      <w:bookmarkStart w:id="46" w:name="_Toc12950"/>
      <w:r>
        <w:rPr>
          <w:rFonts w:hint="eastAsia"/>
        </w:rPr>
        <w:t>5.2.1  算法总览</w:t>
      </w:r>
      <w:bookmarkEnd w:id="46"/>
    </w:p>
    <w:p w14:paraId="5531EA1D">
      <w:pPr>
        <w:ind w:firstLine="480"/>
      </w:pPr>
      <w:r>
        <w:rPr>
          <w:rFonts w:hint="eastAsia"/>
        </w:rPr>
        <w:t>针对现有防御方法/框架检测维度单一、检测粒度粗糙以及部分方案计算开销过大等问题，</w:t>
      </w:r>
      <w:r>
        <w:t>本章提出一种面向检索阶段的三阶段投毒检测与过滤算法，并将其作为电力调度RAG链路中的“检索护栏”。算法总体遵循“检测→过滤→重排”的处理链条：首先在不改变RAG主流程的前提下进行检索扩展，将</w:t>
      </w:r>
      <w:r>
        <w:rPr>
          <w:rFonts w:hint="eastAsia"/>
          <w:lang w:eastAsia="zh-CN"/>
        </w:rPr>
        <w:t>Top-K</w:t>
      </w:r>
      <w:r>
        <w:rPr>
          <w:rFonts w:hint="eastAsia"/>
        </w:rPr>
        <w:t>扩展为Top-</w:t>
      </w:r>
      <w:r>
        <w:t>αK</w:t>
      </w:r>
      <w:r>
        <w:rPr>
          <w:rFonts w:hint="eastAsia"/>
        </w:rPr>
        <w:t>（默认</w:t>
      </w:r>
      <w:r>
        <w:t>α=</w:t>
      </w:r>
      <w:r>
        <w:rPr>
          <w:rFonts w:hint="eastAsia"/>
        </w:rPr>
        <w:t>2，K=10</w:t>
      </w:r>
      <w:r>
        <w:t>），以增加干净证据占比、稀释投毒命中；其次在嵌入空间中对候选证据进行异常模式检测，通过文档间相似度分布与查询-文档相似度分布联合判别异常聚集簇并过滤；最后针对检索</w:t>
      </w:r>
      <w:r>
        <w:rPr>
          <w:rFonts w:hint="eastAsia"/>
        </w:rPr>
        <w:t>到语段</w:t>
      </w:r>
      <w:r>
        <w:t>短文本特性，引入</w:t>
      </w:r>
      <w:r>
        <w:rPr>
          <w:rFonts w:hint="eastAsia"/>
          <w:lang w:eastAsia="zh-CN"/>
        </w:rPr>
        <w:t>语句级</w:t>
      </w:r>
      <w:r>
        <w:t>困惑度异常检测，通过句子困惑度方差、极值句子Z-score与相邻句子困惑度跳变等多指标捕捉局部风格断裂与异常波动，进一步剔除可疑</w:t>
      </w:r>
      <w:r>
        <w:rPr>
          <w:rFonts w:hint="eastAsia"/>
        </w:rPr>
        <w:t>检索段</w:t>
      </w:r>
      <w:r>
        <w:t>，并对剩余证据按查询相似度重排选取</w:t>
      </w:r>
      <w:r>
        <w:rPr>
          <w:rFonts w:hint="eastAsia"/>
          <w:lang w:eastAsia="zh-CN"/>
        </w:rPr>
        <w:t>Top-K</w:t>
      </w:r>
      <w:r>
        <w:t>输入生成模型，从而在进入LLM上下文前实现对投毒证据的前置阻断与鲁棒筛查。</w:t>
      </w:r>
      <w:r>
        <w:rPr>
          <w:rFonts w:hint="eastAsia"/>
        </w:rPr>
        <w:t>整体流程可通过如下算法进行表示：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7698"/>
        <w:gridCol w:w="374"/>
      </w:tblGrid>
      <w:tr w14:paraId="53F2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6" w:type="dxa"/>
            <w:gridSpan w:val="3"/>
            <w:tcBorders>
              <w:bottom w:val="single" w:color="auto" w:sz="4" w:space="0"/>
            </w:tcBorders>
          </w:tcPr>
          <w:p w14:paraId="76EF4335">
            <w:pPr>
              <w:ind w:firstLine="0" w:firstLineChars="0"/>
              <w:jc w:val="left"/>
            </w:pPr>
            <w:r>
              <w:rPr>
                <w:rFonts w:hint="eastAsia"/>
              </w:rPr>
              <w:t>算法5-1 面向检索阶段的RAG知识库投毒检测与过滤算法</w:t>
            </w:r>
          </w:p>
        </w:tc>
      </w:tr>
      <w:tr w14:paraId="1B9D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single" w:color="auto" w:sz="4" w:space="0"/>
              <w:left w:val="single" w:color="auto" w:sz="4" w:space="0"/>
              <w:bottom w:val="nil"/>
              <w:right w:val="nil"/>
            </w:tcBorders>
          </w:tcPr>
          <w:p w14:paraId="0F65729A">
            <w:pPr>
              <w:ind w:firstLine="0" w:firstLineChars="0"/>
              <w:jc w:val="center"/>
            </w:pPr>
          </w:p>
        </w:tc>
        <w:tc>
          <w:tcPr>
            <w:tcW w:w="8018" w:type="dxa"/>
            <w:tcBorders>
              <w:top w:val="single" w:color="auto" w:sz="4" w:space="0"/>
              <w:left w:val="nil"/>
              <w:bottom w:val="nil"/>
              <w:right w:val="nil"/>
            </w:tcBorders>
          </w:tcPr>
          <w:p w14:paraId="41EA49A0">
            <w:pPr>
              <w:ind w:firstLine="0" w:firstLineChars="0"/>
            </w:pPr>
            <w:r>
              <w:rPr>
                <w:rFonts w:hint="eastAsia"/>
              </w:rPr>
              <w:t>输入：用户查询</w:t>
            </w:r>
            <m:oMath>
              <m:r>
                <m:rPr/>
                <w:rPr>
                  <w:rFonts w:ascii="Cambria Math" w:hAnsi="Cambria Math"/>
                </w:rPr>
                <m:t>q</m:t>
              </m:r>
            </m:oMath>
            <w:r>
              <w:rPr>
                <w:rFonts w:hint="eastAsia"/>
              </w:rPr>
              <w:t>，知识库</w:t>
            </w:r>
            <m:oMath>
              <m:r>
                <m:rPr/>
                <w:rPr>
                  <w:rFonts w:hint="eastAsia" w:ascii="Cambria Math" w:hAnsi="Cambria Math"/>
                </w:rPr>
                <m:t>D</m:t>
              </m:r>
            </m:oMath>
            <w:r>
              <w:rPr>
                <w:rFonts w:hint="eastAsia"/>
              </w:rPr>
              <w:t>，代理检索器</w:t>
            </w:r>
            <m:oMath>
              <m:acc>
                <m:accPr>
                  <m:ctrlPr>
                    <w:rPr>
                      <w:rFonts w:ascii="Cambria Math" w:hAnsi="Cambria Math"/>
                    </w:rPr>
                  </m:ctrlPr>
                </m:accPr>
                <m:e>
                  <m:r>
                    <m:rPr>
                      <m:sty m:val="p"/>
                    </m:rPr>
                    <w:rPr>
                      <w:rFonts w:ascii="Cambria Math" w:hAnsi="Cambria Math"/>
                    </w:rPr>
                    <m:t>E</m:t>
                  </m:r>
                  <m:ctrlPr>
                    <w:rPr>
                      <w:rFonts w:ascii="Cambria Math" w:hAnsi="Cambria Math"/>
                    </w:rPr>
                  </m:ctrlPr>
                </m:e>
              </m:acc>
            </m:oMath>
            <w:r>
              <w:rPr>
                <w:rFonts w:hint="eastAsia"/>
              </w:rPr>
              <w:t>，代理大语言模型</w:t>
            </w:r>
            <m:oMath>
              <m:r>
                <m:rPr/>
                <w:rPr>
                  <w:rFonts w:hint="eastAsia" w:ascii="Cambria Math" w:hAnsi="Cambria Math"/>
                </w:rPr>
                <m:t>M</m:t>
              </m:r>
            </m:oMath>
          </w:p>
        </w:tc>
        <w:tc>
          <w:tcPr>
            <w:tcW w:w="382" w:type="dxa"/>
            <w:tcBorders>
              <w:top w:val="single" w:color="auto" w:sz="4" w:space="0"/>
              <w:left w:val="nil"/>
              <w:bottom w:val="nil"/>
              <w:right w:val="single" w:color="auto" w:sz="4" w:space="0"/>
            </w:tcBorders>
          </w:tcPr>
          <w:p w14:paraId="54174422">
            <w:pPr>
              <w:ind w:firstLine="480"/>
            </w:pPr>
          </w:p>
        </w:tc>
      </w:tr>
      <w:tr w14:paraId="6C24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0BA9C435">
            <w:pPr>
              <w:ind w:firstLine="0" w:firstLineChars="0"/>
              <w:jc w:val="center"/>
            </w:pPr>
          </w:p>
        </w:tc>
        <w:tc>
          <w:tcPr>
            <w:tcW w:w="8018" w:type="dxa"/>
            <w:tcBorders>
              <w:top w:val="nil"/>
              <w:left w:val="nil"/>
              <w:bottom w:val="nil"/>
              <w:right w:val="nil"/>
            </w:tcBorders>
          </w:tcPr>
          <w:p w14:paraId="0AD8D80F">
            <w:pPr>
              <w:ind w:firstLine="0" w:firstLineChars="0"/>
            </w:pPr>
            <w:r>
              <w:rPr>
                <w:rFonts w:hint="eastAsia"/>
              </w:rPr>
              <w:t>输出：过滤后的</w:t>
            </w:r>
            <w:r>
              <w:rPr>
                <w:rFonts w:hint="eastAsia"/>
                <w:lang w:eastAsia="zh-CN"/>
              </w:rPr>
              <w:t>Top-K</w:t>
            </w:r>
            <w:r>
              <w:rPr>
                <w:rFonts w:hint="eastAsia"/>
              </w:rPr>
              <w:t>支撑证据集合</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p>
        </w:tc>
        <w:tc>
          <w:tcPr>
            <w:tcW w:w="382" w:type="dxa"/>
            <w:tcBorders>
              <w:top w:val="nil"/>
              <w:left w:val="nil"/>
              <w:bottom w:val="nil"/>
              <w:right w:val="single" w:color="auto" w:sz="4" w:space="0"/>
            </w:tcBorders>
          </w:tcPr>
          <w:p w14:paraId="3BE570C5">
            <w:pPr>
              <w:ind w:firstLine="480"/>
            </w:pPr>
          </w:p>
        </w:tc>
      </w:tr>
      <w:tr w14:paraId="22CA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E2DBD6E">
            <w:pPr>
              <w:ind w:firstLine="0" w:firstLineChars="0"/>
              <w:jc w:val="center"/>
            </w:pPr>
            <w:r>
              <w:rPr>
                <w:rFonts w:hint="eastAsia"/>
              </w:rPr>
              <w:t>1</w:t>
            </w:r>
          </w:p>
        </w:tc>
        <w:tc>
          <w:tcPr>
            <w:tcW w:w="8018" w:type="dxa"/>
            <w:tcBorders>
              <w:top w:val="nil"/>
              <w:left w:val="nil"/>
              <w:bottom w:val="nil"/>
              <w:right w:val="nil"/>
            </w:tcBorders>
          </w:tcPr>
          <w:p w14:paraId="7BC8EA1E">
            <w:pPr>
              <w:pStyle w:val="91"/>
            </w:pPr>
            <w:r>
              <w:rPr>
                <w:rFonts w:hint="eastAsia"/>
                <w:b/>
                <w:bCs/>
              </w:rPr>
              <w:t>阶段1：检索扩展</w:t>
            </w:r>
          </w:p>
        </w:tc>
        <w:tc>
          <w:tcPr>
            <w:tcW w:w="382" w:type="dxa"/>
            <w:tcBorders>
              <w:top w:val="nil"/>
              <w:left w:val="nil"/>
              <w:bottom w:val="nil"/>
              <w:right w:val="single" w:color="auto" w:sz="4" w:space="0"/>
            </w:tcBorders>
          </w:tcPr>
          <w:p w14:paraId="65CA73D6">
            <w:pPr>
              <w:ind w:firstLine="480"/>
            </w:pPr>
          </w:p>
        </w:tc>
      </w:tr>
      <w:tr w14:paraId="28DD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58E0A561">
            <w:pPr>
              <w:ind w:firstLine="0" w:firstLineChars="0"/>
              <w:jc w:val="center"/>
            </w:pPr>
            <w:r>
              <w:rPr>
                <w:rFonts w:hint="eastAsia"/>
              </w:rPr>
              <w:t>2</w:t>
            </w:r>
          </w:p>
        </w:tc>
        <w:tc>
          <w:tcPr>
            <w:tcW w:w="8018" w:type="dxa"/>
            <w:tcBorders>
              <w:top w:val="nil"/>
              <w:left w:val="nil"/>
              <w:bottom w:val="nil"/>
              <w:right w:val="nil"/>
            </w:tcBorders>
          </w:tcPr>
          <w:p w14:paraId="3D357100">
            <w:pPr>
              <w:pStyle w:val="91"/>
            </w:pPr>
            <w:r>
              <w:rPr>
                <w:rFonts w:hint="eastAsia"/>
              </w:rPr>
              <w:t>计算查询嵌入</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m:t>
                      </m:r>
                      <m:ctrlPr>
                        <w:rPr>
                          <w:rFonts w:ascii="Cambria Math" w:hAnsi="Cambria Math"/>
                        </w:rPr>
                      </m:ctrlPr>
                    </m:e>
                  </m:acc>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(q)</m:t>
              </m:r>
            </m:oMath>
          </w:p>
        </w:tc>
        <w:tc>
          <w:tcPr>
            <w:tcW w:w="382" w:type="dxa"/>
            <w:tcBorders>
              <w:top w:val="nil"/>
              <w:left w:val="nil"/>
              <w:bottom w:val="nil"/>
              <w:right w:val="single" w:color="auto" w:sz="4" w:space="0"/>
            </w:tcBorders>
          </w:tcPr>
          <w:p w14:paraId="463CE305">
            <w:pPr>
              <w:ind w:firstLine="480"/>
            </w:pPr>
          </w:p>
        </w:tc>
      </w:tr>
      <w:tr w14:paraId="2E06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7746E42">
            <w:pPr>
              <w:ind w:firstLine="0" w:firstLineChars="0"/>
              <w:jc w:val="center"/>
            </w:pPr>
            <w:r>
              <w:rPr>
                <w:rFonts w:hint="eastAsia"/>
              </w:rPr>
              <w:t>3</w:t>
            </w:r>
          </w:p>
        </w:tc>
        <w:tc>
          <w:tcPr>
            <w:tcW w:w="8018" w:type="dxa"/>
            <w:tcBorders>
              <w:top w:val="nil"/>
              <w:left w:val="nil"/>
              <w:bottom w:val="nil"/>
              <w:right w:val="nil"/>
            </w:tcBorders>
          </w:tcPr>
          <w:p w14:paraId="78B6BB75">
            <w:pPr>
              <w:pStyle w:val="91"/>
            </w:pPr>
            <w:r>
              <w:rPr>
                <w:rFonts w:hint="eastAsia"/>
              </w:rPr>
              <w:t>在</w:t>
            </w:r>
            <m:oMath>
              <m:r>
                <m:rPr/>
                <w:rPr>
                  <w:rFonts w:hint="eastAsia" w:ascii="Cambria Math" w:hAnsi="Cambria Math"/>
                </w:rPr>
                <m:t>D</m:t>
              </m:r>
            </m:oMath>
            <w:r>
              <w:rPr>
                <w:rFonts w:hint="eastAsia"/>
              </w:rPr>
              <w:t>中检索Top-</w:t>
            </w:r>
            <w:r>
              <w:rPr>
                <w:rFonts w:ascii="Arial" w:hAnsi="Arial" w:cs="Arial"/>
              </w:rPr>
              <w:t>α</w:t>
            </w:r>
            <w:r>
              <w:rPr>
                <w:rFonts w:hint="eastAsia"/>
              </w:rPr>
              <w:t>K个候选文档，</w:t>
            </w:r>
            <w:r>
              <w:t xml:space="preserve"> </w:t>
            </w:r>
            <w:r>
              <w:rPr>
                <w:rFonts w:hint="eastAsia"/>
              </w:rPr>
              <w:t>得到</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ret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αK</m:t>
                  </m:r>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15425D69">
            <w:pPr>
              <w:ind w:firstLine="480"/>
            </w:pPr>
          </w:p>
        </w:tc>
      </w:tr>
      <w:tr w14:paraId="699D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FE4FB5D">
            <w:pPr>
              <w:ind w:firstLine="0" w:firstLineChars="0"/>
              <w:jc w:val="center"/>
            </w:pPr>
            <w:r>
              <w:rPr>
                <w:rFonts w:hint="eastAsia"/>
              </w:rPr>
              <w:t>4</w:t>
            </w:r>
          </w:p>
        </w:tc>
        <w:tc>
          <w:tcPr>
            <w:tcW w:w="8018" w:type="dxa"/>
            <w:tcBorders>
              <w:top w:val="nil"/>
              <w:left w:val="nil"/>
              <w:bottom w:val="nil"/>
              <w:right w:val="nil"/>
            </w:tcBorders>
          </w:tcPr>
          <w:p w14:paraId="4E8C02F7">
            <w:pPr>
              <w:pStyle w:val="91"/>
              <w:rPr>
                <w:b/>
                <w:bCs/>
              </w:rPr>
            </w:pPr>
            <w:r>
              <w:rPr>
                <w:rFonts w:hint="eastAsia"/>
                <w:b/>
                <w:bCs/>
              </w:rPr>
              <w:t>阶段2：嵌入空间异常检测</w:t>
            </w:r>
          </w:p>
        </w:tc>
        <w:tc>
          <w:tcPr>
            <w:tcW w:w="382" w:type="dxa"/>
            <w:tcBorders>
              <w:top w:val="nil"/>
              <w:left w:val="nil"/>
              <w:bottom w:val="nil"/>
              <w:right w:val="single" w:color="auto" w:sz="4" w:space="0"/>
            </w:tcBorders>
          </w:tcPr>
          <w:p w14:paraId="6C5A91F3">
            <w:pPr>
              <w:ind w:firstLine="480"/>
            </w:pPr>
          </w:p>
        </w:tc>
      </w:tr>
      <w:tr w14:paraId="1921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C2952C8">
            <w:pPr>
              <w:ind w:firstLine="0" w:firstLineChars="0"/>
              <w:jc w:val="center"/>
            </w:pPr>
            <w:r>
              <w:rPr>
                <w:rFonts w:hint="eastAsia"/>
              </w:rPr>
              <w:t>5</w:t>
            </w:r>
          </w:p>
        </w:tc>
        <w:tc>
          <w:tcPr>
            <w:tcW w:w="8018" w:type="dxa"/>
            <w:tcBorders>
              <w:top w:val="nil"/>
              <w:left w:val="nil"/>
              <w:bottom w:val="nil"/>
              <w:right w:val="nil"/>
            </w:tcBorders>
          </w:tcPr>
          <w:p w14:paraId="0859A21E">
            <w:pPr>
              <w:pStyle w:val="91"/>
            </w:pPr>
            <w:r>
              <w:rPr>
                <w:rFonts w:hint="eastAsia"/>
              </w:rPr>
              <w:t>对每个</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ret</m:t>
                  </m:r>
                  <m:ctrlPr>
                    <w:rPr>
                      <w:rFonts w:ascii="Cambria Math" w:hAnsi="Cambria Math"/>
                    </w:rPr>
                  </m:ctrlPr>
                </m:sub>
              </m:sSub>
            </m:oMath>
            <w:r>
              <w:rPr>
                <w:rFonts w:hint="eastAsia"/>
              </w:rPr>
              <w:t>，计算文档嵌入</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71AD1C42">
            <w:pPr>
              <w:ind w:firstLine="480"/>
            </w:pPr>
          </w:p>
        </w:tc>
      </w:tr>
      <w:tr w14:paraId="742E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6C5D538">
            <w:pPr>
              <w:ind w:firstLine="0" w:firstLineChars="0"/>
              <w:jc w:val="center"/>
            </w:pPr>
            <w:r>
              <w:rPr>
                <w:rFonts w:hint="eastAsia"/>
              </w:rPr>
              <w:t>6</w:t>
            </w:r>
          </w:p>
        </w:tc>
        <w:tc>
          <w:tcPr>
            <w:tcW w:w="8018" w:type="dxa"/>
            <w:tcBorders>
              <w:top w:val="nil"/>
              <w:left w:val="nil"/>
              <w:bottom w:val="nil"/>
              <w:right w:val="nil"/>
            </w:tcBorders>
          </w:tcPr>
          <w:p w14:paraId="2E91A434">
            <w:pPr>
              <w:pStyle w:val="91"/>
            </w:pPr>
            <w:r>
              <w:rPr>
                <w:rFonts w:hint="eastAsia"/>
              </w:rPr>
              <w:t>构造相似度矩阵</w:t>
            </w:r>
            <m:oMath>
              <m:r>
                <m:rPr/>
                <w:rPr>
                  <w:rFonts w:ascii="Cambria Math" w:hAnsi="Cambria Math"/>
                </w:rPr>
                <m:t>S∈</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αK×αK</m:t>
                  </m:r>
                  <m:ctrlPr>
                    <w:rPr>
                      <w:rFonts w:ascii="Cambria Math" w:hAnsi="Cambria Math"/>
                    </w:rPr>
                  </m:ctrlPr>
                </m:sup>
              </m:sSup>
            </m:oMath>
            <w:r>
              <w:rPr>
                <w:rFonts w:hint="eastAsia"/>
              </w:rPr>
              <w:t>，其中</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sty m:val="p"/>
                </m:rPr>
                <w:rPr>
                  <w:rFonts w:ascii="Cambria Math" w:hAnsi="Cambria Math"/>
                </w:rPr>
                <m:t>cos</m:t>
              </m:r>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24553715">
            <w:pPr>
              <w:ind w:firstLine="480"/>
            </w:pPr>
          </w:p>
        </w:tc>
      </w:tr>
      <w:tr w14:paraId="5581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8180D1A">
            <w:pPr>
              <w:ind w:firstLine="0" w:firstLineChars="0"/>
              <w:jc w:val="center"/>
            </w:pPr>
            <w:r>
              <w:rPr>
                <w:rFonts w:hint="eastAsia"/>
              </w:rPr>
              <w:t>7</w:t>
            </w:r>
          </w:p>
        </w:tc>
        <w:tc>
          <w:tcPr>
            <w:tcW w:w="8018" w:type="dxa"/>
            <w:tcBorders>
              <w:top w:val="nil"/>
              <w:left w:val="nil"/>
              <w:bottom w:val="nil"/>
              <w:right w:val="nil"/>
            </w:tcBorders>
          </w:tcPr>
          <w:p w14:paraId="5DBB8ADD">
            <w:pPr>
              <w:pStyle w:val="91"/>
            </w:pPr>
            <w:r>
              <w:rPr>
                <w:rFonts w:hint="eastAsia"/>
                <w:b/>
                <w:bCs/>
              </w:rPr>
              <w:t>for</w:t>
            </w:r>
            <w:r>
              <w:rPr>
                <w:rFonts w:hint="eastAsia"/>
              </w:rPr>
              <w:t xml:space="preserve"> 每个候选文档</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 </w:t>
            </w:r>
            <w:r>
              <w:rPr>
                <w:rFonts w:hint="eastAsia"/>
                <w:b/>
                <w:bCs/>
              </w:rPr>
              <w:t>do</w:t>
            </w:r>
          </w:p>
        </w:tc>
        <w:tc>
          <w:tcPr>
            <w:tcW w:w="382" w:type="dxa"/>
            <w:tcBorders>
              <w:top w:val="nil"/>
              <w:left w:val="nil"/>
              <w:bottom w:val="nil"/>
              <w:right w:val="single" w:color="auto" w:sz="4" w:space="0"/>
            </w:tcBorders>
          </w:tcPr>
          <w:p w14:paraId="7ECB3A1D">
            <w:pPr>
              <w:ind w:firstLine="480"/>
            </w:pPr>
          </w:p>
        </w:tc>
      </w:tr>
      <w:tr w14:paraId="0E30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2E84F63">
            <w:pPr>
              <w:ind w:firstLine="0" w:firstLineChars="0"/>
              <w:jc w:val="center"/>
            </w:pPr>
            <w:r>
              <w:rPr>
                <w:rFonts w:hint="eastAsia"/>
              </w:rPr>
              <w:t>8</w:t>
            </w:r>
          </w:p>
        </w:tc>
        <w:tc>
          <w:tcPr>
            <w:tcW w:w="8018" w:type="dxa"/>
            <w:tcBorders>
              <w:top w:val="nil"/>
              <w:left w:val="nil"/>
              <w:bottom w:val="nil"/>
              <w:right w:val="nil"/>
            </w:tcBorders>
          </w:tcPr>
          <w:p w14:paraId="053A64AE">
            <w:pPr>
              <w:pStyle w:val="92"/>
              <w:ind w:firstLine="240" w:firstLineChars="100"/>
              <w:rPr>
                <w:i/>
              </w:rPr>
            </w:pPr>
            <w:r>
              <w:rPr>
                <w:rFonts w:hint="eastAsia"/>
              </w:rPr>
              <w:t>计算文档间平均相似度</w:t>
            </w:r>
            <m:oMath>
              <m:sSub>
                <m:sSubPr>
                  <m:ctrlPr>
                    <w:rPr>
                      <w:rStyle w:val="93"/>
                    </w:rPr>
                  </m:ctrlPr>
                </m:sSubPr>
                <m:e>
                  <m:acc>
                    <m:accPr>
                      <m:chr m:val="̅"/>
                      <m:ctrlPr>
                        <w:rPr>
                          <w:rStyle w:val="93"/>
                        </w:rPr>
                      </m:ctrlPr>
                    </m:accPr>
                    <m:e>
                      <m:r>
                        <m:rPr/>
                        <w:rPr>
                          <w:rStyle w:val="93"/>
                          <w:rFonts w:ascii="Cambria Math" w:hAnsi="Cambria Math"/>
                        </w:rPr>
                        <m:t>s</m:t>
                      </m:r>
                      <m:ctrlPr>
                        <w:rPr>
                          <w:rStyle w:val="93"/>
                        </w:rPr>
                      </m:ctrlPr>
                    </m:e>
                  </m:acc>
                  <m:ctrlPr>
                    <w:rPr>
                      <w:rStyle w:val="93"/>
                    </w:rPr>
                  </m:ctrlPr>
                </m:e>
                <m:sub>
                  <m:r>
                    <m:rPr/>
                    <w:rPr>
                      <w:rStyle w:val="93"/>
                      <w:rFonts w:ascii="Cambria Math" w:hAnsi="Cambria Math"/>
                    </w:rPr>
                    <m:t>i</m:t>
                  </m:r>
                  <m:ctrlPr>
                    <w:rPr>
                      <w:rStyle w:val="93"/>
                    </w:rPr>
                  </m:ctrlPr>
                </m:sub>
              </m:sSub>
              <m:r>
                <m:rPr/>
                <w:rPr>
                  <w:rFonts w:ascii="Cambria Math" w:hAnsi="Cambria Math"/>
                </w:rPr>
                <m:t>←</m:t>
              </m:r>
              <m:f>
                <m:fPr>
                  <m:ctrlPr>
                    <w:rPr>
                      <w:rStyle w:val="93"/>
                    </w:rPr>
                  </m:ctrlPr>
                </m:fPr>
                <m:num>
                  <m:r>
                    <m:rPr/>
                    <w:rPr>
                      <w:rStyle w:val="93"/>
                      <w:rFonts w:ascii="Cambria Math" w:hAnsi="Cambria Math"/>
                    </w:rPr>
                    <m:t>1</m:t>
                  </m:r>
                  <m:ctrlPr>
                    <w:rPr>
                      <w:rStyle w:val="93"/>
                    </w:rPr>
                  </m:ctrlPr>
                </m:num>
                <m:den>
                  <m:r>
                    <m:rPr/>
                    <w:rPr>
                      <w:rStyle w:val="93"/>
                      <w:rFonts w:ascii="Cambria Math" w:hAnsi="Cambria Math"/>
                    </w:rPr>
                    <m:t>αK−1</m:t>
                  </m:r>
                  <m:ctrlPr>
                    <w:rPr>
                      <w:rStyle w:val="93"/>
                    </w:rPr>
                  </m:ctrlPr>
                </m:den>
              </m:f>
              <m:nary>
                <m:naryPr>
                  <m:chr m:val="∑"/>
                  <m:grow m:val="1"/>
                  <m:limLoc m:val="undOvr"/>
                  <m:supHide m:val="1"/>
                  <m:ctrlPr>
                    <w:rPr>
                      <w:rStyle w:val="93"/>
                    </w:rPr>
                  </m:ctrlPr>
                </m:naryPr>
                <m:sub>
                  <m:r>
                    <m:rPr/>
                    <w:rPr>
                      <w:rStyle w:val="93"/>
                      <w:rFonts w:ascii="Cambria Math" w:hAnsi="Cambria Math"/>
                    </w:rPr>
                    <m:t>j≠i</m:t>
                  </m:r>
                  <m:ctrlPr>
                    <w:rPr>
                      <w:rStyle w:val="93"/>
                    </w:rPr>
                  </m:ctrlPr>
                </m:sub>
                <m:sup>
                  <m:ctrlPr>
                    <w:rPr>
                      <w:rStyle w:val="93"/>
                    </w:rPr>
                  </m:ctrlPr>
                </m:sup>
                <m:e>
                  <m:r>
                    <m:rPr/>
                    <w:rPr>
                      <w:rStyle w:val="93"/>
                      <w:rFonts w:ascii="Cambria Math" w:hAnsi="Cambria Math"/>
                    </w:rPr>
                    <m:t> </m:t>
                  </m:r>
                  <m:ctrlPr>
                    <w:rPr>
                      <w:rStyle w:val="93"/>
                    </w:rPr>
                  </m:ctrlPr>
                </m:e>
              </m:nary>
              <m:sSub>
                <m:sSubPr>
                  <m:ctrlPr>
                    <w:rPr>
                      <w:rStyle w:val="93"/>
                    </w:rPr>
                  </m:ctrlPr>
                </m:sSubPr>
                <m:e>
                  <m:r>
                    <m:rPr/>
                    <w:rPr>
                      <w:rStyle w:val="93"/>
                      <w:rFonts w:ascii="Cambria Math" w:hAnsi="Cambria Math"/>
                    </w:rPr>
                    <m:t>S</m:t>
                  </m:r>
                  <m:ctrlPr>
                    <w:rPr>
                      <w:rStyle w:val="93"/>
                    </w:rPr>
                  </m:ctrlPr>
                </m:e>
                <m:sub>
                  <m:r>
                    <m:rPr/>
                    <w:rPr>
                      <w:rStyle w:val="93"/>
                      <w:rFonts w:ascii="Cambria Math" w:hAnsi="Cambria Math"/>
                    </w:rPr>
                    <m:t>ij</m:t>
                  </m:r>
                  <m:ctrlPr>
                    <w:rPr>
                      <w:rStyle w:val="93"/>
                    </w:rPr>
                  </m:ctrlPr>
                </m:sub>
              </m:sSub>
            </m:oMath>
            <w:r>
              <w:rPr>
                <w:rStyle w:val="93"/>
                <w:rFonts w:hint="eastAsia"/>
              </w:rPr>
              <w:t>和</w:t>
            </w:r>
            <w:r>
              <w:rPr>
                <w:rFonts w:hint="eastAsia"/>
              </w:rPr>
              <w:t>计算最大相似度</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max</m:t>
                  </m:r>
                  <m:ctrlPr>
                    <w:rPr>
                      <w:rFonts w:ascii="Cambria Math" w:hAnsi="Cambria Math"/>
                    </w:rPr>
                  </m:ctrlPr>
                </m:sup>
              </m:sSubSup>
              <m:r>
                <m:rPr>
                  <m:sty m:val="p"/>
                </m:rPr>
                <w:rPr>
                  <w:rFonts w:ascii="Cambria Math" w:hAnsi="Cambria Math"/>
                </w:rPr>
                <m:t>←</m:t>
              </m:r>
              <m:limLow>
                <m:limLowPr>
                  <m:ctrlPr>
                    <w:rPr>
                      <w:rFonts w:ascii="Cambria Math" w:hAnsi="Cambria Math"/>
                    </w:rPr>
                  </m:ctrlPr>
                </m:limLowPr>
                <m:e>
                  <m:r>
                    <m:rPr/>
                    <w:rPr>
                      <w:rFonts w:ascii="Cambria Math" w:hAnsi="Cambria Math"/>
                    </w:rPr>
                    <m:t>max</m:t>
                  </m:r>
                  <m:ctrlPr>
                    <w:rPr>
                      <w:rFonts w:ascii="Cambria Math" w:hAnsi="Cambria Math"/>
                    </w:rPr>
                  </m:ctrlPr>
                </m:e>
                <m:lim>
                  <m:r>
                    <m:rPr/>
                    <w:rPr>
                      <w:rFonts w:ascii="Cambria Math" w:hAnsi="Cambria Math"/>
                    </w:rPr>
                    <m:t>j</m:t>
                  </m:r>
                  <m:r>
                    <m:rPr>
                      <m:sty m:val="p"/>
                    </m:rPr>
                    <w:rPr>
                      <w:rFonts w:ascii="Cambria Math" w:hAnsi="Cambria Math"/>
                    </w:rPr>
                    <m:t>≠</m:t>
                  </m:r>
                  <m:r>
                    <m:rPr/>
                    <w:rPr>
                      <w:rFonts w:ascii="Cambria Math" w:hAnsi="Cambria Math"/>
                    </w:rPr>
                    <m:t>i</m:t>
                  </m:r>
                  <m:ctrlPr>
                    <w:rPr>
                      <w:rFonts w:ascii="Cambria Math" w:hAnsi="Cambria Math"/>
                    </w:rPr>
                  </m:ctrlPr>
                </m:lim>
              </m:limLow>
              <m:r>
                <m:rPr>
                  <m:sty m:val="p"/>
                </m:rPr>
                <w:rPr>
                  <w:rFonts w:ascii="Cambria Math" w:hAnsi="Cambria Math"/>
                </w:rPr>
                <m:t> </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oMath>
          </w:p>
        </w:tc>
        <w:tc>
          <w:tcPr>
            <w:tcW w:w="382" w:type="dxa"/>
            <w:tcBorders>
              <w:top w:val="nil"/>
              <w:left w:val="nil"/>
              <w:bottom w:val="nil"/>
              <w:right w:val="single" w:color="auto" w:sz="4" w:space="0"/>
            </w:tcBorders>
          </w:tcPr>
          <w:p w14:paraId="2C352747">
            <w:pPr>
              <w:ind w:firstLine="480"/>
            </w:pPr>
          </w:p>
        </w:tc>
      </w:tr>
      <w:tr w14:paraId="20DA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7BFEEB1">
            <w:pPr>
              <w:ind w:firstLine="0" w:firstLineChars="0"/>
              <w:jc w:val="center"/>
            </w:pPr>
            <w:r>
              <w:rPr>
                <w:rFonts w:hint="eastAsia"/>
              </w:rPr>
              <w:t>9</w:t>
            </w:r>
          </w:p>
        </w:tc>
        <w:tc>
          <w:tcPr>
            <w:tcW w:w="8018" w:type="dxa"/>
            <w:tcBorders>
              <w:top w:val="nil"/>
              <w:left w:val="nil"/>
              <w:bottom w:val="nil"/>
              <w:right w:val="nil"/>
            </w:tcBorders>
          </w:tcPr>
          <w:p w14:paraId="1934E31B">
            <w:pPr>
              <w:pStyle w:val="92"/>
              <w:ind w:firstLine="240" w:firstLineChars="100"/>
              <w:rPr>
                <w:i/>
              </w:rPr>
            </w:pPr>
            <w:r>
              <w:rPr>
                <w:rFonts w:hint="eastAsia"/>
              </w:rPr>
              <w:t>计算与查询的相似度</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func>
            </m:oMath>
            <w:r>
              <w:rPr>
                <w:rFonts w:hint="eastAsia"/>
              </w:rPr>
              <w:t>及其Z-score</w:t>
            </w: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den>
              </m:f>
            </m:oMath>
          </w:p>
        </w:tc>
        <w:tc>
          <w:tcPr>
            <w:tcW w:w="382" w:type="dxa"/>
            <w:tcBorders>
              <w:top w:val="nil"/>
              <w:left w:val="nil"/>
              <w:bottom w:val="nil"/>
              <w:right w:val="single" w:color="auto" w:sz="4" w:space="0"/>
            </w:tcBorders>
          </w:tcPr>
          <w:p w14:paraId="1CF93E61">
            <w:pPr>
              <w:ind w:firstLine="480"/>
            </w:pPr>
          </w:p>
        </w:tc>
      </w:tr>
      <w:tr w14:paraId="48F2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05BFBD63">
            <w:pPr>
              <w:ind w:firstLine="0" w:firstLineChars="0"/>
              <w:jc w:val="center"/>
            </w:pPr>
            <w:r>
              <w:rPr>
                <w:rFonts w:hint="eastAsia"/>
              </w:rPr>
              <w:t>10</w:t>
            </w:r>
          </w:p>
        </w:tc>
        <w:tc>
          <w:tcPr>
            <w:tcW w:w="8018" w:type="dxa"/>
            <w:tcBorders>
              <w:top w:val="nil"/>
              <w:left w:val="nil"/>
              <w:bottom w:val="nil"/>
              <w:right w:val="nil"/>
            </w:tcBorders>
          </w:tcPr>
          <w:p w14:paraId="27D128ED">
            <w:pPr>
              <w:pStyle w:val="91"/>
              <w:ind w:firstLine="241" w:firstLineChars="100"/>
              <w:rPr>
                <w:b/>
                <w:bCs/>
              </w:rPr>
            </w:pPr>
            <w:r>
              <w:rPr>
                <w:rFonts w:hint="eastAsia"/>
                <w:b/>
                <w:bCs/>
              </w:rPr>
              <w:t>if</w:t>
            </w:r>
            <w:r>
              <w:rPr>
                <w:rFonts w:hint="eastAsia"/>
              </w:rPr>
              <w:t xml:space="preserve">  </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avg</m:t>
                  </m:r>
                  <m:ctrlPr>
                    <w:rPr>
                      <w:rFonts w:ascii="Cambria Math" w:hAnsi="Cambria Math"/>
                    </w:rPr>
                  </m:ctrlPr>
                </m:sub>
              </m:sSub>
            </m:oMath>
            <w:r>
              <w:rPr>
                <w:rFonts w:hint="eastAsia"/>
              </w:rPr>
              <w:t xml:space="preserve"> </w:t>
            </w:r>
            <w:r>
              <w:rPr>
                <w:rFonts w:hint="eastAsia"/>
                <w:b/>
                <w:bCs/>
              </w:rPr>
              <w:t>or</w:t>
            </w:r>
            <w:r>
              <w:rPr>
                <w:rFonts w:hint="eastAsia"/>
              </w:rPr>
              <w:t xml:space="preserve"> </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max</m:t>
                  </m:r>
                  <m:ctrlPr>
                    <w:rPr>
                      <w:rFonts w:ascii="Cambria Math" w:hAnsi="Cambria Math"/>
                    </w:rPr>
                  </m:ctrlPr>
                </m:sup>
              </m:sSubSup>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max</m:t>
                  </m:r>
                  <m:ctrlPr>
                    <w:rPr>
                      <w:rFonts w:ascii="Cambria Math" w:hAnsi="Cambria Math"/>
                    </w:rPr>
                  </m:ctrlPr>
                </m:sub>
              </m:sSub>
            </m:oMath>
            <w:r>
              <w:rPr>
                <w:rFonts w:hint="eastAsia"/>
              </w:rPr>
              <w:t xml:space="preserve"> </w:t>
            </w:r>
            <w:r>
              <w:rPr>
                <w:rFonts w:hint="eastAsia"/>
                <w:b/>
                <w:bCs/>
              </w:rPr>
              <w:t>or</w:t>
            </w:r>
            <w:r>
              <w:rPr>
                <w:rFonts w:hint="eastAsia"/>
              </w:rPr>
              <w:t xml:space="preserve">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oMath>
            <w:r>
              <w:rPr>
                <w:rFonts w:hint="eastAsia"/>
              </w:rPr>
              <w:t xml:space="preserve"> </w:t>
            </w:r>
            <w:r>
              <w:rPr>
                <w:rFonts w:hint="eastAsia"/>
                <w:b/>
                <w:bCs/>
              </w:rPr>
              <w:t>or</w:t>
            </w:r>
            <w:r>
              <w:rPr>
                <w:rFonts w:hint="eastAsia"/>
              </w:rP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sim</m:t>
                  </m:r>
                  <m:ctrlPr>
                    <w:rPr>
                      <w:rFonts w:ascii="Cambria Math" w:hAnsi="Cambria Math"/>
                    </w:rPr>
                  </m:ctrlPr>
                </m:sub>
              </m:sSub>
            </m:oMath>
            <w:r>
              <w:rPr>
                <w:rFonts w:hint="eastAsia"/>
              </w:rPr>
              <w:t xml:space="preserve"> </w:t>
            </w:r>
            <w:r>
              <w:rPr>
                <w:rFonts w:hint="eastAsia"/>
                <w:b/>
                <w:bCs/>
              </w:rPr>
              <w:t>then</w:t>
            </w:r>
          </w:p>
          <w:p w14:paraId="1E1BDB26">
            <w:pPr>
              <w:pStyle w:val="91"/>
              <w:ind w:firstLine="240" w:firstLineChars="100"/>
            </w:pPr>
            <w:r>
              <w:rPr>
                <w:rFonts w:hint="eastAsia"/>
              </w:rPr>
              <w:t xml:space="preserve">    过滤</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p>
        </w:tc>
        <w:tc>
          <w:tcPr>
            <w:tcW w:w="382" w:type="dxa"/>
            <w:tcBorders>
              <w:top w:val="nil"/>
              <w:left w:val="nil"/>
              <w:bottom w:val="nil"/>
              <w:right w:val="single" w:color="auto" w:sz="4" w:space="0"/>
            </w:tcBorders>
          </w:tcPr>
          <w:p w14:paraId="2DB30C7C">
            <w:pPr>
              <w:ind w:firstLine="480"/>
            </w:pPr>
          </w:p>
        </w:tc>
      </w:tr>
      <w:tr w14:paraId="4163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23F1C17">
            <w:pPr>
              <w:ind w:firstLine="0" w:firstLineChars="0"/>
              <w:jc w:val="center"/>
            </w:pPr>
            <w:r>
              <w:rPr>
                <w:rFonts w:hint="eastAsia"/>
              </w:rPr>
              <w:t>11</w:t>
            </w:r>
          </w:p>
        </w:tc>
        <w:tc>
          <w:tcPr>
            <w:tcW w:w="8018" w:type="dxa"/>
            <w:tcBorders>
              <w:top w:val="nil"/>
              <w:left w:val="nil"/>
              <w:bottom w:val="nil"/>
              <w:right w:val="nil"/>
            </w:tcBorders>
          </w:tcPr>
          <w:p w14:paraId="6A25727F">
            <w:pPr>
              <w:pStyle w:val="91"/>
            </w:pPr>
            <w:r>
              <w:rPr>
                <w:rFonts w:hint="eastAsia"/>
              </w:rPr>
              <w:t xml:space="preserve">    </w:t>
            </w:r>
            <w:r>
              <w:rPr>
                <w:rFonts w:hint="eastAsia"/>
                <w:b/>
                <w:bCs/>
              </w:rPr>
              <w:t>else</w:t>
            </w:r>
            <w:r>
              <w:rPr>
                <w:rFonts w:hint="eastAsia"/>
              </w:rPr>
              <w:t xml:space="preserve"> 保留</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至</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tmp</m:t>
                  </m:r>
                  <m:ctrlPr>
                    <w:rPr>
                      <w:rFonts w:ascii="Cambria Math" w:hAnsi="Cambria Math"/>
                    </w:rPr>
                  </m:ctrlPr>
                </m:sub>
              </m:sSub>
            </m:oMath>
          </w:p>
        </w:tc>
        <w:tc>
          <w:tcPr>
            <w:tcW w:w="382" w:type="dxa"/>
            <w:tcBorders>
              <w:top w:val="nil"/>
              <w:left w:val="nil"/>
              <w:bottom w:val="nil"/>
              <w:right w:val="single" w:color="auto" w:sz="4" w:space="0"/>
            </w:tcBorders>
          </w:tcPr>
          <w:p w14:paraId="39A671AA">
            <w:pPr>
              <w:ind w:firstLine="480"/>
            </w:pPr>
          </w:p>
        </w:tc>
      </w:tr>
      <w:tr w14:paraId="3AF5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1D5DD52B">
            <w:pPr>
              <w:ind w:firstLine="0" w:firstLineChars="0"/>
              <w:jc w:val="center"/>
            </w:pPr>
            <w:r>
              <w:rPr>
                <w:rFonts w:hint="eastAsia"/>
              </w:rPr>
              <w:t>12</w:t>
            </w:r>
          </w:p>
        </w:tc>
        <w:tc>
          <w:tcPr>
            <w:tcW w:w="8018" w:type="dxa"/>
            <w:tcBorders>
              <w:top w:val="nil"/>
              <w:left w:val="nil"/>
              <w:bottom w:val="nil"/>
              <w:right w:val="nil"/>
            </w:tcBorders>
          </w:tcPr>
          <w:p w14:paraId="33C79D7A">
            <w:pPr>
              <w:pStyle w:val="91"/>
              <w:rPr>
                <w:b/>
                <w:bCs/>
              </w:rPr>
            </w:pPr>
            <w:r>
              <w:rPr>
                <w:rFonts w:hint="eastAsia"/>
              </w:rPr>
              <w:t xml:space="preserve">    </w:t>
            </w:r>
            <w:r>
              <w:rPr>
                <w:rFonts w:hint="eastAsia"/>
                <w:b/>
                <w:bCs/>
              </w:rPr>
              <w:t>end if</w:t>
            </w:r>
          </w:p>
        </w:tc>
        <w:tc>
          <w:tcPr>
            <w:tcW w:w="382" w:type="dxa"/>
            <w:tcBorders>
              <w:top w:val="nil"/>
              <w:left w:val="nil"/>
              <w:bottom w:val="nil"/>
              <w:right w:val="single" w:color="auto" w:sz="4" w:space="0"/>
            </w:tcBorders>
          </w:tcPr>
          <w:p w14:paraId="0BF11668">
            <w:pPr>
              <w:ind w:firstLine="480"/>
            </w:pPr>
          </w:p>
        </w:tc>
      </w:tr>
      <w:tr w14:paraId="6F8D8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1732159">
            <w:pPr>
              <w:ind w:firstLine="0" w:firstLineChars="0"/>
              <w:jc w:val="center"/>
            </w:pPr>
            <w:r>
              <w:rPr>
                <w:rFonts w:hint="eastAsia"/>
              </w:rPr>
              <w:t>13</w:t>
            </w:r>
          </w:p>
        </w:tc>
        <w:tc>
          <w:tcPr>
            <w:tcW w:w="8018" w:type="dxa"/>
            <w:tcBorders>
              <w:top w:val="nil"/>
              <w:left w:val="nil"/>
              <w:bottom w:val="nil"/>
              <w:right w:val="nil"/>
            </w:tcBorders>
          </w:tcPr>
          <w:p w14:paraId="68D3533C">
            <w:pPr>
              <w:pStyle w:val="91"/>
              <w:rPr>
                <w:b/>
                <w:bCs/>
              </w:rPr>
            </w:pPr>
            <w:r>
              <w:rPr>
                <w:rFonts w:hint="eastAsia"/>
                <w:b/>
                <w:bCs/>
              </w:rPr>
              <w:t>end for</w:t>
            </w:r>
          </w:p>
        </w:tc>
        <w:tc>
          <w:tcPr>
            <w:tcW w:w="382" w:type="dxa"/>
            <w:tcBorders>
              <w:top w:val="nil"/>
              <w:left w:val="nil"/>
              <w:bottom w:val="nil"/>
              <w:right w:val="single" w:color="auto" w:sz="4" w:space="0"/>
            </w:tcBorders>
          </w:tcPr>
          <w:p w14:paraId="0E2D0109">
            <w:pPr>
              <w:ind w:firstLine="480"/>
            </w:pPr>
          </w:p>
        </w:tc>
      </w:tr>
      <w:tr w14:paraId="78DC2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2910E5C">
            <w:pPr>
              <w:ind w:firstLine="0" w:firstLineChars="0"/>
              <w:jc w:val="center"/>
            </w:pPr>
            <w:r>
              <w:rPr>
                <w:rFonts w:hint="eastAsia"/>
              </w:rPr>
              <w:t>14</w:t>
            </w:r>
          </w:p>
        </w:tc>
        <w:tc>
          <w:tcPr>
            <w:tcW w:w="8018" w:type="dxa"/>
            <w:tcBorders>
              <w:top w:val="nil"/>
              <w:left w:val="nil"/>
              <w:bottom w:val="nil"/>
              <w:right w:val="nil"/>
            </w:tcBorders>
          </w:tcPr>
          <w:p w14:paraId="31E09359">
            <w:pPr>
              <w:pStyle w:val="91"/>
              <w:rPr>
                <w:b/>
                <w:bCs/>
              </w:rPr>
            </w:pPr>
            <w:r>
              <w:rPr>
                <w:rFonts w:hint="eastAsia"/>
                <w:b/>
                <w:bCs/>
              </w:rPr>
              <w:t>阶段3：</w:t>
            </w:r>
            <w:r>
              <w:rPr>
                <w:rFonts w:hint="eastAsia"/>
                <w:b/>
                <w:bCs/>
                <w:lang w:eastAsia="zh-CN"/>
              </w:rPr>
              <w:t>语句级</w:t>
            </w:r>
            <w:r>
              <w:rPr>
                <w:rFonts w:hint="eastAsia"/>
                <w:b/>
                <w:bCs/>
              </w:rPr>
              <w:t>困惑度异常检测与输出</w:t>
            </w:r>
          </w:p>
        </w:tc>
        <w:tc>
          <w:tcPr>
            <w:tcW w:w="382" w:type="dxa"/>
            <w:tcBorders>
              <w:top w:val="nil"/>
              <w:left w:val="nil"/>
              <w:bottom w:val="nil"/>
              <w:right w:val="single" w:color="auto" w:sz="4" w:space="0"/>
            </w:tcBorders>
          </w:tcPr>
          <w:p w14:paraId="0F819274">
            <w:pPr>
              <w:ind w:firstLine="480"/>
            </w:pPr>
          </w:p>
        </w:tc>
      </w:tr>
      <w:tr w14:paraId="5AA3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1AFAB4F">
            <w:pPr>
              <w:ind w:firstLine="0" w:firstLineChars="0"/>
              <w:jc w:val="center"/>
            </w:pPr>
            <w:r>
              <w:rPr>
                <w:rFonts w:hint="eastAsia"/>
              </w:rPr>
              <w:t>15</w:t>
            </w:r>
          </w:p>
        </w:tc>
        <w:tc>
          <w:tcPr>
            <w:tcW w:w="8018" w:type="dxa"/>
            <w:tcBorders>
              <w:top w:val="nil"/>
              <w:left w:val="nil"/>
              <w:bottom w:val="nil"/>
              <w:right w:val="nil"/>
            </w:tcBorders>
          </w:tcPr>
          <w:p w14:paraId="3B4BD2D6">
            <w:pPr>
              <w:pStyle w:val="91"/>
            </w:pPr>
            <w:r>
              <w:rPr>
                <w:rFonts w:hint="eastAsia"/>
                <w:b/>
                <w:bCs/>
              </w:rPr>
              <w:t>for</w:t>
            </w:r>
            <w:r>
              <w:rPr>
                <w:rFonts w:hint="eastAsia"/>
              </w:rPr>
              <w:t xml:space="preserve"> 每个候选文档</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 </w:t>
            </w:r>
            <w:r>
              <w:rPr>
                <w:rFonts w:hint="eastAsia"/>
                <w:b/>
                <w:bCs/>
              </w:rPr>
              <w:t>do</w:t>
            </w:r>
          </w:p>
        </w:tc>
        <w:tc>
          <w:tcPr>
            <w:tcW w:w="382" w:type="dxa"/>
            <w:tcBorders>
              <w:top w:val="nil"/>
              <w:left w:val="nil"/>
              <w:bottom w:val="nil"/>
              <w:right w:val="single" w:color="auto" w:sz="4" w:space="0"/>
            </w:tcBorders>
          </w:tcPr>
          <w:p w14:paraId="66E42D1D">
            <w:pPr>
              <w:ind w:firstLine="480"/>
            </w:pPr>
          </w:p>
        </w:tc>
      </w:tr>
      <w:tr w14:paraId="011D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50A7E237">
            <w:pPr>
              <w:ind w:firstLine="0" w:firstLineChars="0"/>
              <w:jc w:val="center"/>
            </w:pPr>
            <w:r>
              <w:rPr>
                <w:rFonts w:hint="eastAsia"/>
              </w:rPr>
              <w:t>16</w:t>
            </w:r>
          </w:p>
        </w:tc>
        <w:tc>
          <w:tcPr>
            <w:tcW w:w="8018" w:type="dxa"/>
            <w:tcBorders>
              <w:top w:val="nil"/>
              <w:left w:val="nil"/>
              <w:bottom w:val="nil"/>
              <w:right w:val="nil"/>
            </w:tcBorders>
          </w:tcPr>
          <w:p w14:paraId="539E4899">
            <w:pPr>
              <w:pStyle w:val="91"/>
              <w:rPr>
                <w:i/>
              </w:rPr>
            </w:pPr>
            <w:r>
              <w:rPr>
                <w:rFonts w:hint="eastAsia"/>
              </w:rPr>
              <w:t xml:space="preserve">    将</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按标点划分为句子序列</w:t>
            </w:r>
            <m:oMath>
              <m:r>
                <m:rPr/>
                <w:rPr>
                  <w:rFonts w:ascii="Cambria Math" w:hAnsi="Cambria Math"/>
                </w:rPr>
                <m:t>S(</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7A53EFA5">
            <w:pPr>
              <w:ind w:firstLine="480"/>
            </w:pPr>
          </w:p>
        </w:tc>
      </w:tr>
      <w:tr w14:paraId="4682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1E5826A">
            <w:pPr>
              <w:ind w:firstLine="0" w:firstLineChars="0"/>
              <w:jc w:val="center"/>
            </w:pPr>
            <w:r>
              <w:rPr>
                <w:rFonts w:hint="eastAsia"/>
              </w:rPr>
              <w:t>17</w:t>
            </w:r>
          </w:p>
        </w:tc>
        <w:tc>
          <w:tcPr>
            <w:tcW w:w="8018" w:type="dxa"/>
            <w:tcBorders>
              <w:top w:val="nil"/>
              <w:left w:val="nil"/>
              <w:bottom w:val="nil"/>
              <w:right w:val="nil"/>
            </w:tcBorders>
          </w:tcPr>
          <w:p w14:paraId="3CC91931">
            <w:pPr>
              <w:pStyle w:val="91"/>
            </w:pPr>
            <w:r>
              <w:rPr>
                <w:rFonts w:hint="eastAsia"/>
              </w:rPr>
              <w:t xml:space="preserve">    对每个句子</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oMath>
            <w:r>
              <w:rPr>
                <w:rFonts w:hint="eastAsia"/>
              </w:rPr>
              <w:t>计算困惑度</w:t>
            </w:r>
            <m:oMath>
              <m:r>
                <m:rPr/>
                <w:rPr>
                  <w:rFonts w:ascii="Cambria Math" w:hAnsi="Cambria Math"/>
                </w:rPr>
                <m:t>PPL(</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oMath>
          </w:p>
        </w:tc>
        <w:tc>
          <w:tcPr>
            <w:tcW w:w="382" w:type="dxa"/>
            <w:tcBorders>
              <w:top w:val="nil"/>
              <w:left w:val="nil"/>
              <w:bottom w:val="nil"/>
              <w:right w:val="single" w:color="auto" w:sz="4" w:space="0"/>
            </w:tcBorders>
          </w:tcPr>
          <w:p w14:paraId="09D83556">
            <w:pPr>
              <w:ind w:firstLine="480"/>
            </w:pPr>
          </w:p>
        </w:tc>
      </w:tr>
      <w:tr w14:paraId="21A7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39D8AE6">
            <w:pPr>
              <w:ind w:firstLine="0" w:firstLineChars="0"/>
              <w:jc w:val="center"/>
            </w:pPr>
            <w:r>
              <w:rPr>
                <w:rFonts w:hint="eastAsia"/>
              </w:rPr>
              <w:t>18</w:t>
            </w:r>
          </w:p>
        </w:tc>
        <w:tc>
          <w:tcPr>
            <w:tcW w:w="8018" w:type="dxa"/>
            <w:tcBorders>
              <w:top w:val="nil"/>
              <w:left w:val="nil"/>
              <w:bottom w:val="nil"/>
              <w:right w:val="nil"/>
            </w:tcBorders>
          </w:tcPr>
          <w:p w14:paraId="6DE65DF6">
            <w:pPr>
              <w:pStyle w:val="91"/>
            </w:pPr>
            <w:r>
              <w:rPr>
                <w:rFonts w:hint="eastAsia"/>
              </w:rPr>
              <w:t xml:space="preserve">    计算句子困惑度均值</w:t>
            </w:r>
            <m:oMath>
              <m:sSub>
                <m:sSubPr>
                  <m:ctrlPr>
                    <w:rPr>
                      <w:rStyle w:val="93"/>
                    </w:rPr>
                  </m:ctrlPr>
                </m:sSubPr>
                <m:e>
                  <m:r>
                    <m:rPr/>
                    <w:rPr>
                      <w:rStyle w:val="93"/>
                      <w:rFonts w:ascii="Cambria Math" w:hAnsi="Cambria Math"/>
                    </w:rPr>
                    <m:t>μ</m:t>
                  </m:r>
                  <m:ctrlPr>
                    <w:rPr>
                      <w:rStyle w:val="93"/>
                    </w:rPr>
                  </m:ctrlPr>
                </m:e>
                <m:sub>
                  <m:r>
                    <m:rPr/>
                    <w:rPr>
                      <w:rStyle w:val="93"/>
                      <w:rFonts w:ascii="Cambria Math" w:hAnsi="Cambria Math"/>
                    </w:rPr>
                    <m:t>i</m:t>
                  </m:r>
                  <m:ctrlPr>
                    <w:rPr>
                      <w:rStyle w:val="93"/>
                    </w:rPr>
                  </m:ctrlPr>
                </m:sub>
              </m:sSub>
            </m:oMath>
            <w:r>
              <w:rPr>
                <w:rFonts w:hint="eastAsia"/>
              </w:rPr>
              <w:t>和标准差</w:t>
            </w:r>
            <m:oMath>
              <m:sSub>
                <m:sSubPr>
                  <m:ctrlPr>
                    <w:rPr>
                      <w:rStyle w:val="93"/>
                    </w:rPr>
                  </m:ctrlPr>
                </m:sSubPr>
                <m:e>
                  <m:r>
                    <m:rPr/>
                    <w:rPr>
                      <w:rStyle w:val="93"/>
                      <w:rFonts w:ascii="Cambria Math" w:hAnsi="Cambria Math"/>
                    </w:rPr>
                    <m:t>σ</m:t>
                  </m:r>
                  <m:ctrlPr>
                    <w:rPr>
                      <w:rStyle w:val="93"/>
                    </w:rPr>
                  </m:ctrlPr>
                </m:e>
                <m:sub>
                  <m:r>
                    <m:rPr/>
                    <w:rPr>
                      <w:rStyle w:val="93"/>
                      <w:rFonts w:ascii="Cambria Math" w:hAnsi="Cambria Math"/>
                    </w:rPr>
                    <m:t>i</m:t>
                  </m:r>
                  <m:ctrlPr>
                    <w:rPr>
                      <w:rStyle w:val="93"/>
                    </w:rPr>
                  </m:ctrlPr>
                </m:sub>
              </m:sSub>
            </m:oMath>
          </w:p>
        </w:tc>
        <w:tc>
          <w:tcPr>
            <w:tcW w:w="382" w:type="dxa"/>
            <w:tcBorders>
              <w:top w:val="nil"/>
              <w:left w:val="nil"/>
              <w:bottom w:val="nil"/>
              <w:right w:val="single" w:color="auto" w:sz="4" w:space="0"/>
            </w:tcBorders>
          </w:tcPr>
          <w:p w14:paraId="39AFA05A">
            <w:pPr>
              <w:ind w:firstLine="480"/>
            </w:pPr>
          </w:p>
        </w:tc>
      </w:tr>
      <w:tr w14:paraId="1360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ED1CA95">
            <w:pPr>
              <w:ind w:firstLine="0" w:firstLineChars="0"/>
              <w:jc w:val="center"/>
            </w:pPr>
            <w:r>
              <w:rPr>
                <w:rFonts w:hint="eastAsia"/>
              </w:rPr>
              <w:t>19</w:t>
            </w:r>
          </w:p>
        </w:tc>
        <w:tc>
          <w:tcPr>
            <w:tcW w:w="8018" w:type="dxa"/>
            <w:tcBorders>
              <w:top w:val="nil"/>
              <w:left w:val="nil"/>
              <w:bottom w:val="nil"/>
              <w:right w:val="nil"/>
            </w:tcBorders>
          </w:tcPr>
          <w:p w14:paraId="41558B9F">
            <w:pPr>
              <w:pStyle w:val="91"/>
            </w:pPr>
            <w:r>
              <w:rPr>
                <w:rFonts w:hint="eastAsia"/>
              </w:rPr>
              <w:t xml:space="preserve">    </w:t>
            </w:r>
            <w:r>
              <w:rPr>
                <w:rFonts w:hint="eastAsia"/>
                <w:b/>
                <w:bCs/>
              </w:rPr>
              <w:t>for</w:t>
            </w:r>
            <w:r>
              <w:rPr>
                <w:rFonts w:hint="eastAsia"/>
              </w:rPr>
              <w:t xml:space="preserve"> 每个句子</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oMath>
            <w:r>
              <w:rPr>
                <w:rFonts w:hint="eastAsia"/>
              </w:rPr>
              <w:t xml:space="preserve"> </w:t>
            </w:r>
            <w:r>
              <w:rPr>
                <w:rFonts w:hint="eastAsia"/>
                <w:b/>
                <w:bCs/>
              </w:rPr>
              <w:t>do</w:t>
            </w:r>
          </w:p>
        </w:tc>
        <w:tc>
          <w:tcPr>
            <w:tcW w:w="382" w:type="dxa"/>
            <w:tcBorders>
              <w:top w:val="nil"/>
              <w:left w:val="nil"/>
              <w:bottom w:val="nil"/>
              <w:right w:val="single" w:color="auto" w:sz="4" w:space="0"/>
            </w:tcBorders>
          </w:tcPr>
          <w:p w14:paraId="09DA3645">
            <w:pPr>
              <w:ind w:firstLine="480"/>
            </w:pPr>
          </w:p>
        </w:tc>
      </w:tr>
      <w:tr w14:paraId="1B4E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7F709FAE">
            <w:pPr>
              <w:ind w:firstLine="0" w:firstLineChars="0"/>
              <w:jc w:val="center"/>
            </w:pPr>
            <w:r>
              <w:rPr>
                <w:rFonts w:hint="eastAsia"/>
              </w:rPr>
              <w:t>20</w:t>
            </w:r>
          </w:p>
        </w:tc>
        <w:tc>
          <w:tcPr>
            <w:tcW w:w="8018" w:type="dxa"/>
            <w:tcBorders>
              <w:top w:val="nil"/>
              <w:left w:val="nil"/>
              <w:bottom w:val="nil"/>
              <w:right w:val="nil"/>
            </w:tcBorders>
          </w:tcPr>
          <w:p w14:paraId="1EAAD4C4">
            <w:pPr>
              <w:pStyle w:val="92"/>
              <w:ind w:firstLine="0" w:firstLineChars="0"/>
            </w:pPr>
            <w:r>
              <w:rPr>
                <w:rFonts w:hint="eastAsia"/>
              </w:rPr>
              <w:t xml:space="preserve">        计算Z-score</w:t>
            </w:r>
            <m:oMath>
              <m:r>
                <m:rPr>
                  <m:sty m:val="p"/>
                </m:rPr>
                <w:rPr>
                  <w:rFonts w:ascii="Cambria Math" w:hAnsi="Cambria Math"/>
                </w:rPr>
                <m:t>←</m:t>
              </m:r>
            </m:oMath>
            <w:r>
              <w:rPr>
                <w:rFonts w:hint="eastAsia"/>
              </w:rPr>
              <w:t xml:space="preserve"> </w:t>
            </w:r>
            <m:oMath>
              <m:sSub>
                <m:sSubPr>
                  <m:ctrlPr>
                    <w:rPr>
                      <w:rStyle w:val="93"/>
                    </w:rPr>
                  </m:ctrlPr>
                </m:sSubPr>
                <m:e>
                  <m:r>
                    <m:rPr/>
                    <w:rPr>
                      <w:rStyle w:val="93"/>
                      <w:rFonts w:ascii="Cambria Math" w:hAnsi="Cambria Math"/>
                    </w:rPr>
                    <m:t>z</m:t>
                  </m:r>
                  <m:ctrlPr>
                    <w:rPr>
                      <w:rStyle w:val="93"/>
                    </w:rPr>
                  </m:ctrlPr>
                </m:e>
                <m:sub>
                  <m:r>
                    <m:rPr/>
                    <w:rPr>
                      <w:rStyle w:val="93"/>
                      <w:rFonts w:ascii="Cambria Math" w:hAnsi="Cambria Math"/>
                    </w:rPr>
                    <m:t>i,j</m:t>
                  </m:r>
                  <m:ctrlPr>
                    <w:rPr>
                      <w:rStyle w:val="93"/>
                    </w:rPr>
                  </m:ctrlPr>
                </m:sub>
              </m:sSub>
              <m:r>
                <m:rPr/>
                <w:rPr>
                  <w:rStyle w:val="93"/>
                  <w:rFonts w:ascii="Cambria Math" w:hAnsi="Cambria Math"/>
                </w:rPr>
                <m:t>=</m:t>
              </m:r>
              <m:f>
                <m:fPr>
                  <m:ctrlPr>
                    <w:rPr>
                      <w:rStyle w:val="93"/>
                    </w:rPr>
                  </m:ctrlPr>
                </m:fPr>
                <m:num>
                  <m:r>
                    <m:rPr/>
                    <w:rPr>
                      <w:rStyle w:val="93"/>
                      <w:rFonts w:ascii="Cambria Math" w:hAnsi="Cambria Math"/>
                    </w:rPr>
                    <m:t>PPL(</m:t>
                  </m:r>
                  <m:sSub>
                    <m:sSubPr>
                      <m:ctrlPr>
                        <w:rPr>
                          <w:rStyle w:val="93"/>
                        </w:rPr>
                      </m:ctrlPr>
                    </m:sSubPr>
                    <m:e>
                      <m:r>
                        <m:rPr/>
                        <w:rPr>
                          <w:rStyle w:val="93"/>
                          <w:rFonts w:ascii="Cambria Math" w:hAnsi="Cambria Math"/>
                        </w:rPr>
                        <m:t>s</m:t>
                      </m:r>
                      <m:ctrlPr>
                        <w:rPr>
                          <w:rStyle w:val="93"/>
                        </w:rPr>
                      </m:ctrlPr>
                    </m:e>
                    <m:sub>
                      <m:r>
                        <m:rPr/>
                        <w:rPr>
                          <w:rStyle w:val="93"/>
                          <w:rFonts w:ascii="Cambria Math" w:hAnsi="Cambria Math"/>
                        </w:rPr>
                        <m:t>i,j</m:t>
                      </m:r>
                      <m:ctrlPr>
                        <w:rPr>
                          <w:rStyle w:val="93"/>
                        </w:rPr>
                      </m:ctrlPr>
                    </m:sub>
                  </m:sSub>
                  <m:r>
                    <m:rPr/>
                    <w:rPr>
                      <w:rStyle w:val="93"/>
                      <w:rFonts w:ascii="Cambria Math" w:hAnsi="Cambria Math"/>
                    </w:rPr>
                    <m:t>)−</m:t>
                  </m:r>
                  <m:sSub>
                    <m:sSubPr>
                      <m:ctrlPr>
                        <w:rPr>
                          <w:rStyle w:val="93"/>
                        </w:rPr>
                      </m:ctrlPr>
                    </m:sSubPr>
                    <m:e>
                      <m:r>
                        <m:rPr/>
                        <w:rPr>
                          <w:rStyle w:val="93"/>
                          <w:rFonts w:ascii="Cambria Math" w:hAnsi="Cambria Math"/>
                        </w:rPr>
                        <m:t>μ</m:t>
                      </m:r>
                      <m:ctrlPr>
                        <w:rPr>
                          <w:rStyle w:val="93"/>
                        </w:rPr>
                      </m:ctrlPr>
                    </m:e>
                    <m:sub>
                      <m:r>
                        <m:rPr/>
                        <w:rPr>
                          <w:rStyle w:val="93"/>
                          <w:rFonts w:ascii="Cambria Math" w:hAnsi="Cambria Math"/>
                        </w:rPr>
                        <m:t>i</m:t>
                      </m:r>
                      <m:ctrlPr>
                        <w:rPr>
                          <w:rStyle w:val="93"/>
                        </w:rPr>
                      </m:ctrlPr>
                    </m:sub>
                  </m:sSub>
                  <m:ctrlPr>
                    <w:rPr>
                      <w:rStyle w:val="93"/>
                    </w:rPr>
                  </m:ctrlPr>
                </m:num>
                <m:den>
                  <m:sSub>
                    <m:sSubPr>
                      <m:ctrlPr>
                        <w:rPr>
                          <w:rStyle w:val="93"/>
                        </w:rPr>
                      </m:ctrlPr>
                    </m:sSubPr>
                    <m:e>
                      <m:r>
                        <m:rPr/>
                        <w:rPr>
                          <w:rStyle w:val="93"/>
                          <w:rFonts w:ascii="Cambria Math" w:hAnsi="Cambria Math"/>
                        </w:rPr>
                        <m:t>σ</m:t>
                      </m:r>
                      <m:ctrlPr>
                        <w:rPr>
                          <w:rStyle w:val="93"/>
                        </w:rPr>
                      </m:ctrlPr>
                    </m:e>
                    <m:sub>
                      <m:r>
                        <m:rPr/>
                        <w:rPr>
                          <w:rStyle w:val="93"/>
                          <w:rFonts w:ascii="Cambria Math" w:hAnsi="Cambria Math"/>
                        </w:rPr>
                        <m:t>i</m:t>
                      </m:r>
                      <m:ctrlPr>
                        <w:rPr>
                          <w:rStyle w:val="93"/>
                        </w:rPr>
                      </m:ctrlPr>
                    </m:sub>
                  </m:sSub>
                  <m:r>
                    <m:rPr/>
                    <w:rPr>
                      <w:rStyle w:val="93"/>
                      <w:rFonts w:ascii="Cambria Math" w:hAnsi="Cambria Math"/>
                    </w:rPr>
                    <m:t>+ϵ</m:t>
                  </m:r>
                  <m:ctrlPr>
                    <w:rPr>
                      <w:rStyle w:val="93"/>
                    </w:rPr>
                  </m:ctrlPr>
                </m:den>
              </m:f>
            </m:oMath>
          </w:p>
        </w:tc>
        <w:tc>
          <w:tcPr>
            <w:tcW w:w="382" w:type="dxa"/>
            <w:tcBorders>
              <w:top w:val="nil"/>
              <w:left w:val="nil"/>
              <w:bottom w:val="nil"/>
              <w:right w:val="single" w:color="auto" w:sz="4" w:space="0"/>
            </w:tcBorders>
          </w:tcPr>
          <w:p w14:paraId="1AB1351A">
            <w:pPr>
              <w:ind w:firstLine="480"/>
            </w:pPr>
          </w:p>
        </w:tc>
      </w:tr>
      <w:tr w14:paraId="0A67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3E1BC11A">
            <w:pPr>
              <w:ind w:firstLine="0" w:firstLineChars="0"/>
              <w:jc w:val="center"/>
            </w:pPr>
            <w:r>
              <w:rPr>
                <w:rFonts w:hint="eastAsia"/>
              </w:rPr>
              <w:t>21</w:t>
            </w:r>
          </w:p>
        </w:tc>
        <w:tc>
          <w:tcPr>
            <w:tcW w:w="8018" w:type="dxa"/>
            <w:tcBorders>
              <w:top w:val="nil"/>
              <w:left w:val="nil"/>
              <w:bottom w:val="nil"/>
              <w:right w:val="nil"/>
            </w:tcBorders>
          </w:tcPr>
          <w:p w14:paraId="49CBCF52">
            <w:pPr>
              <w:ind w:firstLine="0" w:firstLineChars="0"/>
              <w:jc w:val="left"/>
            </w:pPr>
            <w:r>
              <w:rPr>
                <w:rFonts w:hint="eastAsia"/>
              </w:rPr>
              <w:t xml:space="preserve">        </w:t>
            </w:r>
            <w:r>
              <w:rPr>
                <w:rFonts w:hint="eastAsia"/>
                <w:b/>
                <w:bCs/>
              </w:rPr>
              <w:t>if</w:t>
            </w:r>
            <w:r>
              <w:rPr>
                <w:rFonts w:hint="eastAsia"/>
              </w:rPr>
              <w:t xml:space="preserve">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oMath>
            <w:r>
              <w:rPr>
                <w:rFonts w:hint="eastAsia"/>
              </w:rPr>
              <w:t xml:space="preserve"> </w:t>
            </w:r>
            <w:r>
              <w:rPr>
                <w:rFonts w:hint="eastAsia"/>
                <w:b/>
                <w:bCs/>
              </w:rPr>
              <w:t>then</w:t>
            </w:r>
            <w:r>
              <w:rPr>
                <w:rFonts w:hint="eastAsia"/>
              </w:rPr>
              <w:t xml:space="preserve"> 标记</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为异常并跳出</w:t>
            </w:r>
          </w:p>
        </w:tc>
        <w:tc>
          <w:tcPr>
            <w:tcW w:w="382" w:type="dxa"/>
            <w:tcBorders>
              <w:top w:val="nil"/>
              <w:left w:val="nil"/>
              <w:bottom w:val="nil"/>
              <w:right w:val="single" w:color="auto" w:sz="4" w:space="0"/>
            </w:tcBorders>
          </w:tcPr>
          <w:p w14:paraId="2ADD6491">
            <w:pPr>
              <w:ind w:firstLine="480"/>
            </w:pPr>
          </w:p>
        </w:tc>
      </w:tr>
      <w:tr w14:paraId="749E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CDA5DF2">
            <w:pPr>
              <w:ind w:firstLine="0" w:firstLineChars="0"/>
              <w:jc w:val="center"/>
            </w:pPr>
            <w:r>
              <w:rPr>
                <w:rFonts w:hint="eastAsia"/>
              </w:rPr>
              <w:t>22</w:t>
            </w:r>
          </w:p>
        </w:tc>
        <w:tc>
          <w:tcPr>
            <w:tcW w:w="8018" w:type="dxa"/>
            <w:tcBorders>
              <w:top w:val="nil"/>
              <w:left w:val="nil"/>
              <w:bottom w:val="nil"/>
              <w:right w:val="nil"/>
            </w:tcBorders>
          </w:tcPr>
          <w:p w14:paraId="7052FA75">
            <w:pPr>
              <w:ind w:firstLine="0" w:firstLineChars="0"/>
              <w:jc w:val="left"/>
              <w:rPr>
                <w:b/>
                <w:bCs/>
              </w:rPr>
            </w:pPr>
            <w:r>
              <w:rPr>
                <w:rFonts w:hint="eastAsia"/>
              </w:rPr>
              <w:t xml:space="preserve">    </w:t>
            </w:r>
            <w:r>
              <w:rPr>
                <w:rFonts w:hint="eastAsia"/>
                <w:b/>
                <w:bCs/>
              </w:rPr>
              <w:t>end for</w:t>
            </w:r>
          </w:p>
        </w:tc>
        <w:tc>
          <w:tcPr>
            <w:tcW w:w="382" w:type="dxa"/>
            <w:tcBorders>
              <w:top w:val="nil"/>
              <w:left w:val="nil"/>
              <w:bottom w:val="nil"/>
              <w:right w:val="single" w:color="auto" w:sz="4" w:space="0"/>
            </w:tcBorders>
          </w:tcPr>
          <w:p w14:paraId="3A5F49C6">
            <w:pPr>
              <w:ind w:firstLine="480"/>
            </w:pPr>
          </w:p>
        </w:tc>
      </w:tr>
      <w:tr w14:paraId="26A2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6C8ECA91">
            <w:pPr>
              <w:ind w:firstLine="0" w:firstLineChars="0"/>
              <w:jc w:val="center"/>
            </w:pPr>
            <w:r>
              <w:rPr>
                <w:rFonts w:hint="eastAsia"/>
              </w:rPr>
              <w:t>23</w:t>
            </w:r>
          </w:p>
        </w:tc>
        <w:tc>
          <w:tcPr>
            <w:tcW w:w="8018" w:type="dxa"/>
            <w:tcBorders>
              <w:top w:val="nil"/>
              <w:left w:val="nil"/>
              <w:bottom w:val="nil"/>
              <w:right w:val="nil"/>
            </w:tcBorders>
          </w:tcPr>
          <w:p w14:paraId="3CFE0534">
            <w:pPr>
              <w:ind w:firstLine="0" w:firstLineChars="0"/>
              <w:jc w:val="left"/>
            </w:pPr>
            <w:r>
              <w:rPr>
                <w:rFonts w:hint="eastAsia"/>
              </w:rPr>
              <w:t xml:space="preserve">    </w:t>
            </w:r>
            <w:r>
              <w:rPr>
                <w:rFonts w:hint="eastAsia"/>
                <w:b/>
                <w:bCs/>
              </w:rPr>
              <w:t>if</w:t>
            </w:r>
            <w:r>
              <w:rPr>
                <w:rFonts w:hint="eastAsia"/>
              </w:rP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未被标记为异常 </w:t>
            </w:r>
            <w:r>
              <w:rPr>
                <w:rFonts w:hint="eastAsia"/>
                <w:b/>
                <w:bCs/>
              </w:rPr>
              <w:t>then</w:t>
            </w:r>
            <w:r>
              <w:rPr>
                <w:rFonts w:hint="eastAsia"/>
              </w:rPr>
              <w:t xml:space="preserve"> 保留至</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p>
        </w:tc>
        <w:tc>
          <w:tcPr>
            <w:tcW w:w="382" w:type="dxa"/>
            <w:tcBorders>
              <w:top w:val="nil"/>
              <w:left w:val="nil"/>
              <w:bottom w:val="nil"/>
              <w:right w:val="single" w:color="auto" w:sz="4" w:space="0"/>
            </w:tcBorders>
          </w:tcPr>
          <w:p w14:paraId="781A5E59">
            <w:pPr>
              <w:ind w:firstLine="480"/>
            </w:pPr>
          </w:p>
        </w:tc>
      </w:tr>
      <w:tr w14:paraId="4661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4339FDF6">
            <w:pPr>
              <w:ind w:firstLine="0" w:firstLineChars="0"/>
              <w:jc w:val="center"/>
            </w:pPr>
            <w:r>
              <w:rPr>
                <w:rFonts w:hint="eastAsia"/>
              </w:rPr>
              <w:t>24</w:t>
            </w:r>
          </w:p>
        </w:tc>
        <w:tc>
          <w:tcPr>
            <w:tcW w:w="8018" w:type="dxa"/>
            <w:tcBorders>
              <w:top w:val="nil"/>
              <w:left w:val="nil"/>
              <w:bottom w:val="nil"/>
              <w:right w:val="nil"/>
            </w:tcBorders>
          </w:tcPr>
          <w:p w14:paraId="22D0A0BC">
            <w:pPr>
              <w:ind w:firstLine="0" w:firstLineChars="0"/>
              <w:jc w:val="left"/>
            </w:pPr>
            <w:r>
              <w:rPr>
                <w:rFonts w:hint="eastAsia"/>
                <w:b/>
                <w:bCs/>
              </w:rPr>
              <w:t>end for</w:t>
            </w:r>
          </w:p>
        </w:tc>
        <w:tc>
          <w:tcPr>
            <w:tcW w:w="382" w:type="dxa"/>
            <w:tcBorders>
              <w:top w:val="nil"/>
              <w:left w:val="nil"/>
              <w:bottom w:val="nil"/>
              <w:right w:val="single" w:color="auto" w:sz="4" w:space="0"/>
            </w:tcBorders>
          </w:tcPr>
          <w:p w14:paraId="38B30205">
            <w:pPr>
              <w:ind w:firstLine="480"/>
            </w:pPr>
          </w:p>
        </w:tc>
      </w:tr>
      <w:tr w14:paraId="6977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nil"/>
              <w:right w:val="nil"/>
            </w:tcBorders>
          </w:tcPr>
          <w:p w14:paraId="202EF60F">
            <w:pPr>
              <w:ind w:firstLine="0" w:firstLineChars="0"/>
              <w:jc w:val="center"/>
            </w:pPr>
            <w:r>
              <w:rPr>
                <w:rFonts w:hint="eastAsia"/>
              </w:rPr>
              <w:t>25</w:t>
            </w:r>
          </w:p>
        </w:tc>
        <w:tc>
          <w:tcPr>
            <w:tcW w:w="8018" w:type="dxa"/>
            <w:tcBorders>
              <w:top w:val="nil"/>
              <w:left w:val="nil"/>
              <w:bottom w:val="nil"/>
              <w:right w:val="nil"/>
            </w:tcBorders>
          </w:tcPr>
          <w:p w14:paraId="44A2508D">
            <w:pPr>
              <w:ind w:firstLine="0" w:firstLineChars="0"/>
              <w:jc w:val="left"/>
            </w:pPr>
            <w:r>
              <w:rPr>
                <w:rFonts w:hint="eastAsia"/>
              </w:rPr>
              <w:t>对</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r>
              <w:rPr>
                <w:rFonts w:hint="eastAsia"/>
              </w:rPr>
              <w:t>按查询相似度</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降序排序，选取</w:t>
            </w:r>
            <w:r>
              <w:rPr>
                <w:rFonts w:hint="eastAsia"/>
                <w:lang w:eastAsia="zh-CN"/>
              </w:rPr>
              <w:t>Top-K</w:t>
            </w:r>
            <w:r>
              <w:rPr>
                <w:rFonts w:hint="eastAsia"/>
              </w:rPr>
              <w:t>个文档</w:t>
            </w:r>
          </w:p>
        </w:tc>
        <w:tc>
          <w:tcPr>
            <w:tcW w:w="382" w:type="dxa"/>
            <w:tcBorders>
              <w:top w:val="nil"/>
              <w:left w:val="nil"/>
              <w:bottom w:val="nil"/>
              <w:right w:val="single" w:color="auto" w:sz="4" w:space="0"/>
            </w:tcBorders>
          </w:tcPr>
          <w:p w14:paraId="21F9066B">
            <w:pPr>
              <w:ind w:firstLine="480"/>
            </w:pPr>
          </w:p>
        </w:tc>
      </w:tr>
      <w:tr w14:paraId="4126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dxa"/>
            <w:tcBorders>
              <w:top w:val="nil"/>
              <w:left w:val="single" w:color="auto" w:sz="4" w:space="0"/>
              <w:bottom w:val="single" w:color="auto" w:sz="4" w:space="0"/>
              <w:right w:val="nil"/>
            </w:tcBorders>
          </w:tcPr>
          <w:p w14:paraId="3B6B6737">
            <w:pPr>
              <w:ind w:firstLine="0" w:firstLineChars="0"/>
              <w:jc w:val="center"/>
            </w:pPr>
            <w:r>
              <w:rPr>
                <w:rFonts w:hint="eastAsia"/>
              </w:rPr>
              <w:t>26</w:t>
            </w:r>
          </w:p>
        </w:tc>
        <w:tc>
          <w:tcPr>
            <w:tcW w:w="8018" w:type="dxa"/>
            <w:tcBorders>
              <w:top w:val="nil"/>
              <w:left w:val="nil"/>
              <w:bottom w:val="single" w:color="auto" w:sz="4" w:space="0"/>
              <w:right w:val="nil"/>
            </w:tcBorders>
          </w:tcPr>
          <w:p w14:paraId="22638658">
            <w:pPr>
              <w:ind w:firstLine="0" w:firstLineChars="0"/>
              <w:jc w:val="left"/>
            </w:pPr>
            <w:r>
              <w:rPr>
                <w:rFonts w:hint="eastAsia"/>
              </w:rPr>
              <w:t xml:space="preserve">return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p>
        </w:tc>
        <w:tc>
          <w:tcPr>
            <w:tcW w:w="382" w:type="dxa"/>
            <w:tcBorders>
              <w:top w:val="nil"/>
              <w:left w:val="nil"/>
              <w:bottom w:val="single" w:color="auto" w:sz="4" w:space="0"/>
              <w:right w:val="single" w:color="auto" w:sz="4" w:space="0"/>
            </w:tcBorders>
          </w:tcPr>
          <w:p w14:paraId="5F259DE2">
            <w:pPr>
              <w:ind w:firstLine="480"/>
            </w:pPr>
          </w:p>
        </w:tc>
      </w:tr>
    </w:tbl>
    <w:p w14:paraId="066B933C">
      <w:pPr>
        <w:pStyle w:val="4"/>
      </w:pPr>
      <w:bookmarkStart w:id="47" w:name="_Toc18052"/>
      <w:r>
        <w:rPr>
          <w:rFonts w:hint="eastAsia"/>
        </w:rPr>
        <w:t>5.2.2  检索扩展</w:t>
      </w:r>
      <w:bookmarkEnd w:id="47"/>
    </w:p>
    <w:p w14:paraId="67FC247C">
      <w:pPr>
        <w:ind w:firstLine="480"/>
      </w:pPr>
      <w:r>
        <w:rPr>
          <w:rFonts w:hint="eastAsia"/>
        </w:rPr>
        <w:t>在标准RAG流程中，检索模块针对用户查询</w:t>
      </w:r>
      <m:oMath>
        <m:r>
          <m:rPr/>
          <w:rPr>
            <w:rFonts w:ascii="Cambria Math" w:hAnsi="Cambria Math"/>
          </w:rPr>
          <m:t>q</m:t>
        </m:r>
      </m:oMath>
      <w:r>
        <w:rPr>
          <w:rFonts w:hint="eastAsia" w:hAnsi="Cambria Math"/>
        </w:rPr>
        <w:t>在知识库</w:t>
      </w:r>
      <m:oMath>
        <m:r>
          <m:rPr/>
          <w:rPr>
            <w:rFonts w:hint="eastAsia" w:ascii="Cambria Math" w:hAnsi="Cambria Math"/>
          </w:rPr>
          <m:t>D</m:t>
        </m:r>
      </m:oMath>
      <w:r>
        <w:rPr>
          <w:rFonts w:hint="eastAsia" w:hAnsi="Cambria Math"/>
        </w:rPr>
        <w:t>中按语义相似度返回</w:t>
      </w:r>
      <w:r>
        <w:rPr>
          <w:rFonts w:hint="eastAsia" w:hAnsi="Cambria Math"/>
          <w:lang w:eastAsia="zh-CN"/>
        </w:rPr>
        <w:t>Top-K</w:t>
      </w:r>
      <w:r>
        <w:rPr>
          <w:rFonts w:hint="eastAsia" w:hAnsi="Cambria Math"/>
        </w:rPr>
        <w:t>支撑语料集合。投毒攻击能影响最终生成结果的必要前提是对抗段落在检索阶段进入该支撑语料集合，因此攻击者往往通过嵌入与查询高度相关的短语或词句以提升检索相似度，从而挤占</w:t>
      </w:r>
      <m:oMath>
        <m:r>
          <m:rPr/>
          <w:rPr>
            <w:rFonts w:hint="eastAsia" w:ascii="Cambria Math" w:hAnsi="Cambria Math"/>
          </w:rPr>
          <m:t>H</m:t>
        </m:r>
      </m:oMath>
      <w:r>
        <w:rPr>
          <w:rFonts w:hint="eastAsia" w:hAnsi="Cambria Math"/>
        </w:rPr>
        <w:t>的语料位次。本文在不改变RAG主流程的前提下引入检索扩展，将候选语段规模由K扩展为</w:t>
      </w:r>
      <w:r>
        <w:t>α</w:t>
      </w:r>
      <w:r>
        <w:rPr>
          <w:rFonts w:hint="eastAsia" w:hAnsi="Cambria Math"/>
        </w:rPr>
        <w:t>K（</w:t>
      </w:r>
      <w:r>
        <w:rPr>
          <w:rFonts w:ascii="Arial" w:hAnsi="Arial" w:cs="Arial"/>
        </w:rPr>
        <w:t>α</w:t>
      </w:r>
      <w:r>
        <w:rPr>
          <w:rFonts w:hint="eastAsia" w:ascii="Arial" w:hAnsi="Arial" w:cs="Arial"/>
        </w:rPr>
        <w:t>&gt;1</w:t>
      </w:r>
      <w:r>
        <w:rPr>
          <w:rFonts w:hint="eastAsia" w:hAnsi="Cambria Math"/>
        </w:rPr>
        <w:t>），得到支撑语料集合</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ret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αK</m:t>
            </m:r>
            <m:ctrlPr>
              <w:rPr>
                <w:rFonts w:ascii="Cambria Math" w:hAnsi="Cambria Math"/>
              </w:rPr>
            </m:ctrlPr>
          </m:sub>
        </m:sSub>
        <m:r>
          <m:rPr/>
          <w:rPr>
            <w:rFonts w:ascii="Cambria Math" w:hAnsi="Cambria Math"/>
          </w:rPr>
          <m:t>}</m:t>
        </m:r>
      </m:oMath>
      <w:r>
        <w:rPr>
          <w:rFonts w:hint="eastAsia" w:hAnsi="Cambria Math"/>
        </w:rPr>
        <w:t>。该步骤使得“异常聚集簇”与“正常证据相对分散”的结构差异更易显现，为后续嵌入空间异常检测提供更充分的样本。</w:t>
      </w:r>
    </w:p>
    <w:p w14:paraId="4F109205">
      <w:pPr>
        <w:pStyle w:val="4"/>
      </w:pPr>
      <w:bookmarkStart w:id="48" w:name="_Toc9829"/>
      <w:r>
        <w:rPr>
          <w:rFonts w:hint="eastAsia"/>
        </w:rPr>
        <w:t>5.2.3  嵌入空间异常检测</w:t>
      </w:r>
      <w:bookmarkEnd w:id="48"/>
    </w:p>
    <w:p w14:paraId="49BEB603">
      <w:pPr>
        <w:ind w:firstLine="480"/>
      </w:pPr>
      <w:r>
        <w:rPr>
          <w:rFonts w:hint="eastAsia"/>
        </w:rPr>
        <w:t>攻击者通过优化检索目标使多个投毒语段共同向同一语义中心靠拢，因此它们在向量空间中会表现为彼此间异常高的相似度，而正常语段即便与查询相关，在向量空间中彼此通常更分散，因此首先利用候选语段在嵌入空间中的“异常聚集”特征进行过滤。具体地，对每个候选chunk计算文档嵌入</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rPr>
        <w:t>，并构造候选集内部的两两相似度矩阵</w:t>
      </w:r>
      <m:oMath>
        <m:r>
          <m:rPr/>
          <w:rPr>
            <w:rFonts w:ascii="Cambria Math" w:hAnsi="Cambria Math"/>
          </w:rPr>
          <m:t>S∈</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αK×αK</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sty m:val="p"/>
          </m:rPr>
          <w:rPr>
            <w:rFonts w:ascii="Cambria Math" w:hAnsi="Cambria Math"/>
          </w:rPr>
          <m:t>cos</m:t>
        </m:r>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rFonts w:hint="eastAsia"/>
        </w:rPr>
        <w:t>。基于矩阵</w:t>
      </w:r>
      <m:oMath>
        <m:r>
          <m:rPr/>
          <w:rPr>
            <w:rFonts w:ascii="Cambria Math" w:hAnsi="Cambria Math"/>
          </w:rPr>
          <m:t>S</m:t>
        </m:r>
      </m:oMath>
      <w:r>
        <w:rPr>
          <w:rFonts w:hint="eastAsia"/>
        </w:rPr>
        <w:t>，依次考察所有候选语段</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hint="eastAsia" w:ascii="Cambria Math" w:hAnsi="Cambria Math"/>
              </w:rPr>
              <m:t>i</m:t>
            </m:r>
            <m:ctrlPr>
              <w:rPr>
                <w:rFonts w:ascii="Cambria Math" w:hAnsi="Cambria Math"/>
              </w:rPr>
            </m:ctrlPr>
          </m:sub>
        </m:sSub>
      </m:oMath>
      <w:r>
        <w:rPr>
          <w:rFonts w:hint="eastAsia"/>
        </w:rPr>
        <w:t>的文档间平均相似度与最大相似度：</w:t>
      </w:r>
    </w:p>
    <w:p w14:paraId="34597605">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αK</m:t>
                  </m:r>
                  <m:r>
                    <m:rPr>
                      <m:sty m:val="p"/>
                    </m:rPr>
                    <w:rPr>
                      <w:rFonts w:ascii="Cambria Math" w:hAnsi="Cambria Math"/>
                    </w:rPr>
                    <m:t>−1</m:t>
                  </m:r>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i</m:t>
                  </m:r>
                  <m:ctrlPr>
                    <w:rPr>
                      <w:rFonts w:ascii="Cambria Math" w:hAnsi="Cambria Math"/>
                    </w:rPr>
                  </m:ctrlPr>
                </m:sub>
                <m:sup>
                  <m:ctrlPr>
                    <w:rPr>
                      <w:rFonts w:ascii="Cambria Math" w:hAnsi="Cambria Math"/>
                    </w:rPr>
                  </m:ctrlPr>
                </m:sup>
                <m:e>
                  <m:r>
                    <m:rPr>
                      <m:sty m:val="p"/>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max</m:t>
                  </m:r>
                  <m:ctrlPr>
                    <w:rPr>
                      <w:rFonts w:ascii="Cambria Math" w:hAnsi="Cambria Math"/>
                    </w:rPr>
                  </m:ctrlPr>
                </m:sup>
              </m:sSubSup>
              <m:r>
                <m:rPr>
                  <m:sty m:val="p"/>
                </m:rPr>
                <w:rPr>
                  <w:rFonts w:ascii="Cambria Math" w:hAnsi="Cambria Math"/>
                </w:rPr>
                <m:t>=</m:t>
              </m:r>
              <m:limLow>
                <m:limLowPr>
                  <m:ctrlPr>
                    <w:rPr>
                      <w:rFonts w:ascii="Cambria Math" w:hAnsi="Cambria Math"/>
                    </w:rPr>
                  </m:ctrlPr>
                </m:limLowPr>
                <m:e>
                  <m:r>
                    <m:rPr/>
                    <w:rPr>
                      <w:rFonts w:ascii="Cambria Math" w:hAnsi="Cambria Math"/>
                    </w:rPr>
                    <m:t>max</m:t>
                  </m:r>
                  <m:ctrlPr>
                    <w:rPr>
                      <w:rFonts w:ascii="Cambria Math" w:hAnsi="Cambria Math"/>
                    </w:rPr>
                  </m:ctrlPr>
                </m:e>
                <m:lim>
                  <m:r>
                    <m:rPr/>
                    <w:rPr>
                      <w:rFonts w:ascii="Cambria Math" w:hAnsi="Cambria Math"/>
                    </w:rPr>
                    <m:t>j</m:t>
                  </m:r>
                  <m:r>
                    <m:rPr>
                      <m:sty m:val="p"/>
                    </m:rPr>
                    <w:rPr>
                      <w:rFonts w:ascii="Cambria Math" w:hAnsi="Cambria Math"/>
                    </w:rPr>
                    <m:t>≠</m:t>
                  </m:r>
                  <m:r>
                    <m:rPr/>
                    <w:rPr>
                      <w:rFonts w:ascii="Cambria Math" w:hAnsi="Cambria Math"/>
                    </w:rPr>
                    <m:t>i</m:t>
                  </m:r>
                  <m:ctrlPr>
                    <w:rPr>
                      <w:rFonts w:ascii="Cambria Math" w:hAnsi="Cambria Math"/>
                    </w:rPr>
                  </m:ctrlPr>
                </m:lim>
              </m:limLow>
              <m:r>
                <m:rPr>
                  <m:sty m:val="p"/>
                </m:rPr>
                <w:rPr>
                  <w:rFonts w:ascii="Cambria Math" w:hAnsi="Cambria Math"/>
                </w:rPr>
                <m:t> </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5−1</m:t>
              </m:r>
              <m:r>
                <m:rPr>
                  <m:sty m:val="p"/>
                </m:rPr>
                <w:rPr>
                  <w:rFonts w:hint="eastAsia" w:ascii="Cambria Math" w:hAnsi="Cambria Math"/>
                </w:rPr>
                <m:t>）</m:t>
              </m:r>
              <m:ctrlPr>
                <w:rPr>
                  <w:rFonts w:hint="eastAsia" w:ascii="Cambria Math" w:hAnsi="Cambria Math"/>
                </w:rPr>
              </m:ctrlPr>
            </m:e>
          </m:eqArr>
        </m:oMath>
      </m:oMathPara>
    </w:p>
    <w:p w14:paraId="67116AFE">
      <w:pPr>
        <w:ind w:firstLine="0" w:firstLineChars="0"/>
      </w:pPr>
      <w:r>
        <w:rPr>
          <w:rFonts w:hint="eastAsia"/>
        </w:rPr>
        <w:t>其中</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用于刻画“整体聚集程度”，</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max</m:t>
            </m:r>
            <m:ctrlPr>
              <w:rPr>
                <w:rFonts w:ascii="Cambria Math" w:hAnsi="Cambria Math"/>
              </w:rPr>
            </m:ctrlPr>
          </m:sup>
        </m:sSubSup>
      </m:oMath>
      <w:r>
        <w:rPr>
          <w:rFonts w:hint="eastAsia"/>
        </w:rPr>
        <w:t>用于捕捉“异常高的成对相似”。阈值方面，从知识库随机采样参考集合</w:t>
      </w:r>
      <m:oMath>
        <m:r>
          <m:rPr>
            <m:scr m:val="script"/>
          </m:rPr>
          <w:rPr>
            <w:rFonts w:ascii="Cambria Math" w:hAnsi="Cambria Math"/>
          </w:rPr>
          <m:t>S</m:t>
        </m:r>
      </m:oMath>
      <w:r>
        <w:rPr>
          <w:rFonts w:hint="eastAsia"/>
        </w:rPr>
        <w:t>估计正常语段的经验分布</w:t>
      </w:r>
      <m:oMath>
        <m:acc>
          <m:accPr>
            <m:chr m:val="̅"/>
            <m:ctrlPr>
              <w:rPr>
                <w:rFonts w:ascii="Cambria Math" w:hAnsi="Cambria Math"/>
              </w:rPr>
            </m:ctrlPr>
          </m:accPr>
          <m:e>
            <m:r>
              <m:rPr/>
              <w:rPr>
                <w:rFonts w:ascii="Cambria Math" w:hAnsi="Cambria Math"/>
              </w:rPr>
              <m:t>s</m:t>
            </m:r>
            <m:ctrlPr>
              <w:rPr>
                <w:rFonts w:ascii="Cambria Math" w:hAnsi="Cambria Math"/>
              </w:rPr>
            </m:ctrlPr>
          </m:e>
        </m:acc>
      </m:oMath>
      <w:r>
        <w:rPr>
          <w:rFonts w:hint="eastAsia"/>
        </w:rPr>
        <w:t>，并取其高分位数作为</w:t>
      </w:r>
      <m:oMath>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avg</m:t>
            </m:r>
            <m:ctrlPr>
              <w:rPr>
                <w:rFonts w:ascii="Cambria Math" w:hAnsi="Cambria Math"/>
              </w:rPr>
            </m:ctrlPr>
          </m:sub>
        </m:sSub>
      </m:oMath>
      <w:r>
        <w:rPr>
          <w:rFonts w:hint="eastAsia"/>
        </w:rPr>
        <w:t>，同时设置最大相似度阈值</w:t>
      </w:r>
      <m:oMath>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hint="eastAsia" w:ascii="Cambria Math" w:hAnsi="Cambria Math"/>
              </w:rPr>
              <m:t>max</m:t>
            </m:r>
            <m:ctrlPr>
              <w:rPr>
                <w:rFonts w:ascii="Cambria Math" w:hAnsi="Cambria Math"/>
              </w:rPr>
            </m:ctrlPr>
          </m:sub>
        </m:sSub>
      </m:oMath>
      <w:r>
        <w:rPr>
          <w:rFonts w:hint="eastAsia"/>
        </w:rPr>
        <w:t>为0.95。仅当</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avg</m:t>
            </m:r>
            <m:ctrlPr>
              <w:rPr>
                <w:rFonts w:ascii="Cambria Math" w:hAnsi="Cambria Math"/>
              </w:rPr>
            </m:ctrlPr>
          </m:sub>
        </m:sSub>
      </m:oMath>
      <w:r>
        <w:rPr>
          <w:rFonts w:hint="eastAsia"/>
        </w:rPr>
        <w:t>且</w:t>
      </w:r>
      <m:oMath>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max</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max</m:t>
            </m:r>
            <m:ctrlPr>
              <w:rPr>
                <w:rFonts w:ascii="Cambria Math" w:hAnsi="Cambria Math"/>
              </w:rPr>
            </m:ctrlPr>
          </m:sub>
        </m:sSub>
      </m:oMath>
      <w:r>
        <w:rPr>
          <w:rFonts w:hint="eastAsia"/>
        </w:rPr>
        <w:t>时，认为候选集中该语段未呈现异常聚集模式并予以保留，否则判为可疑语段并过滤。</w:t>
      </w:r>
    </w:p>
    <w:p w14:paraId="22426F90">
      <w:pPr>
        <w:ind w:firstLine="0" w:firstLineChars="0"/>
      </w:pPr>
      <w:r>
        <w:tab/>
      </w:r>
      <w:r>
        <w:rPr>
          <w:rFonts w:hint="eastAsia"/>
        </w:rPr>
        <w:t>其次，为抑制“与查询异常接近”的过度检索优化，本阶段进一步检测查询—语段相似度的异常高值，判别离群程度。令查询嵌入为</w:t>
      </w:r>
      <m:oMath>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(q)</m:t>
        </m:r>
      </m:oMath>
      <w:r>
        <w:rPr>
          <w:rFonts w:hint="eastAsia"/>
        </w:rPr>
        <w:t>，计算每个候选语段与此次查询的相似度</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cos</m:t>
        </m:r>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rPr>
        <w:t>，在本次检索返回的相似度集合</w:t>
      </w:r>
      <m:oMath>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rPr>
        <w:t>上计算均值与标准差：</w:t>
      </w:r>
    </w:p>
    <w:p w14:paraId="69BEA041">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αK</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αK</m:t>
                  </m:r>
                  <m:ctrlPr>
                    <w:rPr>
                      <w:rFonts w:ascii="Cambria Math" w:hAnsi="Cambria Math"/>
                    </w:rPr>
                  </m:ctrlPr>
                </m:sup>
                <m:e>
                  <m:r>
                    <m:rPr>
                      <m:sty m:val="p"/>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αK</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αK</m:t>
                      </m:r>
                      <m:ctrlPr>
                        <w:rPr>
                          <w:rFonts w:ascii="Cambria Math" w:hAnsi="Cambria Math"/>
                        </w:rPr>
                      </m:ctrlPr>
                    </m:sup>
                    <m:e>
                      <m:r>
                        <m:rPr>
                          <m:sty m:val="p"/>
                        </m:rPr>
                        <w:rPr>
                          <w:rFonts w:ascii="Cambria Math" w:hAnsi="Cambria Math"/>
                        </w:rPr>
                        <m:t> </m:t>
                      </m:r>
                      <m:ctrlPr>
                        <w:rPr>
                          <w:rFonts w:ascii="Cambria Math" w:hAnsi="Cambria Math"/>
                        </w:rPr>
                      </m:ctrlPr>
                    </m:e>
                  </m:nary>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rad>
              <m:r>
                <m:rPr>
                  <m:sty m:val="p"/>
                </m:rPr>
                <w:rPr>
                  <w:rFonts w:ascii="Cambria Math" w:hAnsi="Cambria Math"/>
                </w:rPr>
                <m:t>#</m:t>
              </m:r>
              <m:r>
                <m:rPr>
                  <m:sty m:val="p"/>
                </m:rPr>
                <w:rPr>
                  <w:rFonts w:hint="eastAsia" w:ascii="Cambria Math" w:hAnsi="Cambria Math"/>
                </w:rPr>
                <m:t>（</m:t>
              </m:r>
              <m:r>
                <m:rPr>
                  <m:sty m:val="p"/>
                </m:rPr>
                <w:rPr>
                  <w:rFonts w:ascii="Cambria Math" w:hAnsi="Cambria Math"/>
                </w:rPr>
                <m:t>5−2</m:t>
              </m:r>
              <m:r>
                <m:rPr>
                  <m:sty m:val="p"/>
                </m:rPr>
                <w:rPr>
                  <w:rFonts w:hint="eastAsia" w:ascii="Cambria Math" w:hAnsi="Cambria Math"/>
                </w:rPr>
                <m:t>）</m:t>
              </m:r>
              <m:ctrlPr>
                <w:rPr>
                  <w:rFonts w:hint="eastAsia" w:ascii="Cambria Math" w:hAnsi="Cambria Math"/>
                </w:rPr>
              </m:ctrlPr>
            </m:e>
          </m:eqArr>
        </m:oMath>
      </m:oMathPara>
    </w:p>
    <w:p w14:paraId="5116DF9D">
      <w:pPr>
        <w:ind w:firstLine="0" w:firstLineChars="0"/>
      </w:pPr>
      <w:r>
        <w:t>并据此得到每个chunk的Z-score（标准化偏离程度）</w:t>
      </w:r>
      <w:r>
        <w:rPr>
          <w:rFonts w:hint="eastAsia"/>
        </w:rPr>
        <w:t>：</w:t>
      </w:r>
    </w:p>
    <w:p w14:paraId="758D697E">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den>
              </m:f>
              <m:r>
                <m:rPr>
                  <m:sty m:val="p"/>
                </m:rPr>
                <w:rPr>
                  <w:rFonts w:ascii="Cambria Math" w:hAnsi="Cambria Math"/>
                </w:rPr>
                <m:t>#</m:t>
              </m:r>
              <m:r>
                <m:rPr>
                  <m:sty m:val="p"/>
                </m:rPr>
                <w:rPr>
                  <w:rFonts w:hint="eastAsia" w:ascii="Cambria Math" w:hAnsi="Cambria Math"/>
                </w:rPr>
                <m:t>（</m:t>
              </m:r>
              <m:r>
                <m:rPr>
                  <m:sty m:val="p"/>
                </m:rPr>
                <w:rPr>
                  <w:rFonts w:ascii="Cambria Math" w:hAnsi="Cambria Math"/>
                </w:rPr>
                <m:t>5−3</m:t>
              </m:r>
              <m:r>
                <m:rPr>
                  <m:sty m:val="p"/>
                </m:rPr>
                <w:rPr>
                  <w:rFonts w:hint="eastAsia" w:ascii="Cambria Math" w:hAnsi="Cambria Math"/>
                </w:rPr>
                <m:t>）</m:t>
              </m:r>
              <m:ctrlPr>
                <w:rPr>
                  <w:rFonts w:hint="eastAsia" w:ascii="Cambria Math" w:hAnsi="Cambria Math"/>
                </w:rPr>
              </m:ctrlPr>
            </m:e>
          </m:eqArr>
        </m:oMath>
      </m:oMathPara>
    </w:p>
    <w:p w14:paraId="4D14F059">
      <w:pPr>
        <w:ind w:firstLine="0" w:firstLineChars="0"/>
      </w:pPr>
      <w:r>
        <w:rPr>
          <w:rFonts w:hint="eastAsia"/>
        </w:rPr>
        <w:t>当</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oMath>
      <w:r>
        <w:rPr>
          <w:rFonts w:hint="eastAsia"/>
        </w:rPr>
        <w:t>时，该语段相对同批候选呈现显著偏高的查询相似度，可视为异常。同时为拦截接近“完美匹配”的极端情况，设置绝对阈值</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sim</m:t>
            </m:r>
            <m:ctrlPr>
              <w:rPr>
                <w:rFonts w:ascii="Cambria Math" w:hAnsi="Cambria Math"/>
              </w:rPr>
            </m:ctrlPr>
          </m:sub>
        </m:sSub>
      </m:oMath>
      <w:r>
        <w:rPr>
          <w:rFonts w:hint="eastAsia"/>
        </w:rPr>
        <w:t>，若</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sim</m:t>
            </m:r>
            <m:ctrlPr>
              <w:rPr>
                <w:rFonts w:ascii="Cambria Math" w:hAnsi="Cambria Math"/>
              </w:rPr>
            </m:ctrlPr>
          </m:sub>
        </m:sSub>
      </m:oMath>
      <w:r>
        <w:rPr>
          <w:rFonts w:hint="eastAsia"/>
        </w:rPr>
        <w:t>则直接判为异常并过滤。上述方法最终可剔除被攻击刻意优化、与查询异常贴近的可疑语段，并输出候选语段集合</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hint="eastAsia" w:ascii="Cambria Math" w:hAnsi="Cambria Math"/>
              </w:rPr>
              <m:t>tmp</m:t>
            </m:r>
            <m:ctrlPr>
              <w:rPr>
                <w:rFonts w:ascii="Cambria Math" w:hAnsi="Cambria Math"/>
              </w:rPr>
            </m:ctrlPr>
          </m:sub>
        </m:sSub>
      </m:oMath>
      <w:r>
        <w:rPr>
          <w:rFonts w:hint="eastAsia" w:hAnsi="Cambria Math"/>
        </w:rPr>
        <w:t>。</w:t>
      </w:r>
    </w:p>
    <w:p w14:paraId="37555DA0">
      <w:pPr>
        <w:pStyle w:val="4"/>
      </w:pPr>
      <w:bookmarkStart w:id="49" w:name="_Toc18161"/>
      <w:r>
        <w:rPr>
          <w:rFonts w:hint="eastAsia"/>
        </w:rPr>
        <w:t xml:space="preserve">5.2.4  </w:t>
      </w:r>
      <w:r>
        <w:rPr>
          <w:rFonts w:hint="eastAsia"/>
          <w:lang w:val="en-US" w:eastAsia="zh-CN"/>
        </w:rPr>
        <w:t>语句</w:t>
      </w:r>
      <w:r>
        <w:rPr>
          <w:rFonts w:hint="eastAsia"/>
        </w:rPr>
        <w:t>级困惑度异常检测</w:t>
      </w:r>
      <w:bookmarkEnd w:id="49"/>
    </w:p>
    <w:p w14:paraId="60F58E0D">
      <w:pPr>
        <w:ind w:firstLine="480"/>
      </w:pPr>
      <w:r>
        <w:rPr>
          <w:rFonts w:hint="eastAsia"/>
        </w:rPr>
        <w:t>前一阶段通过文档间相互对比的“互查”形式完成了初步的异常检测。攻击者在同时优化“语言通顺性”和“检索可达性”时，容易在语段内部混入触发短语或误导性表达，从而造成局部语言风格与统计特征的不一致。因此本文在嵌入空间过滤之后进一步引入</w:t>
      </w:r>
      <w:r>
        <w:rPr>
          <w:rFonts w:hint="eastAsia"/>
          <w:lang w:val="en-US" w:eastAsia="zh-CN"/>
        </w:rPr>
        <w:t>语句</w:t>
      </w:r>
      <w:r>
        <w:rPr>
          <w:rFonts w:hint="eastAsia"/>
        </w:rPr>
        <w:t>级困惑度异常检测的“自查”，在语段内部识别显著不自然的语句以增强对隐蔽性优化样本的识别能力。</w:t>
      </w:r>
    </w:p>
    <w:p w14:paraId="47577B23">
      <w:pPr>
        <w:ind w:firstLine="480"/>
      </w:pPr>
      <w:r>
        <w:rPr>
          <w:rFonts w:hint="eastAsia"/>
        </w:rPr>
        <w:t>具体而言，对</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hint="eastAsia" w:ascii="Cambria Math" w:hAnsi="Cambria Math"/>
              </w:rPr>
              <m:t>tmp</m:t>
            </m:r>
            <m:ctrlPr>
              <w:rPr>
                <w:rFonts w:ascii="Cambria Math" w:hAnsi="Cambria Math"/>
              </w:rPr>
            </m:ctrlPr>
          </m:sub>
        </m:sSub>
      </m:oMath>
      <w:r>
        <w:rPr>
          <w:rFonts w:hint="eastAsia"/>
        </w:rPr>
        <w:t>中任一候选语段按标点将其划分为句子序列</w:t>
      </w:r>
      <m:oMath>
        <m:r>
          <m:rPr>
            <m:scr m:val="script"/>
          </m:rPr>
          <w:rPr>
            <w:rFonts w:ascii="Cambria Math" w:hAnsi="Cambria Math"/>
          </w:rPr>
          <m:t>S(</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w:rPr>
            <w:rFonts w:ascii="Cambria Math" w:hAnsi="Cambria Math"/>
          </w:rPr>
          <m:t>}</m:t>
        </m:r>
      </m:oMath>
      <w:r>
        <w:rPr>
          <w:rFonts w:hint="eastAsia"/>
        </w:rPr>
        <w:t>，然后使用预训练语言模型依次计算语段每个句子的困惑度</w:t>
      </w:r>
      <m:oMath>
        <m:r>
          <m:rPr>
            <m:sty m:val="p"/>
          </m:rPr>
          <w:rPr>
            <w:rFonts w:ascii="Cambria Math" w:hAnsi="Cambria Math"/>
          </w:rPr>
          <m:t>PPL</m:t>
        </m:r>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oMath>
      <w:r>
        <w:rPr>
          <w:rFonts w:hint="eastAsia"/>
        </w:rPr>
        <w:t>：</w:t>
      </w:r>
    </w:p>
    <w:p w14:paraId="021BD592">
      <w:pPr>
        <w:pStyle w:val="92"/>
        <w:ind w:firstLine="480"/>
      </w:pPr>
      <m:oMathPara>
        <m:oMath>
          <m:eqArr>
            <m:eqArrPr>
              <m:maxDist m:val="1"/>
              <m:ctrlPr>
                <w:rPr>
                  <w:rFonts w:hint="eastAsia" w:ascii="Cambria Math" w:hAnsi="Cambria Math"/>
                </w:rPr>
              </m:ctrlPr>
            </m:eqArrPr>
            <m:e>
              <m:r>
                <m:rPr>
                  <m:sty m:val="p"/>
                </m:rPr>
                <w:rPr>
                  <w:rFonts w:ascii="Cambria Math" w:hAnsi="Cambria Math"/>
                </w:rPr>
                <m:t>PPL</m:t>
              </m:r>
              <m:r>
                <m:rPr/>
                <w:rPr>
                  <w:rFonts w:ascii="Cambria Math" w:hAnsi="Cambria Math"/>
                </w:rPr>
                <m:t>(s)=</m:t>
              </m:r>
              <m:r>
                <m:rPr>
                  <m:sty m:val="p"/>
                </m:rPr>
                <w:rPr>
                  <w:rFonts w:ascii="Cambria Math" w:hAnsi="Cambria Math"/>
                </w:rPr>
                <m:t>exp</m:t>
              </m:r>
              <m:r>
                <m:rPr/>
                <w:rPr>
                  <w:rFonts w:ascii="Cambria Math" w:hAnsi="Cambria Math"/>
                </w:rPr>
                <m:t>⁡</m:t>
              </m:r>
              <m:d>
                <m:dPr>
                  <m:ctrlPr>
                    <w:rPr>
                      <w:rFonts w:ascii="Cambria Math" w:hAnsi="Cambria Math"/>
                    </w:rPr>
                  </m:ctrlPr>
                </m:dPr>
                <m:e>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|s|</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t=1</m:t>
                      </m:r>
                      <m:ctrlPr>
                        <w:rPr>
                          <w:rFonts w:ascii="Cambria Math" w:hAnsi="Cambria Math"/>
                        </w:rPr>
                      </m:ctrlPr>
                    </m:sub>
                    <m:sup>
                      <m:r>
                        <m:rPr/>
                        <w:rPr>
                          <w:rFonts w:ascii="Cambria Math" w:hAnsi="Cambria Math"/>
                        </w:rPr>
                        <m:t>|s|</m:t>
                      </m:r>
                      <m:ctrlPr>
                        <w:rPr>
                          <w:rFonts w:ascii="Cambria Math" w:hAnsi="Cambria Math"/>
                        </w:rPr>
                      </m:ctrlPr>
                    </m:sup>
                    <m:e>
                      <m:r>
                        <m:rPr/>
                        <w:rPr>
                          <w:rFonts w:ascii="Cambria Math" w:hAnsi="Cambria Math"/>
                        </w:rPr>
                        <m:t> </m:t>
                      </m:r>
                      <m:ctrlPr>
                        <w:rPr>
                          <w:rFonts w:ascii="Cambria Math" w:hAnsi="Cambria Math"/>
                        </w:rPr>
                      </m:ctrlPr>
                    </m:e>
                  </m:nary>
                  <m:r>
                    <m:rPr>
                      <m:sty m:val="p"/>
                    </m:rPr>
                    <w:rPr>
                      <w:rFonts w:ascii="Cambria Math" w:hAnsi="Cambria Math"/>
                    </w:rPr>
                    <m:t>log</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&lt;t</m:t>
                      </m:r>
                      <m:ctrlPr>
                        <w:rPr>
                          <w:rFonts w:ascii="Cambria Math" w:hAnsi="Cambria Math"/>
                        </w:rPr>
                      </m:ctrlPr>
                    </m:sub>
                  </m:sSub>
                  <m:r>
                    <m:rPr>
                      <m:sty m:val="p"/>
                    </m:rPr>
                    <w:rPr>
                      <w:rFonts w:ascii="Cambria Math" w:hAnsi="Cambria Math"/>
                    </w:rPr>
                    <m:t>)</m:t>
                  </m:r>
                  <m:ctrlPr>
                    <w:rPr>
                      <w:rFonts w:ascii="Cambria Math" w:hAnsi="Cambria Math"/>
                    </w:rPr>
                  </m:ctrlPr>
                </m:e>
              </m:d>
              <m:r>
                <m:rPr>
                  <m:sty m:val="p"/>
                </m:rPr>
                <w:rPr>
                  <w:rFonts w:ascii="Cambria Math" w:hAnsi="Cambria Math"/>
                </w:rPr>
                <m:t>#</m:t>
              </m:r>
              <m:r>
                <m:rPr>
                  <m:sty m:val="p"/>
                </m:rPr>
                <w:rPr>
                  <w:rFonts w:hint="eastAsia" w:ascii="Cambria Math" w:hAnsi="Cambria Math"/>
                </w:rPr>
                <m:t>（</m:t>
              </m:r>
              <m:r>
                <m:rPr>
                  <m:sty m:val="p"/>
                </m:rPr>
                <w:rPr>
                  <w:rFonts w:ascii="Cambria Math" w:hAnsi="Cambria Math"/>
                </w:rPr>
                <m:t>5−4</m:t>
              </m:r>
              <m:r>
                <m:rPr>
                  <m:sty m:val="p"/>
                </m:rPr>
                <w:rPr>
                  <w:rFonts w:hint="eastAsia" w:ascii="Cambria Math" w:hAnsi="Cambria Math"/>
                </w:rPr>
                <m:t>）</m:t>
              </m:r>
              <m:ctrlPr>
                <w:rPr>
                  <w:rFonts w:hint="eastAsia" w:ascii="Cambria Math" w:hAnsi="Cambria Math"/>
                </w:rPr>
              </m:ctrlPr>
            </m:e>
          </m:eqArr>
        </m:oMath>
      </m:oMathPara>
    </w:p>
    <w:p w14:paraId="00DCEC14">
      <w:pPr>
        <w:ind w:firstLine="0" w:firstLineChars="0"/>
      </w:pPr>
      <w:r>
        <w:rPr>
          <w:rFonts w:hint="eastAsia"/>
        </w:rPr>
        <w:t>并得到该语段困惑度集合</w:t>
      </w:r>
      <m:oMath>
        <m:r>
          <m:rPr>
            <m:sty m:val="p"/>
          </m:rPr>
          <w:rPr>
            <w:rFonts w:ascii="Cambria Math" w:hAnsi="Cambria Math"/>
          </w:rPr>
          <m:t>{PPL(</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j</m:t>
            </m:r>
            <m:r>
              <m:rPr>
                <m:sty m:val="p"/>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p>
        </m:sSubSup>
      </m:oMath>
      <w:r>
        <w:rPr>
          <w:rFonts w:hint="eastAsia"/>
        </w:rPr>
        <w:t>。之后先在语段内计算句子困惑度均值</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与标准差</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，然后对每个句子计算标准化离群分数（Z-Score）：</w:t>
      </w:r>
    </w:p>
    <w:p w14:paraId="36596AEC">
      <w:pPr>
        <w:pStyle w:val="92"/>
        <w:ind w:firstLine="480"/>
      </w:pPr>
      <m:oMathPara>
        <m:oMath>
          <m:eqArr>
            <m:eqArrPr>
              <m:maxDist m:val="1"/>
              <m:ctrlPr>
                <w:rPr>
                  <w:rFonts w:hint="eastAsia" w:ascii="Cambria Math" w:hAnsi="Cambria Math"/>
                </w:rPr>
              </m:ctrlPr>
            </m:eqArr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ascii="Cambria Math" w:hAnsi="Cambria Math"/>
                    </w:rPr>
                    <m:t>PPL</m:t>
                  </m:r>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+ε</m:t>
                  </m:r>
                  <m:ctrlPr>
                    <w:rPr>
                      <w:rFonts w:ascii="Cambria Math" w:hAnsi="Cambria Math"/>
                    </w:rPr>
                  </m:ctrlPr>
                </m:den>
              </m:f>
              <m:r>
                <m:rPr>
                  <m:sty m:val="p"/>
                </m:rPr>
                <w:rPr>
                  <w:rFonts w:ascii="Cambria Math" w:hAnsi="Cambria Math"/>
                </w:rPr>
                <m:t>#</m:t>
              </m:r>
              <m:r>
                <m:rPr>
                  <m:sty m:val="p"/>
                </m:rPr>
                <w:rPr>
                  <w:rFonts w:hint="eastAsia" w:ascii="Cambria Math" w:hAnsi="Cambria Math"/>
                </w:rPr>
                <m:t>（</m:t>
              </m:r>
              <m:r>
                <m:rPr>
                  <m:sty m:val="p"/>
                </m:rPr>
                <w:rPr>
                  <w:rFonts w:ascii="Cambria Math" w:hAnsi="Cambria Math"/>
                </w:rPr>
                <m:t>5−5</m:t>
              </m:r>
              <m:r>
                <m:rPr>
                  <m:sty m:val="p"/>
                </m:rPr>
                <w:rPr>
                  <w:rFonts w:hint="eastAsia" w:ascii="Cambria Math" w:hAnsi="Cambria Math"/>
                </w:rPr>
                <m:t>）</m:t>
              </m:r>
              <m:ctrlPr>
                <w:rPr>
                  <w:rFonts w:hint="eastAsia" w:ascii="Cambria Math" w:hAnsi="Cambria Math"/>
                </w:rPr>
              </m:ctrlPr>
            </m:e>
          </m:eqArr>
        </m:oMath>
      </m:oMathPara>
    </w:p>
    <w:p w14:paraId="1F67BE4A">
      <w:pPr>
        <w:ind w:firstLine="0" w:firstLineChars="0"/>
      </w:pPr>
      <w:r>
        <w:rPr>
          <w:rFonts w:hint="eastAsia"/>
        </w:rPr>
        <w:t>其中</w:t>
      </w:r>
      <m:oMath>
        <m:r>
          <m:rPr/>
          <w:rPr>
            <w:rFonts w:ascii="Cambria Math" w:hAnsi="Cambria Math"/>
          </w:rPr>
          <m:t>ε</m:t>
        </m:r>
      </m:oMath>
      <w:r>
        <w:rPr>
          <w:rFonts w:hint="eastAsia"/>
        </w:rPr>
        <w:t>为极小常数用于分母稳定性。若存在句子满足</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oMath>
      <w:r>
        <w:rPr>
          <w:rFonts w:hint="eastAsia"/>
        </w:rPr>
        <w:t>（本文默认</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=2</m:t>
        </m:r>
      </m:oMath>
      <w:r>
        <w:rPr>
          <w:rFonts w:hint="eastAsia"/>
        </w:rPr>
        <w:t>），则认为该句子相对同一语段内其他句子呈现显著更高的困惑度，可视为“局部语言异常”，从候选集中剔除；否则保留该候选语段于最终集合</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r>
        <w:rPr>
          <w:rFonts w:hint="eastAsia"/>
        </w:rPr>
        <w:t>中。</w:t>
      </w:r>
    </w:p>
    <w:p w14:paraId="69FBEC74">
      <w:pPr>
        <w:ind w:firstLine="480"/>
      </w:pPr>
      <w:r>
        <w:rPr>
          <w:rFonts w:hint="eastAsia"/>
        </w:rPr>
        <w:t>在完成</w:t>
      </w:r>
      <w:r>
        <w:rPr>
          <w:rFonts w:hint="eastAsia"/>
          <w:lang w:val="en-US" w:eastAsia="zh-CN"/>
        </w:rPr>
        <w:t>语句</w:t>
      </w:r>
      <w:r>
        <w:rPr>
          <w:rFonts w:hint="eastAsia"/>
        </w:rPr>
        <w:t>级困惑度过滤后，最终从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final</m:t>
            </m:r>
            <m:ctrlPr>
              <w:rPr>
                <w:rFonts w:ascii="Cambria Math" w:hAnsi="Cambria Math"/>
              </w:rPr>
            </m:ctrlPr>
          </m:sub>
        </m:sSub>
      </m:oMath>
      <w:r>
        <w:rPr>
          <w:rFonts w:hint="eastAsia"/>
        </w:rPr>
        <w:t>中按5.2.3节已计算的查询-语段相似度进行重排，选取</w:t>
      </w:r>
      <w:r>
        <w:rPr>
          <w:rFonts w:hint="eastAsia"/>
          <w:lang w:eastAsia="zh-CN"/>
        </w:rPr>
        <w:t>Top-K</w:t>
      </w:r>
      <w:r>
        <w:rPr>
          <w:rFonts w:hint="eastAsia"/>
        </w:rPr>
        <w:t>条证据作为生成模型输入；若剩余语段不足K条则直接全部传入，以保证在增强鲁棒性的同时维持检索证据的相关性与可用性。</w:t>
      </w:r>
    </w:p>
    <w:p w14:paraId="00AB1A9A">
      <w:pPr>
        <w:pStyle w:val="3"/>
        <w:spacing w:before="163" w:after="163"/>
      </w:pPr>
      <w:bookmarkStart w:id="50" w:name="_Toc11058"/>
      <w:r>
        <w:rPr>
          <w:rFonts w:hint="eastAsia"/>
        </w:rPr>
        <w:t>5</w:t>
      </w:r>
      <w:r>
        <w:t>.</w:t>
      </w:r>
      <w:r>
        <w:rPr>
          <w:rFonts w:hint="eastAsia"/>
        </w:rPr>
        <w:t>3  投毒防御护栏体系构建</w:t>
      </w:r>
      <w:bookmarkEnd w:id="50"/>
    </w:p>
    <w:p w14:paraId="3F282E1B">
      <w:pPr>
        <w:ind w:firstLine="480"/>
      </w:pPr>
      <w:r>
        <w:rPr>
          <w:rFonts w:hint="eastAsia"/>
        </w:rPr>
        <w:t>RAG链路的关键增益来自“外部知识对生成的补充”，一旦毒化文档在检索阶段被召回并注入提示词，模型可能输出错误结论或有害言论。因此，仅将防御能力局限在单一环节往往会出现漏检、误杀、绕过的此消彼长之势：输入侧可能遭遇提示注入与恶意意图，检索侧可能命中毒化证据，输出侧又可能出现不合规或不可执行的指令文本。鉴于此，本文结合工业界护栏产品的通用分层思想，在5.2节提出的“检索护栏”基础上进一步与开源输入护栏、输出护栏协同，在工程实现上配套“事前知识治理”与“事后响应”两类闭环能力，形成面向电力调度业务的全链路组合式防御框架。</w:t>
      </w:r>
    </w:p>
    <w:p w14:paraId="037DA971">
      <w:pPr>
        <w:ind w:firstLine="480"/>
      </w:pPr>
      <w:r>
        <w:rPr>
          <w:rFonts w:hint="eastAsia"/>
        </w:rPr>
        <w:t>输入护栏位于用户查询进入RAG系统之前，目标是尽可能阻断提示注入、越狱指令与异常输入形态对系统策略的操纵，避免攻击者通过对话侧绕过后续检索与输出治理。为此，输入护栏的构建遵循“先规范化、再判别、后净化”的处理逻辑，即在接受查询</w:t>
      </w:r>
      <m:oMath>
        <m:r>
          <m:rPr>
            <m:sty m:val="p"/>
          </m:rPr>
          <w:rPr>
            <w:rFonts w:hint="eastAsia" w:ascii="Cambria Math" w:hAnsi="Cambria Math"/>
          </w:rPr>
          <m:t>q</m:t>
        </m:r>
      </m:oMath>
      <w:r>
        <w:rPr>
          <w:rFonts w:hint="eastAsia"/>
        </w:rPr>
        <w:t>后首先对输入进行Unicode归一化、去除不可见字符与异常空白，降低利用零宽字符或编码伪装实现的策略绕过风险；其次在语义层面执行轻量化安全扫描与提示注入检测，并对包含代码片段、可疑正则触发串或明显与业务无关的攻击性主题进行规则化拦截；最后对输入中的敏感信息（如</w:t>
      </w:r>
      <w:r>
        <w:rPr>
          <w:rFonts w:hint="eastAsia"/>
          <w:lang w:val="en-US" w:eastAsia="zh-CN"/>
        </w:rPr>
        <w:t>密钥</w:t>
      </w:r>
      <w:r>
        <w:rPr>
          <w:rFonts w:hint="eastAsia"/>
        </w:rPr>
        <w:t>、个人信息等）执行识别与脱敏，避免模型泄露的风险。上述输入扫描器式的防护范式在开源护栏工具中较为常见，本文按电力调度业务的防护需求进行组合。</w:t>
      </w:r>
    </w:p>
    <w:p w14:paraId="06D9F4A6">
      <w:pPr>
        <w:ind w:firstLine="480"/>
      </w:pPr>
      <w:r>
        <w:rPr>
          <w:rFonts w:hint="eastAsia"/>
        </w:rPr>
        <w:t>输出护栏承担“最后一公里”的风险兜底，起终点在于约束最终响应的安全边界、可审计性与业务可执行性。攻击者</w:t>
      </w:r>
      <w:r>
        <w:rPr>
          <w:rFonts w:hint="eastAsia"/>
          <w:lang w:val="en-US" w:eastAsia="zh-CN"/>
        </w:rPr>
        <w:t>在</w:t>
      </w:r>
      <w:r>
        <w:rPr>
          <w:rFonts w:hint="eastAsia"/>
        </w:rPr>
        <w:t>投毒过程除了对于目标错误答案的引导，还可能在包含正确答案的支撑文档中注入无关内容甚至恶意内容。因此本文输出护栏同时覆盖三类检查：其一是内容安全与泄露风险检查，检测并拦截明显不当或攻击性内容，并对</w:t>
      </w:r>
      <w:r>
        <w:rPr>
          <w:rFonts w:hint="eastAsia"/>
          <w:lang w:eastAsia="zh-CN"/>
        </w:rPr>
        <w:t>可疑</w:t>
      </w:r>
      <w:r>
        <w:rPr>
          <w:rFonts w:hint="eastAsia"/>
        </w:rPr>
        <w:t>内容过滤或替换；其二是对齐与相关性检查，判定输出是否与用户问题一致、是否出现无关扩展；其三是“基于证据的输出一致性”检查，强制生成时附带证据引用、或对结论语句与证据片段做相似度/蕴含一致性判别，当检测到高风险不一致时触发重写策略。上述输出扫描器式能力同样在开源护栏体系中较为常见，可支撑本文电力业务场景下安全防护工程化需求。</w:t>
      </w:r>
    </w:p>
    <w:p w14:paraId="728B384D">
      <w:pPr>
        <w:ind w:firstLine="480"/>
      </w:pPr>
      <w:r>
        <w:rPr>
          <w:rFonts w:hint="eastAsia"/>
        </w:rPr>
        <w:t>在上述输入与输出护栏之间，检索护栏承</w:t>
      </w:r>
      <w:r>
        <w:rPr>
          <w:rFonts w:hint="eastAsia"/>
          <w:lang w:eastAsia="zh-CN"/>
        </w:rPr>
        <w:t>担着</w:t>
      </w:r>
      <w:r>
        <w:rPr>
          <w:rFonts w:hint="eastAsia"/>
        </w:rPr>
        <w:t>承上启下的核心连接作用：一方面，它接收通过输入护栏净化后的查询并作用于“证据入口”，在支撑语料进入LLM上下文前完成前置筛查；另一方面它输出的最终证据集合又为输出护栏的“基于证据一致性检查”提供了可依赖的参照基底。最终在不改变RAG主流程接口的前提下实现对毒化证据的前置阻断，并与输入、输出护栏共同构成纵深防御框架。</w:t>
      </w:r>
    </w:p>
    <w:p w14:paraId="61FBE46C">
      <w:pPr>
        <w:pStyle w:val="3"/>
        <w:spacing w:before="163" w:after="163"/>
      </w:pPr>
      <w:bookmarkStart w:id="51" w:name="_Toc22900"/>
      <w:r>
        <w:rPr>
          <w:rFonts w:hint="eastAsia"/>
        </w:rPr>
        <w:t>5</w:t>
      </w:r>
      <w:r>
        <w:t>.</w:t>
      </w:r>
      <w:r>
        <w:rPr>
          <w:rFonts w:hint="eastAsia"/>
        </w:rPr>
        <w:t>4  实验与结果分析</w:t>
      </w:r>
      <w:bookmarkEnd w:id="51"/>
    </w:p>
    <w:p w14:paraId="1776E638">
      <w:pPr>
        <w:pStyle w:val="4"/>
      </w:pPr>
      <w:bookmarkStart w:id="52" w:name="_Toc30604"/>
      <w:r>
        <w:rPr>
          <w:rFonts w:hint="eastAsia"/>
        </w:rPr>
        <w:t>5.4.1  实验数据集</w:t>
      </w:r>
      <w:bookmarkEnd w:id="52"/>
    </w:p>
    <w:p w14:paraId="476AA3CC">
      <w:pPr>
        <w:ind w:firstLine="480"/>
        <w:rPr>
          <w:rFonts w:hint="eastAsia"/>
        </w:rPr>
      </w:pPr>
      <w:r>
        <w:rPr>
          <w:rFonts w:hint="eastAsia"/>
        </w:rPr>
        <w:t>为全面地反映防御方法在不同业务条件下的适用边界与鲁棒性</w:t>
      </w:r>
      <w:r>
        <w:rPr>
          <w:rFonts w:hint="eastAsia"/>
          <w:lang w:eastAsia="zh-CN"/>
        </w:rPr>
        <w:t>，</w:t>
      </w:r>
      <w:r>
        <w:rPr>
          <w:rFonts w:hint="eastAsia"/>
        </w:rPr>
        <w:t>保证攻防实验前后一致，本章</w:t>
      </w:r>
      <w:r>
        <w:rPr>
          <w:rFonts w:hint="eastAsia"/>
          <w:lang w:val="en-US" w:eastAsia="zh-CN"/>
        </w:rPr>
        <w:t>总体</w:t>
      </w:r>
      <w:r>
        <w:rPr>
          <w:rFonts w:hint="eastAsia"/>
        </w:rPr>
        <w:t>沿用第四章中的</w:t>
      </w:r>
      <w:r>
        <w:rPr>
          <w:rFonts w:hint="eastAsia"/>
          <w:lang w:val="en-US" w:eastAsia="zh-CN"/>
        </w:rPr>
        <w:t>NQ、FinQA、PANDAX</w:t>
      </w:r>
      <w:r>
        <w:rPr>
          <w:rFonts w:hint="eastAsia"/>
        </w:rPr>
        <w:t>三个数据集及其知识库构建方式开展防御实验</w:t>
      </w:r>
      <w:r>
        <w:rPr>
          <w:rFonts w:hint="eastAsia"/>
          <w:lang w:eastAsia="zh-CN"/>
        </w:rPr>
        <w:t>，</w:t>
      </w:r>
      <w:r>
        <w:rPr>
          <w:rFonts w:hint="eastAsia"/>
        </w:rPr>
        <w:t>在短文本开放域语料、长篇说明型专业语料以及工业文档型语料三类知识载体上统一评估检索护栏对投毒证据的识别、过滤与抑制效果</w:t>
      </w:r>
      <w:r>
        <w:rPr>
          <w:rFonts w:hint="eastAsia"/>
          <w:lang w:eastAsia="zh-CN"/>
        </w:rPr>
        <w:t>。考虑到本章需要进一步统计端到端输出正确率，</w:t>
      </w:r>
      <w:r>
        <w:rPr>
          <w:rFonts w:hint="eastAsia"/>
          <w:lang w:val="en-US" w:eastAsia="zh-CN"/>
        </w:rPr>
        <w:t>本章将BEIR检索版替换为带有答案的NQ-open开放域问答版本，其知识来源仍为Wikipedia开放域语料，整体任务属性与第四章保持一致。FinQA沿用第四章所述版本，PANDAX沿用第四章构造的相应事实型问答集合。</w:t>
      </w:r>
    </w:p>
    <w:p w14:paraId="611A9E73">
      <w:pPr>
        <w:pStyle w:val="4"/>
      </w:pPr>
      <w:bookmarkStart w:id="53" w:name="_Toc13527"/>
      <w:r>
        <w:rPr>
          <w:rFonts w:hint="eastAsia"/>
        </w:rPr>
        <w:t>5.4.2  攻击方法</w:t>
      </w:r>
      <w:bookmarkEnd w:id="53"/>
    </w:p>
    <w:p w14:paraId="553D9DB5">
      <w:pPr>
        <w:ind w:firstLine="480"/>
      </w:pPr>
      <w:r>
        <w:rPr>
          <w:rFonts w:hint="eastAsia"/>
        </w:rPr>
        <w:t>在攻击侧，为覆盖知识库投毒最具代表性的三类操纵路径，本文选取PoisonedRAG、PIA与第四章提出的BOGA-RAGP三种攻击方法进行评测。</w:t>
      </w:r>
    </w:p>
    <w:p w14:paraId="37D8133A">
      <w:pPr>
        <w:ind w:firstLine="480"/>
      </w:pPr>
      <w:r>
        <w:rPr>
          <w:rFonts w:hint="eastAsia"/>
        </w:rPr>
        <w:t>PoisonedRAG代表经典的基于梯度优化的定向知识库投毒，其核心流程是预先选定目标问题与目标答案，依次优化“易被检索命中”与“可控生成目标答案”的两个目标语段并拼接，从而诱导RAG系统输出攻击者指定内容。</w:t>
      </w:r>
    </w:p>
    <w:p w14:paraId="7766762D">
      <w:pPr>
        <w:ind w:firstLine="480"/>
      </w:pPr>
      <w:r>
        <w:rPr>
          <w:rFonts w:hint="eastAsia"/>
        </w:rPr>
        <w:t>PIA则代表经由可被检索文本携带恶意指令的间接提示注入攻击</w:t>
      </w:r>
      <w:r>
        <w:rPr>
          <w:rFonts w:hint="eastAsia"/>
          <w:lang w:eastAsia="zh-CN"/>
        </w:rPr>
        <w:t>，</w:t>
      </w:r>
      <w:r>
        <w:rPr>
          <w:rFonts w:hint="eastAsia"/>
        </w:rPr>
        <w:t>此类攻击可将对抗指令嵌入网页、文档或其他外部文本中，并借助RAG的检索链路进入增强上下文，从而在知识库污染与上下文指令覆盖的共同作用下诱导生成器偏离原有任务约束。该攻击与知识库投毒共享“恶意内容经检索进入上下文并进一步误导生成”的关键作用链路，可作为本文组合式护栏在复杂外部内容攻击场景下的重要补充评测方法。</w:t>
      </w:r>
    </w:p>
    <w:p w14:paraId="30D0A1F2">
      <w:pPr>
        <w:ind w:firstLine="480"/>
      </w:pPr>
      <w:r>
        <w:rPr>
          <w:rFonts w:hint="eastAsia"/>
        </w:rPr>
        <w:t>此外，BOGA-RAGP面向系统内部严格黑盒的投毒场景，以“检索命中”与“生成误导”为双目标进行优化，再以文档级困惑度作为基本隐蔽性约束，通过遗传搜索生成用于注入知识库的对抗文档，从而在不依赖梯度信息的条件下稳定提升投毒文档的可达性并放大端到端生成失真。</w:t>
      </w:r>
    </w:p>
    <w:p w14:paraId="4EE195A8">
      <w:pPr>
        <w:pStyle w:val="4"/>
      </w:pPr>
      <w:bookmarkStart w:id="54" w:name="_Toc16300"/>
      <w:r>
        <w:rPr>
          <w:rFonts w:hint="eastAsia"/>
        </w:rPr>
        <w:t>5.4.3  防御基线方法</w:t>
      </w:r>
      <w:bookmarkEnd w:id="54"/>
    </w:p>
    <w:p w14:paraId="3F373894">
      <w:pPr>
        <w:ind w:firstLine="480"/>
        <w:rPr>
          <w:rFonts w:hint="eastAsia" w:eastAsia="宋体"/>
          <w:lang w:eastAsia="zh-CN"/>
        </w:rPr>
      </w:pPr>
      <w:r>
        <w:rPr>
          <w:rFonts w:hint="eastAsia"/>
        </w:rPr>
        <w:t>为体现本章检索护栏相对现有代表性防御框架的增益，本文选取防御思路</w:t>
      </w:r>
      <w:r>
        <w:rPr>
          <w:rFonts w:hint="eastAsia"/>
          <w:lang w:val="en-US" w:eastAsia="zh-CN"/>
        </w:rPr>
        <w:t>具</w:t>
      </w:r>
      <w:r>
        <w:rPr>
          <w:rFonts w:hint="eastAsia"/>
        </w:rPr>
        <w:t>有一定差异的RobustRAG、TrustRAG与InstructRAG三种方法作为对比基线</w:t>
      </w:r>
      <w:r>
        <w:rPr>
          <w:rFonts w:hint="eastAsia"/>
          <w:lang w:eastAsia="zh-CN"/>
        </w:rPr>
        <w:t>，从不同角度检验本文方法在污染证据识别、正常问答能力保持和全链路防护上的相对优势。</w:t>
      </w:r>
    </w:p>
    <w:p w14:paraId="44826AD8">
      <w:pPr>
        <w:ind w:firstLine="480"/>
      </w:pPr>
      <w:r>
        <w:rPr>
          <w:rFonts w:hint="eastAsia"/>
        </w:rPr>
        <w:t>RobustRAG将检索结果由“拼接后统一生成”改为“逐文档隔离生成—安全聚合”</w:t>
      </w:r>
      <w:r>
        <w:rPr>
          <w:rFonts w:hint="eastAsia"/>
          <w:lang w:val="en-US" w:eastAsia="zh-CN"/>
        </w:rPr>
        <w:t>策略</w:t>
      </w:r>
      <w:r>
        <w:rPr>
          <w:rFonts w:hint="eastAsia"/>
        </w:rPr>
        <w:t>，通过先隔离单篇文档对模型回答的局部影响，再利用关键词聚合或解码聚合生成最终答案，削弱恶意文档对整体输出的直接干扰</w:t>
      </w:r>
      <w:r>
        <w:rPr>
          <w:rFonts w:hint="eastAsia"/>
          <w:lang w:eastAsia="zh-CN"/>
        </w:rPr>
        <w:t>，</w:t>
      </w:r>
      <w:r>
        <w:rPr>
          <w:rFonts w:hint="eastAsia"/>
        </w:rPr>
        <w:t>从而提升系统在检索污染场景下的鲁棒性，并体现出较强的安全聚合特征。</w:t>
      </w:r>
    </w:p>
    <w:p w14:paraId="5A49BB95">
      <w:pPr>
        <w:ind w:firstLine="480"/>
      </w:pPr>
      <w:r>
        <w:rPr>
          <w:rFonts w:hint="eastAsia"/>
        </w:rPr>
        <w:t>TrustRAG的核心思想是在检索证据进入生成之前进行语义过滤与冲突消解，并通过同时引入内部与外部知识源来定位更可信的证据来源</w:t>
      </w:r>
      <w:r>
        <w:rPr>
          <w:rFonts w:hint="eastAsia"/>
          <w:lang w:eastAsia="zh-CN"/>
        </w:rPr>
        <w:t>。</w:t>
      </w:r>
      <w:r>
        <w:rPr>
          <w:rFonts w:hint="eastAsia"/>
        </w:rPr>
        <w:t>该方法同时覆盖检索侧过滤与生成侧校验两个环节，在保持正常回答能力的同时降低被投毒证据误导的风险。</w:t>
      </w:r>
    </w:p>
    <w:p w14:paraId="59AE182C">
      <w:pPr>
        <w:ind w:firstLine="480"/>
      </w:pPr>
      <w:r>
        <w:rPr>
          <w:rFonts w:hint="eastAsia"/>
        </w:rPr>
        <w:t>InstructRAG则是利用模型自合成的去噪解释链作为监督信号，引导模型显式学习“如何从含噪检索文档中识别有效证据并推导答案”的过程，从而将传统RAG中隐式的抗噪能力转化为可学习、可验证的显式去噪推理能力。相较于前两者</w:t>
      </w:r>
      <w:r>
        <w:rPr>
          <w:rFonts w:hint="eastAsia"/>
          <w:lang w:eastAsia="zh-CN"/>
        </w:rPr>
        <w:t>，</w:t>
      </w:r>
      <w:r>
        <w:rPr>
          <w:rFonts w:hint="eastAsia"/>
          <w:lang w:val="en-US" w:eastAsia="zh-CN"/>
        </w:rPr>
        <w:t>该方法</w:t>
      </w:r>
      <w:r>
        <w:rPr>
          <w:rFonts w:hint="eastAsia"/>
        </w:rPr>
        <w:t>可作为本文组合式护栏在复杂干扰场景下的重要参照。</w:t>
      </w:r>
    </w:p>
    <w:p w14:paraId="06E2300C">
      <w:pPr>
        <w:pStyle w:val="4"/>
      </w:pPr>
      <w:bookmarkStart w:id="55" w:name="_Toc31423"/>
      <w:r>
        <w:rPr>
          <w:rFonts w:hint="eastAsia"/>
        </w:rPr>
        <w:t>5.4.4  实验设计</w:t>
      </w:r>
      <w:bookmarkEnd w:id="55"/>
    </w:p>
    <w:p w14:paraId="6B3F94C3">
      <w:pPr>
        <w:ind w:firstLine="480"/>
        <w:rPr>
          <w:rFonts w:hint="eastAsia"/>
        </w:rPr>
      </w:pPr>
      <w:r>
        <w:rPr>
          <w:rFonts w:hint="eastAsia"/>
        </w:rPr>
        <w:t>为保证对比的可控性与可复现性，本文沿用第四章默认的目标RAG系统配置</w:t>
      </w:r>
      <w:r>
        <w:rPr>
          <w:rFonts w:hint="eastAsia"/>
          <w:lang w:val="en-US" w:eastAsia="zh-CN"/>
        </w:rPr>
        <w:t>与构建方式</w:t>
      </w:r>
      <w:r>
        <w:rPr>
          <w:rFonts w:hint="eastAsia"/>
        </w:rPr>
        <w:t>，以Contriever作为检索器、以GPT-4o作为生成模型，形成统一的端到端评测管线。在知识库构建方面，NQ-open仍按短文本语料直接入库，不再额外切分；FinQA</w:t>
      </w:r>
      <w:r>
        <w:rPr>
          <w:rFonts w:hint="eastAsia"/>
          <w:lang w:val="en-US" w:eastAsia="zh-CN"/>
        </w:rPr>
        <w:t>与</w:t>
      </w:r>
      <w:r>
        <w:rPr>
          <w:rFonts w:hint="eastAsia"/>
        </w:rPr>
        <w:t>PANDAX继续按256词元、相邻块重叠32词元的规则切分后建立知识库。攻击侧每轮分别针对全部目标问题生成</w:t>
      </w:r>
      <w:r>
        <w:rPr>
          <w:rFonts w:hint="eastAsia"/>
          <w:lang w:val="en-US" w:eastAsia="zh-CN"/>
        </w:rPr>
        <w:t>相应</w:t>
      </w:r>
      <w:r>
        <w:rPr>
          <w:rFonts w:hint="eastAsia"/>
        </w:rPr>
        <w:t>对抗文档并注入知识库，其中NQ-open每轮注入20篇约100–200词的对抗文本，FinQA每轮注入20篇约600–800词的对抗文本并按相同策略切块后入库，PANDAX每轮注入15篇约1000词的对抗文本并切块入库。</w:t>
      </w:r>
    </w:p>
    <w:p w14:paraId="2E59EA97">
      <w:pPr>
        <w:ind w:firstLine="480"/>
      </w:pPr>
      <w:r>
        <w:rPr>
          <w:rFonts w:hint="eastAsia"/>
        </w:rPr>
        <w:t>在此基础上，本章提出的检索护栏在不改变RAG主流程的前提下，将检索候选由</w:t>
      </w:r>
      <w:r>
        <w:rPr>
          <w:rFonts w:hint="eastAsia"/>
          <w:lang w:eastAsia="zh-CN"/>
        </w:rPr>
        <w:t>Top-K</w:t>
      </w:r>
      <w:r>
        <w:rPr>
          <w:rFonts w:hint="eastAsia"/>
        </w:rPr>
        <w:t>扩展至Top-</w:t>
      </w:r>
      <w:r>
        <w:t>α</w:t>
      </w:r>
      <w:r>
        <w:rPr>
          <w:rFonts w:hint="eastAsia"/>
        </w:rPr>
        <w:t>K（默认</w:t>
      </w:r>
      <w:r>
        <w:t>α</w:t>
      </w:r>
      <w:r>
        <w:rPr>
          <w:rFonts w:hint="eastAsia"/>
        </w:rPr>
        <w:t>=2，K=10），并在候选集上执行嵌入空间异常检测与</w:t>
      </w:r>
      <w:r>
        <w:rPr>
          <w:rFonts w:hint="eastAsia"/>
          <w:lang w:val="en-US" w:eastAsia="zh-CN"/>
        </w:rPr>
        <w:t>语句</w:t>
      </w:r>
      <w:r>
        <w:rPr>
          <w:rFonts w:hint="eastAsia"/>
        </w:rPr>
        <w:t>级困惑度异常检测，最终重排回</w:t>
      </w:r>
      <w:r>
        <w:rPr>
          <w:rFonts w:hint="eastAsia"/>
          <w:lang w:eastAsia="zh-CN"/>
        </w:rPr>
        <w:t>Top-K</w:t>
      </w:r>
      <w:r>
        <w:rPr>
          <w:rFonts w:hint="eastAsia"/>
        </w:rPr>
        <w:t>证据输入生成模型，以实现对投毒证据的前置阻断与鲁棒筛查。</w:t>
      </w:r>
    </w:p>
    <w:p w14:paraId="4A897F77">
      <w:pPr>
        <w:ind w:firstLine="480"/>
      </w:pPr>
      <w:r>
        <w:rPr>
          <w:rFonts w:hint="eastAsia"/>
        </w:rPr>
        <w:t>本研究实验采用两项核心指标衡量防御效果，分别为检测准确率（Detection Accuracy，DACC）和输出准确率（Output Accuracy，OACC）。DACC用于衡量护栏对检索证据的整体判别正确程度，即将检索文本按真实标签划分为</w:t>
      </w:r>
      <w:r>
        <w:rPr>
          <w:rFonts w:hint="eastAsia"/>
          <w:lang w:eastAsia="zh-CN"/>
        </w:rPr>
        <w:t>“</w:t>
      </w:r>
      <w:r>
        <w:rPr>
          <w:rFonts w:hint="eastAsia"/>
        </w:rPr>
        <w:t>投毒/良性</w:t>
      </w:r>
      <w:r>
        <w:rPr>
          <w:rFonts w:hint="eastAsia"/>
          <w:lang w:eastAsia="zh-CN"/>
        </w:rPr>
        <w:t>”</w:t>
      </w:r>
      <w:r>
        <w:rPr>
          <w:rFonts w:hint="eastAsia"/>
        </w:rPr>
        <w:t>两类，检测准确率定义为</w:t>
      </w:r>
      <w:r>
        <w:rPr>
          <w:rFonts w:hint="eastAsia"/>
          <w:lang w:eastAsia="zh-CN"/>
        </w:rPr>
        <w:t>“</w:t>
      </w:r>
      <w:r>
        <w:rPr>
          <w:rFonts w:hint="eastAsia"/>
        </w:rPr>
        <w:t>毒文本判毒</w:t>
      </w:r>
      <w:r>
        <w:rPr>
          <w:rFonts w:hint="eastAsia"/>
          <w:lang w:eastAsia="zh-CN"/>
        </w:rPr>
        <w:t>”</w:t>
      </w:r>
      <w:r>
        <w:rPr>
          <w:rFonts w:hint="eastAsia"/>
        </w:rPr>
        <w:t>真正例与</w:t>
      </w:r>
      <w:r>
        <w:rPr>
          <w:rFonts w:hint="eastAsia"/>
          <w:lang w:eastAsia="zh-CN"/>
        </w:rPr>
        <w:t>“</w:t>
      </w:r>
      <w:r>
        <w:rPr>
          <w:rFonts w:hint="eastAsia"/>
        </w:rPr>
        <w:t>净文本判净</w:t>
      </w:r>
      <w:r>
        <w:rPr>
          <w:rFonts w:hint="eastAsia"/>
          <w:lang w:eastAsia="zh-CN"/>
        </w:rPr>
        <w:t>”</w:t>
      </w:r>
      <w:r>
        <w:rPr>
          <w:rFonts w:hint="eastAsia"/>
        </w:rPr>
        <w:t>真负例在全部检测文本中的占比。OACC定义为正确回答数占总查询数的比例，若模型最终输出与数据集标注答案一致则记为一次正确</w:t>
      </w:r>
      <w:r>
        <w:rPr>
          <w:rFonts w:hint="eastAsia"/>
          <w:lang w:eastAsia="zh-CN"/>
        </w:rPr>
        <w:t>；</w:t>
      </w:r>
      <w:r>
        <w:rPr>
          <w:rFonts w:hint="eastAsia"/>
        </w:rPr>
        <w:t>若模型输出攻击目标错误答案或其他幻觉内容，则统一</w:t>
      </w:r>
      <w:r>
        <w:rPr>
          <w:rFonts w:hint="eastAsia"/>
          <w:lang w:val="en-US" w:eastAsia="zh-CN"/>
        </w:rPr>
        <w:t>标注为“错误”</w:t>
      </w:r>
      <w:r>
        <w:rPr>
          <w:rFonts w:hint="eastAsia"/>
          <w:lang w:eastAsia="zh-CN"/>
        </w:rPr>
        <w:t>，</w:t>
      </w:r>
      <w:r>
        <w:rPr>
          <w:rFonts w:hint="eastAsia"/>
          <w:lang w:val="en-US" w:eastAsia="zh-CN"/>
        </w:rPr>
        <w:t>进而</w:t>
      </w:r>
      <w:r>
        <w:rPr>
          <w:rFonts w:hint="eastAsia"/>
        </w:rPr>
        <w:t>可用于衡量端到端问答可用性</w:t>
      </w:r>
      <w:r>
        <w:rPr>
          <w:rFonts w:hint="eastAsia"/>
          <w:lang w:eastAsia="zh-CN"/>
        </w:rPr>
        <w:t>。</w:t>
      </w:r>
    </w:p>
    <w:p w14:paraId="17EBE58E">
      <w:pPr>
        <w:ind w:firstLine="480"/>
      </w:pPr>
      <w:r>
        <w:rPr>
          <w:rFonts w:hint="eastAsia"/>
        </w:rPr>
        <w:t>基于上述指标，首先开展基线防御效果对比实验，用以检验不同数据集与不同攻击方式下各类防御方法的整体鲁棒性。实验在NQ</w:t>
      </w:r>
      <w:r>
        <w:rPr>
          <w:rFonts w:hint="eastAsia"/>
          <w:lang w:val="en-US" w:eastAsia="zh-CN"/>
        </w:rPr>
        <w:t>-open</w:t>
      </w:r>
      <w:r>
        <w:rPr>
          <w:rFonts w:hint="eastAsia"/>
        </w:rPr>
        <w:t>、</w:t>
      </w:r>
      <w:r>
        <w:rPr>
          <w:rFonts w:hint="eastAsia"/>
          <w:lang w:val="en-US" w:eastAsia="zh-CN"/>
        </w:rPr>
        <w:t>FinQA</w:t>
      </w:r>
      <w:r>
        <w:rPr>
          <w:rFonts w:hint="eastAsia"/>
        </w:rPr>
        <w:t>与PANDAX三数据集上分别进行，沿用第四章默认的目标RAG系统配置以保证可比性。对每个数据集先由其配套语料构建干净知识库与索引，然后分别采用PoisonedRAG、PIA与第四章提出的BOGA-RAGP生成投毒文本并注入形成污染版本。之后在污染知识库上分别部署TrustRAG、RobustRAG、InstructRAG与本文检索护栏进行防御对比。本文检索护栏在不改变RAG主流程接口的前提下，先执行检索扩展将</w:t>
      </w:r>
      <w:r>
        <w:rPr>
          <w:rFonts w:hint="eastAsia"/>
          <w:lang w:eastAsia="zh-CN"/>
        </w:rPr>
        <w:t>Top-K</w:t>
      </w:r>
      <w:r>
        <w:rPr>
          <w:rFonts w:hint="eastAsia"/>
        </w:rPr>
        <w:t>扩展为Top-</w:t>
      </w:r>
      <w:r>
        <w:t>α</w:t>
      </w:r>
      <w:r>
        <w:rPr>
          <w:rFonts w:hint="eastAsia"/>
        </w:rPr>
        <w:t>K以稀释投毒命中并增加干净证据占比，默认取</w:t>
      </w:r>
      <w:r>
        <w:t>α</w:t>
      </w:r>
      <w:r>
        <w:rPr>
          <w:rFonts w:hint="eastAsia"/>
        </w:rPr>
        <w:t>=2且K=10，随后完成检测过滤与重排后再选取</w:t>
      </w:r>
      <w:r>
        <w:rPr>
          <w:rFonts w:hint="eastAsia"/>
          <w:lang w:eastAsia="zh-CN"/>
        </w:rPr>
        <w:t>Top-K</w:t>
      </w:r>
      <w:r>
        <w:rPr>
          <w:rFonts w:hint="eastAsia"/>
        </w:rPr>
        <w:t>证据输入生成模型。最终在三个测试数据集上统计各方法的DACC和OACC，并汇总形成跨数据集、跨攻击方法的防御效果对比结果。</w:t>
      </w:r>
    </w:p>
    <w:p w14:paraId="4FD22C96">
      <w:pPr>
        <w:ind w:firstLine="480"/>
      </w:pPr>
      <w:r>
        <w:rPr>
          <w:rFonts w:hint="eastAsia"/>
        </w:rPr>
        <w:t>其次，本文进一步设计“检索扩展规模敏感性”消融，以检验在固定生成端证据条数K不变时，扩大检索候选规模N对整体防御效果的影响。具体而言，保持检索护栏其余步骤与阈值设置完全一致，仅将检索扩展后的候选集合规模N从5逐步增加至25，并在每种规模下统一重排回</w:t>
      </w:r>
      <w:r>
        <w:rPr>
          <w:rFonts w:hint="eastAsia"/>
          <w:lang w:eastAsia="zh-CN"/>
        </w:rPr>
        <w:t>Top-K</w:t>
      </w:r>
      <w:r>
        <w:rPr>
          <w:rFonts w:hint="eastAsia"/>
        </w:rPr>
        <w:t>候选语段作为生成模型证据输入。该实验在PANDAX数据集上进行，并在PoisonedRAG、PIA与BOGA-RAGP三类攻击条件下统计DACC与OACC的变化趋势，用以刻画“扩大检索范围以稀释投毒命中并增强可过滤性”的边际收益与可能的误杀代价，从而为主实验中检索扩展超参数的选取提供依据。</w:t>
      </w:r>
    </w:p>
    <w:p w14:paraId="4D055294">
      <w:pPr>
        <w:ind w:firstLine="480"/>
      </w:pPr>
      <w:r>
        <w:rPr>
          <w:rFonts w:hint="eastAsia"/>
        </w:rPr>
        <w:t>此外，本文开展组件消融实验以验证检索护栏内部关键模块及其与全链路护栏体系协同关系的必要性。本文设置四组剥离对照：第一组去掉检索扩展（即Top-</w:t>
      </w:r>
      <w:r>
        <w:t>α</w:t>
      </w:r>
      <w:r>
        <w:rPr>
          <w:rFonts w:hint="eastAsia"/>
        </w:rPr>
        <w:t>K检索退化为</w:t>
      </w:r>
      <w:r>
        <w:rPr>
          <w:rFonts w:hint="eastAsia"/>
          <w:lang w:eastAsia="zh-CN"/>
        </w:rPr>
        <w:t>Top-K</w:t>
      </w:r>
      <w:r>
        <w:rPr>
          <w:rFonts w:hint="eastAsia"/>
        </w:rPr>
        <w:t>），用于验证该步骤对后续异常检测鲁棒性的贡献；第二组</w:t>
      </w:r>
      <w:r>
        <w:rPr>
          <w:rFonts w:hint="eastAsia"/>
          <w:lang w:val="en-US" w:eastAsia="zh-CN"/>
        </w:rPr>
        <w:t>去掉嵌入空间异常检测</w:t>
      </w:r>
      <w:r>
        <w:rPr>
          <w:rFonts w:hint="eastAsia"/>
        </w:rPr>
        <w:t>；第三组去掉</w:t>
      </w:r>
      <w:r>
        <w:rPr>
          <w:rFonts w:hint="eastAsia"/>
          <w:lang w:eastAsia="zh-CN"/>
        </w:rPr>
        <w:t>语句级</w:t>
      </w:r>
      <w:r>
        <w:rPr>
          <w:rFonts w:hint="eastAsia"/>
        </w:rPr>
        <w:t>困惑度异常检测的“自查”模块，仅保留嵌入空间异常检测与重排，用于评估“局部语言风格断裂/困惑度跳变”这一段内信号的补充价值；第四组去掉输入护栏与输出护栏，仅保留本文所提检索护栏，检验</w:t>
      </w:r>
      <w:r>
        <w:rPr>
          <w:rFonts w:hint="eastAsia"/>
          <w:lang w:eastAsia="zh-CN"/>
        </w:rPr>
        <w:t>“</w:t>
      </w:r>
      <w:r>
        <w:rPr>
          <w:rFonts w:hint="eastAsia"/>
        </w:rPr>
        <w:t>仅检索侧前置阻断</w:t>
      </w:r>
      <w:r>
        <w:rPr>
          <w:rFonts w:hint="eastAsia"/>
          <w:lang w:eastAsia="zh-CN"/>
        </w:rPr>
        <w:t>”</w:t>
      </w:r>
      <w:r>
        <w:rPr>
          <w:rFonts w:hint="eastAsia"/>
        </w:rPr>
        <w:t>与</w:t>
      </w:r>
      <w:r>
        <w:rPr>
          <w:rFonts w:hint="eastAsia"/>
          <w:lang w:eastAsia="zh-CN"/>
        </w:rPr>
        <w:t>“</w:t>
      </w:r>
      <w:r>
        <w:rPr>
          <w:rFonts w:hint="eastAsia"/>
        </w:rPr>
        <w:t>全链路组合式护栏</w:t>
      </w:r>
      <w:r>
        <w:rPr>
          <w:rFonts w:hint="eastAsia"/>
          <w:lang w:eastAsia="zh-CN"/>
        </w:rPr>
        <w:t>”</w:t>
      </w:r>
      <w:r>
        <w:rPr>
          <w:rFonts w:hint="eastAsia"/>
        </w:rPr>
        <w:t>在整体防御效果上的差异。</w:t>
      </w:r>
      <w:r>
        <w:t>四组消融均在</w:t>
      </w:r>
      <w:r>
        <w:rPr>
          <w:rFonts w:hint="eastAsia"/>
        </w:rPr>
        <w:t>前述三个</w:t>
      </w:r>
      <w:r>
        <w:t>数据集</w:t>
      </w:r>
      <w:r>
        <w:rPr>
          <w:rFonts w:hint="eastAsia"/>
        </w:rPr>
        <w:t>以及</w:t>
      </w:r>
      <w:r>
        <w:t>相同攻击设置下运行，并与完整</w:t>
      </w:r>
      <w:r>
        <w:rPr>
          <w:rFonts w:hint="eastAsia"/>
        </w:rPr>
        <w:t>防御</w:t>
      </w:r>
      <w:r>
        <w:t>框架在DACC与</w:t>
      </w:r>
      <w:r>
        <w:rPr>
          <w:rFonts w:hint="eastAsia"/>
        </w:rPr>
        <w:t>OACC</w:t>
      </w:r>
      <w:r>
        <w:t>上进行对照，从而明确各组件在降低漏检与控制误杀之间的作用分工与协同增益。</w:t>
      </w:r>
    </w:p>
    <w:p w14:paraId="603DDAAB">
      <w:pPr>
        <w:ind w:firstLine="480"/>
      </w:pPr>
      <w:r>
        <w:t>最后，为评估组合式护栏在工程部署中的可用性，本文进一步开展运行时间开销实验，统计不同防御方法在在线推理链路中的额外计算成本。该实验与前述基线防御效果对比共享同一套数据集、同一套投毒知识库与同一批测试查询，即在NQ</w:t>
      </w:r>
      <w:r>
        <w:rPr>
          <w:rFonts w:hint="eastAsia"/>
          <w:lang w:val="en-US" w:eastAsia="zh-CN"/>
        </w:rPr>
        <w:t>-open</w:t>
      </w:r>
      <w:r>
        <w:t>、</w:t>
      </w:r>
      <w:r>
        <w:rPr>
          <w:rFonts w:hint="eastAsia"/>
          <w:lang w:val="en-US" w:eastAsia="zh-CN"/>
        </w:rPr>
        <w:t>FinQA</w:t>
      </w:r>
      <w:r>
        <w:t>与PANDAX三</w:t>
      </w:r>
      <w:r>
        <w:rPr>
          <w:rFonts w:hint="eastAsia"/>
          <w:lang w:val="en-US" w:eastAsia="zh-CN"/>
        </w:rPr>
        <w:t>个</w:t>
      </w:r>
      <w:r>
        <w:t>数据集上针对第四章提出的BOGA-RAGP投毒场景，分别部署TrustRAG、RobustRAG、InstructRAG与本文方法，并在完成DACC</w:t>
      </w:r>
      <w:r>
        <w:rPr>
          <w:rFonts w:hint="eastAsia"/>
        </w:rPr>
        <w:t>、OACC</w:t>
      </w:r>
      <w:r>
        <w:t>统计的同时记录</w:t>
      </w:r>
      <w:r>
        <w:rPr>
          <w:rFonts w:hint="eastAsia"/>
        </w:rPr>
        <w:t>每查询</w:t>
      </w:r>
      <w:r>
        <w:t>端到端</w:t>
      </w:r>
      <w:r>
        <w:rPr>
          <w:rFonts w:hint="eastAsia"/>
        </w:rPr>
        <w:t>平均</w:t>
      </w:r>
      <w:r>
        <w:t>运行时间。</w:t>
      </w:r>
    </w:p>
    <w:p w14:paraId="3FFAC955">
      <w:pPr>
        <w:pStyle w:val="4"/>
      </w:pPr>
      <w:bookmarkStart w:id="56" w:name="_Toc3011"/>
      <w:r>
        <w:rPr>
          <w:rFonts w:hint="eastAsia"/>
        </w:rPr>
        <w:t>5.4.5  实验结果与分析</w:t>
      </w:r>
      <w:bookmarkEnd w:id="56"/>
    </w:p>
    <w:p w14:paraId="130A9B59">
      <w:pPr>
        <w:ind w:firstLine="480"/>
      </w:pPr>
      <w:r>
        <w:t>依据</w:t>
      </w:r>
      <w:r>
        <w:rPr>
          <w:rFonts w:hint="eastAsia"/>
        </w:rPr>
        <w:t>5</w:t>
      </w:r>
      <w:r>
        <w:t>.</w:t>
      </w:r>
      <w:r>
        <w:rPr>
          <w:rFonts w:hint="eastAsia"/>
        </w:rPr>
        <w:t>4</w:t>
      </w:r>
      <w:r>
        <w:t>.</w:t>
      </w:r>
      <w:r>
        <w:rPr>
          <w:rFonts w:hint="eastAsia"/>
          <w:lang w:val="en-US" w:eastAsia="zh-CN"/>
        </w:rPr>
        <w:t>4</w:t>
      </w:r>
      <w:r>
        <w:t>节的实验</w:t>
      </w:r>
      <w:r>
        <w:rPr>
          <w:rFonts w:hint="eastAsia"/>
        </w:rPr>
        <w:t>设计</w:t>
      </w:r>
      <w:r>
        <w:t>，</w:t>
      </w:r>
      <w:r>
        <w:rPr>
          <w:rFonts w:hint="eastAsia"/>
        </w:rPr>
        <w:t>采用DACC与OACC</w:t>
      </w:r>
      <w:r>
        <w:t>作为核心评价指标，本节对跨数据集对比、</w:t>
      </w:r>
      <w:r>
        <w:rPr>
          <w:rFonts w:hint="eastAsia"/>
        </w:rPr>
        <w:t>参数</w:t>
      </w:r>
      <w:r>
        <w:t>消融、</w:t>
      </w:r>
      <w:r>
        <w:rPr>
          <w:rFonts w:hint="eastAsia"/>
        </w:rPr>
        <w:t>组件消融以及运行时间开销的</w:t>
      </w:r>
      <w:r>
        <w:t>实验结果进行展示分析。</w:t>
      </w:r>
    </w:p>
    <w:p w14:paraId="18F6542A">
      <w:pPr>
        <w:ind w:firstLine="480"/>
      </w:pPr>
      <w:r>
        <w:t>对比实验结果如表</w:t>
      </w:r>
      <w:r>
        <w:rPr>
          <w:rFonts w:hint="eastAsia"/>
        </w:rPr>
        <w:t>5</w:t>
      </w:r>
      <w:r>
        <w:t>-</w:t>
      </w:r>
      <w:r>
        <w:rPr>
          <w:rFonts w:hint="eastAsia"/>
        </w:rPr>
        <w:t>1</w:t>
      </w:r>
      <w:r>
        <w:t>所示。实验结果表明，本文提出的组合式检索护栏在 NQ</w:t>
      </w:r>
      <w:r>
        <w:rPr>
          <w:rFonts w:hint="eastAsia"/>
          <w:lang w:val="en-US" w:eastAsia="zh-CN"/>
        </w:rPr>
        <w:t>-open</w:t>
      </w:r>
      <w:r>
        <w:t>、</w:t>
      </w:r>
      <w:r>
        <w:rPr>
          <w:rFonts w:hint="eastAsia"/>
          <w:lang w:val="en-US" w:eastAsia="zh-CN"/>
        </w:rPr>
        <w:t>FinQA</w:t>
      </w:r>
      <w:r>
        <w:t>与PANDAX三个数据集上均取得了最优的防御效果，并且在PoisonedRAG、PIA与BOGA-RAGP三种攻击场景下</w:t>
      </w:r>
      <w:r>
        <w:rPr>
          <w:rFonts w:hint="eastAsia"/>
        </w:rPr>
        <w:t>均</w:t>
      </w:r>
      <w:r>
        <w:t>表现出较强的稳定性与泛化能力。</w:t>
      </w:r>
      <w:r>
        <w:rPr>
          <w:rFonts w:hint="eastAsia"/>
        </w:rPr>
        <w:t>在无攻击条件下，各方法的OACC与基线方法基本保持一致，说明引入的检索护栏并未显著损伤系统在正常场景下的问答能力。在投毒攻击条件下，本文方法的优势则更加明显。以最强基线TrustRAG为参照，本文方法在各数据集、各攻击设置下的DACC提升幅度达到 4.1%-11.3%，OACC提升幅度达到6.5%-12.0%。尤其在BOGA-RAGP攻击下，本文方法在NQ</w:t>
      </w:r>
      <w:r>
        <w:rPr>
          <w:rFonts w:hint="eastAsia"/>
          <w:lang w:val="en-US" w:eastAsia="zh-CN"/>
        </w:rPr>
        <w:t>-open</w:t>
      </w:r>
      <w:r>
        <w:rPr>
          <w:rFonts w:hint="eastAsia"/>
        </w:rPr>
        <w:t>、</w:t>
      </w:r>
      <w:r>
        <w:rPr>
          <w:rFonts w:hint="eastAsia"/>
          <w:lang w:val="en-US" w:eastAsia="zh-CN"/>
        </w:rPr>
        <w:t>FinQA</w:t>
      </w:r>
      <w:r>
        <w:rPr>
          <w:rFonts w:hint="eastAsia"/>
        </w:rPr>
        <w:t>与PANDAX上的OACC均大于95%，显著优于现有方法。该结果表明，本文方法能够在不明显影响正常问答性能的前提下，有效识别并过滤投毒证据，从而在检索层面抑制污染文本进入生成上下文，最终提升端到端回答的正确性与鲁棒性。</w:t>
      </w:r>
    </w:p>
    <w:p w14:paraId="3D0796E4">
      <w:pPr>
        <w:ind w:firstLine="480"/>
      </w:pPr>
      <w:r>
        <w:rPr>
          <w:rFonts w:hint="eastAsia"/>
        </w:rPr>
        <w:t>参数消融结果如图5-1所示。可以看出，随着检索扩展规模N从5增加到25，本文方法在三种攻击场景下的DACC整体保持稳定，其中PoisonedRAG场景下DACC由92.4%提升至94.7%，PIA场景下由90.1%提升至92.8%，BOGA-RAGP场景下由90.6%提升至93.7%。扩大候选检索范围并不会显著改变护栏对单条文本的判别能力，其文本级检测性能总体较为稳健。相比之下，OACC对于参数N显著敏感。在PoisonedRAG、PIA与BOGA-RAGP三种攻击下，OACC分别由78.6%、76.3%和74.8%显著提升至97.3%、97.0%和95.2%，且在 N=20 左右后基本趋于稳定。该现象表明，增大检索扩展规模的主要作用并不在于显著提升“逐条判毒”的准确率，而在于为后续过滤阶段提供更大的候选文本池，使系统在剔除可疑证据后仍能保留足够数量的高质量干净文本，从而显著改善生成模型的最终回答质量。</w:t>
      </w:r>
    </w:p>
    <w:p w14:paraId="6734752E">
      <w:pPr>
        <w:pStyle w:val="9"/>
        <w:keepNext/>
      </w:pPr>
      <w:r>
        <w:rPr>
          <w:rFonts w:hint="eastAsia"/>
        </w:rPr>
        <w:t>表5</w:t>
      </w:r>
      <w:r>
        <w:noBreakHyphen/>
      </w:r>
      <w:r>
        <w:fldChar w:fldCharType="begin"/>
      </w:r>
      <w:r>
        <w:instrText xml:space="preserve"> </w:instrText>
      </w:r>
      <w:r>
        <w:rPr>
          <w:rFonts w:hint="eastAsia"/>
        </w:rPr>
        <w:instrText xml:space="preserve">SEQ 表格 \* ARABIC \s 1</w:instrText>
      </w:r>
      <w:r>
        <w:instrText xml:space="preserve"> </w:instrText>
      </w:r>
      <w:r>
        <w:fldChar w:fldCharType="separate"/>
      </w:r>
      <w:r>
        <w:t>1</w:t>
      </w:r>
      <w:r>
        <w:fldChar w:fldCharType="end"/>
      </w:r>
      <w:r>
        <w:rPr>
          <w:rFonts w:hint="eastAsia"/>
        </w:rPr>
        <w:t xml:space="preserve"> 防御方法与基线方法的对比实验结果</w:t>
      </w:r>
    </w:p>
    <w:tbl>
      <w:tblPr>
        <w:tblStyle w:val="37"/>
        <w:tblW w:w="8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2"/>
        <w:gridCol w:w="1430"/>
        <w:gridCol w:w="772"/>
        <w:gridCol w:w="772"/>
        <w:gridCol w:w="772"/>
        <w:gridCol w:w="772"/>
        <w:gridCol w:w="772"/>
        <w:gridCol w:w="772"/>
        <w:gridCol w:w="772"/>
        <w:gridCol w:w="772"/>
      </w:tblGrid>
      <w:tr w14:paraId="0C8E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restart"/>
            <w:tcBorders>
              <w:top w:val="single" w:color="auto" w:sz="12" w:space="0"/>
              <w:left w:val="nil"/>
              <w:bottom w:val="single" w:color="auto" w:sz="4" w:space="0"/>
              <w:right w:val="nil"/>
            </w:tcBorders>
            <w:vAlign w:val="center"/>
          </w:tcPr>
          <w:p w14:paraId="62804312">
            <w:pPr>
              <w:pStyle w:val="94"/>
            </w:pPr>
            <w:r>
              <w:rPr>
                <w:rFonts w:hint="eastAsia"/>
              </w:rPr>
              <w:t>数据集</w:t>
            </w:r>
          </w:p>
        </w:tc>
        <w:tc>
          <w:tcPr>
            <w:tcW w:w="1430" w:type="dxa"/>
            <w:vMerge w:val="restart"/>
            <w:tcBorders>
              <w:top w:val="single" w:color="auto" w:sz="12" w:space="0"/>
              <w:left w:val="nil"/>
              <w:bottom w:val="single" w:color="auto" w:sz="4" w:space="0"/>
              <w:right w:val="nil"/>
            </w:tcBorders>
            <w:vAlign w:val="center"/>
          </w:tcPr>
          <w:p w14:paraId="6D99EFD0">
            <w:pPr>
              <w:pStyle w:val="94"/>
            </w:pPr>
            <w:r>
              <w:rPr>
                <w:rFonts w:hint="eastAsia"/>
              </w:rPr>
              <w:t>攻击方法</w:t>
            </w:r>
          </w:p>
        </w:tc>
        <w:tc>
          <w:tcPr>
            <w:tcW w:w="6176" w:type="dxa"/>
            <w:gridSpan w:val="8"/>
            <w:tcBorders>
              <w:top w:val="single" w:color="auto" w:sz="12" w:space="0"/>
              <w:left w:val="nil"/>
              <w:bottom w:val="nil"/>
              <w:right w:val="nil"/>
            </w:tcBorders>
            <w:vAlign w:val="center"/>
          </w:tcPr>
          <w:p w14:paraId="4591FC71">
            <w:pPr>
              <w:pStyle w:val="94"/>
            </w:pPr>
            <w:r>
              <w:rPr>
                <w:rFonts w:hint="eastAsia"/>
              </w:rPr>
              <w:t>防御方法</w:t>
            </w:r>
          </w:p>
        </w:tc>
      </w:tr>
      <w:tr w14:paraId="26FB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single" w:color="auto" w:sz="4" w:space="0"/>
              <w:left w:val="nil"/>
              <w:bottom w:val="nil"/>
              <w:right w:val="nil"/>
            </w:tcBorders>
            <w:vAlign w:val="center"/>
          </w:tcPr>
          <w:p w14:paraId="4C417627">
            <w:pPr>
              <w:pStyle w:val="94"/>
            </w:pPr>
          </w:p>
        </w:tc>
        <w:tc>
          <w:tcPr>
            <w:tcW w:w="1430" w:type="dxa"/>
            <w:vMerge w:val="continue"/>
            <w:tcBorders>
              <w:top w:val="single" w:color="auto" w:sz="4" w:space="0"/>
              <w:left w:val="nil"/>
              <w:bottom w:val="nil"/>
              <w:right w:val="nil"/>
            </w:tcBorders>
            <w:vAlign w:val="center"/>
          </w:tcPr>
          <w:p w14:paraId="065E9F25">
            <w:pPr>
              <w:pStyle w:val="94"/>
            </w:pPr>
          </w:p>
        </w:tc>
        <w:tc>
          <w:tcPr>
            <w:tcW w:w="1544" w:type="dxa"/>
            <w:gridSpan w:val="2"/>
            <w:tcBorders>
              <w:top w:val="nil"/>
              <w:left w:val="nil"/>
              <w:bottom w:val="single" w:color="auto" w:sz="4" w:space="0"/>
              <w:right w:val="nil"/>
            </w:tcBorders>
            <w:vAlign w:val="center"/>
          </w:tcPr>
          <w:p w14:paraId="770C1446">
            <w:pPr>
              <w:pStyle w:val="94"/>
            </w:pPr>
            <w:r>
              <w:rPr>
                <w:rFonts w:hint="eastAsia"/>
              </w:rPr>
              <w:t>RobustRAG</w:t>
            </w:r>
          </w:p>
        </w:tc>
        <w:tc>
          <w:tcPr>
            <w:tcW w:w="1544" w:type="dxa"/>
            <w:gridSpan w:val="2"/>
            <w:tcBorders>
              <w:top w:val="nil"/>
              <w:left w:val="nil"/>
              <w:bottom w:val="single" w:color="auto" w:sz="4" w:space="0"/>
              <w:right w:val="nil"/>
            </w:tcBorders>
            <w:vAlign w:val="center"/>
          </w:tcPr>
          <w:p w14:paraId="2572A65C">
            <w:pPr>
              <w:pStyle w:val="94"/>
            </w:pPr>
            <w:r>
              <w:rPr>
                <w:rFonts w:hint="eastAsia"/>
              </w:rPr>
              <w:t>InstructRAG</w:t>
            </w:r>
          </w:p>
        </w:tc>
        <w:tc>
          <w:tcPr>
            <w:tcW w:w="1544" w:type="dxa"/>
            <w:gridSpan w:val="2"/>
            <w:tcBorders>
              <w:top w:val="nil"/>
              <w:left w:val="nil"/>
              <w:bottom w:val="single" w:color="auto" w:sz="4" w:space="0"/>
              <w:right w:val="nil"/>
            </w:tcBorders>
            <w:vAlign w:val="center"/>
          </w:tcPr>
          <w:p w14:paraId="3A64E4AC">
            <w:pPr>
              <w:pStyle w:val="94"/>
            </w:pPr>
            <w:r>
              <w:rPr>
                <w:rFonts w:hint="eastAsia"/>
              </w:rPr>
              <w:t>TrustRAG</w:t>
            </w:r>
          </w:p>
        </w:tc>
        <w:tc>
          <w:tcPr>
            <w:tcW w:w="1544" w:type="dxa"/>
            <w:gridSpan w:val="2"/>
            <w:tcBorders>
              <w:top w:val="nil"/>
              <w:left w:val="nil"/>
              <w:bottom w:val="single" w:color="auto" w:sz="4" w:space="0"/>
              <w:right w:val="nil"/>
            </w:tcBorders>
            <w:vAlign w:val="center"/>
          </w:tcPr>
          <w:p w14:paraId="4BA57EBD">
            <w:pPr>
              <w:pStyle w:val="94"/>
            </w:pPr>
            <w:r>
              <w:rPr>
                <w:rFonts w:hint="eastAsia"/>
              </w:rPr>
              <w:t>本文方法</w:t>
            </w:r>
          </w:p>
        </w:tc>
      </w:tr>
      <w:tr w14:paraId="3A50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single" w:color="auto" w:sz="4" w:space="0"/>
              <w:right w:val="nil"/>
            </w:tcBorders>
            <w:vAlign w:val="center"/>
          </w:tcPr>
          <w:p w14:paraId="2AC6A7D8">
            <w:pPr>
              <w:pStyle w:val="94"/>
            </w:pPr>
          </w:p>
        </w:tc>
        <w:tc>
          <w:tcPr>
            <w:tcW w:w="1430" w:type="dxa"/>
            <w:vMerge w:val="continue"/>
            <w:tcBorders>
              <w:top w:val="nil"/>
              <w:left w:val="nil"/>
              <w:bottom w:val="single" w:color="auto" w:sz="4" w:space="0"/>
              <w:right w:val="nil"/>
            </w:tcBorders>
            <w:vAlign w:val="center"/>
          </w:tcPr>
          <w:p w14:paraId="2221E568">
            <w:pPr>
              <w:pStyle w:val="94"/>
            </w:pPr>
          </w:p>
        </w:tc>
        <w:tc>
          <w:tcPr>
            <w:tcW w:w="772" w:type="dxa"/>
            <w:tcBorders>
              <w:top w:val="single" w:color="auto" w:sz="4" w:space="0"/>
              <w:left w:val="nil"/>
              <w:bottom w:val="single" w:color="auto" w:sz="4" w:space="0"/>
              <w:right w:val="nil"/>
            </w:tcBorders>
            <w:vAlign w:val="center"/>
          </w:tcPr>
          <w:p w14:paraId="096A9BC1">
            <w:pPr>
              <w:pStyle w:val="94"/>
              <w:rPr>
                <w:sz w:val="20"/>
                <w:szCs w:val="22"/>
              </w:rPr>
            </w:pPr>
            <w:r>
              <w:rPr>
                <w:rFonts w:hint="eastAsia"/>
                <w:sz w:val="20"/>
                <w:szCs w:val="22"/>
              </w:rPr>
              <w:t>DACC</w:t>
            </w:r>
          </w:p>
        </w:tc>
        <w:tc>
          <w:tcPr>
            <w:tcW w:w="772" w:type="dxa"/>
            <w:tcBorders>
              <w:top w:val="single" w:color="auto" w:sz="4" w:space="0"/>
              <w:left w:val="nil"/>
              <w:bottom w:val="single" w:color="auto" w:sz="4" w:space="0"/>
              <w:right w:val="nil"/>
            </w:tcBorders>
            <w:vAlign w:val="center"/>
          </w:tcPr>
          <w:p w14:paraId="59E5EDD7">
            <w:pPr>
              <w:pStyle w:val="94"/>
              <w:rPr>
                <w:sz w:val="20"/>
                <w:szCs w:val="22"/>
              </w:rPr>
            </w:pPr>
            <w:r>
              <w:rPr>
                <w:rFonts w:hint="eastAsia"/>
                <w:sz w:val="20"/>
                <w:szCs w:val="22"/>
              </w:rPr>
              <w:t>OACC</w:t>
            </w:r>
          </w:p>
        </w:tc>
        <w:tc>
          <w:tcPr>
            <w:tcW w:w="772" w:type="dxa"/>
            <w:tcBorders>
              <w:top w:val="single" w:color="auto" w:sz="4" w:space="0"/>
              <w:left w:val="nil"/>
              <w:bottom w:val="single" w:color="auto" w:sz="4" w:space="0"/>
              <w:right w:val="nil"/>
            </w:tcBorders>
            <w:vAlign w:val="center"/>
          </w:tcPr>
          <w:p w14:paraId="64E229D2">
            <w:pPr>
              <w:pStyle w:val="94"/>
              <w:rPr>
                <w:sz w:val="20"/>
                <w:szCs w:val="22"/>
              </w:rPr>
            </w:pPr>
            <w:r>
              <w:rPr>
                <w:rFonts w:hint="eastAsia"/>
                <w:sz w:val="20"/>
                <w:szCs w:val="22"/>
              </w:rPr>
              <w:t>DACC</w:t>
            </w:r>
          </w:p>
        </w:tc>
        <w:tc>
          <w:tcPr>
            <w:tcW w:w="772" w:type="dxa"/>
            <w:tcBorders>
              <w:top w:val="single" w:color="auto" w:sz="4" w:space="0"/>
              <w:left w:val="nil"/>
              <w:bottom w:val="single" w:color="auto" w:sz="4" w:space="0"/>
              <w:right w:val="nil"/>
            </w:tcBorders>
            <w:vAlign w:val="center"/>
          </w:tcPr>
          <w:p w14:paraId="536B3986">
            <w:pPr>
              <w:pStyle w:val="94"/>
              <w:rPr>
                <w:sz w:val="20"/>
                <w:szCs w:val="22"/>
              </w:rPr>
            </w:pPr>
            <w:r>
              <w:rPr>
                <w:rFonts w:hint="eastAsia"/>
                <w:sz w:val="20"/>
                <w:szCs w:val="22"/>
              </w:rPr>
              <w:t>OACC</w:t>
            </w:r>
          </w:p>
        </w:tc>
        <w:tc>
          <w:tcPr>
            <w:tcW w:w="772" w:type="dxa"/>
            <w:tcBorders>
              <w:top w:val="single" w:color="auto" w:sz="4" w:space="0"/>
              <w:left w:val="nil"/>
              <w:bottom w:val="single" w:color="auto" w:sz="4" w:space="0"/>
              <w:right w:val="nil"/>
            </w:tcBorders>
            <w:vAlign w:val="center"/>
          </w:tcPr>
          <w:p w14:paraId="538ABA85">
            <w:pPr>
              <w:pStyle w:val="94"/>
              <w:rPr>
                <w:sz w:val="20"/>
                <w:szCs w:val="22"/>
              </w:rPr>
            </w:pPr>
            <w:r>
              <w:rPr>
                <w:rFonts w:hint="eastAsia"/>
                <w:sz w:val="20"/>
                <w:szCs w:val="22"/>
              </w:rPr>
              <w:t>DACC</w:t>
            </w:r>
          </w:p>
        </w:tc>
        <w:tc>
          <w:tcPr>
            <w:tcW w:w="772" w:type="dxa"/>
            <w:tcBorders>
              <w:top w:val="single" w:color="auto" w:sz="4" w:space="0"/>
              <w:left w:val="nil"/>
              <w:bottom w:val="single" w:color="auto" w:sz="4" w:space="0"/>
              <w:right w:val="nil"/>
            </w:tcBorders>
            <w:vAlign w:val="center"/>
          </w:tcPr>
          <w:p w14:paraId="0C226F4A">
            <w:pPr>
              <w:pStyle w:val="94"/>
              <w:rPr>
                <w:sz w:val="20"/>
                <w:szCs w:val="22"/>
              </w:rPr>
            </w:pPr>
            <w:r>
              <w:rPr>
                <w:rFonts w:hint="eastAsia"/>
                <w:sz w:val="20"/>
                <w:szCs w:val="22"/>
              </w:rPr>
              <w:t>OACC</w:t>
            </w:r>
          </w:p>
        </w:tc>
        <w:tc>
          <w:tcPr>
            <w:tcW w:w="772" w:type="dxa"/>
            <w:tcBorders>
              <w:top w:val="single" w:color="auto" w:sz="4" w:space="0"/>
              <w:left w:val="nil"/>
              <w:bottom w:val="single" w:color="auto" w:sz="4" w:space="0"/>
              <w:right w:val="nil"/>
            </w:tcBorders>
            <w:vAlign w:val="center"/>
          </w:tcPr>
          <w:p w14:paraId="20141DBC">
            <w:pPr>
              <w:pStyle w:val="94"/>
              <w:rPr>
                <w:sz w:val="20"/>
                <w:szCs w:val="22"/>
              </w:rPr>
            </w:pPr>
            <w:r>
              <w:rPr>
                <w:rFonts w:hint="eastAsia"/>
                <w:sz w:val="20"/>
                <w:szCs w:val="22"/>
              </w:rPr>
              <w:t>DACC</w:t>
            </w:r>
          </w:p>
        </w:tc>
        <w:tc>
          <w:tcPr>
            <w:tcW w:w="772" w:type="dxa"/>
            <w:tcBorders>
              <w:top w:val="single" w:color="auto" w:sz="4" w:space="0"/>
              <w:left w:val="nil"/>
              <w:bottom w:val="single" w:color="auto" w:sz="4" w:space="0"/>
              <w:right w:val="nil"/>
            </w:tcBorders>
            <w:vAlign w:val="center"/>
          </w:tcPr>
          <w:p w14:paraId="3EC58373">
            <w:pPr>
              <w:pStyle w:val="94"/>
              <w:rPr>
                <w:sz w:val="20"/>
                <w:szCs w:val="22"/>
              </w:rPr>
            </w:pPr>
            <w:r>
              <w:rPr>
                <w:rFonts w:hint="eastAsia"/>
                <w:sz w:val="20"/>
                <w:szCs w:val="22"/>
              </w:rPr>
              <w:t>OACC</w:t>
            </w:r>
          </w:p>
        </w:tc>
      </w:tr>
      <w:tr w14:paraId="71F9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restart"/>
            <w:tcBorders>
              <w:top w:val="single" w:color="auto" w:sz="4" w:space="0"/>
              <w:left w:val="nil"/>
              <w:bottom w:val="nil"/>
              <w:right w:val="nil"/>
            </w:tcBorders>
            <w:vAlign w:val="center"/>
          </w:tcPr>
          <w:p w14:paraId="40D33F69">
            <w:pPr>
              <w:pStyle w:val="94"/>
              <w:rPr>
                <w:rFonts w:hint="default" w:eastAsia="宋体"/>
                <w:lang w:val="en-US" w:eastAsia="zh-CN"/>
              </w:rPr>
            </w:pPr>
            <w:r>
              <w:rPr>
                <w:rFonts w:hint="eastAsia"/>
              </w:rPr>
              <w:t>NQ</w:t>
            </w:r>
            <w:r>
              <w:rPr>
                <w:rFonts w:hint="eastAsia"/>
                <w:lang w:val="en-US" w:eastAsia="zh-CN"/>
              </w:rPr>
              <w:t>-open</w:t>
            </w:r>
          </w:p>
        </w:tc>
        <w:tc>
          <w:tcPr>
            <w:tcW w:w="1430" w:type="dxa"/>
            <w:tcBorders>
              <w:top w:val="single" w:color="auto" w:sz="4" w:space="0"/>
              <w:left w:val="nil"/>
              <w:bottom w:val="nil"/>
              <w:right w:val="nil"/>
            </w:tcBorders>
            <w:vAlign w:val="center"/>
          </w:tcPr>
          <w:p w14:paraId="03347FA8">
            <w:pPr>
              <w:pStyle w:val="94"/>
            </w:pPr>
            <w:r>
              <w:rPr>
                <w:rFonts w:hint="eastAsia"/>
              </w:rPr>
              <w:t>无攻击</w:t>
            </w:r>
          </w:p>
        </w:tc>
        <w:tc>
          <w:tcPr>
            <w:tcW w:w="772" w:type="dxa"/>
            <w:tcBorders>
              <w:top w:val="single" w:color="auto" w:sz="4" w:space="0"/>
              <w:left w:val="nil"/>
              <w:bottom w:val="nil"/>
              <w:right w:val="nil"/>
            </w:tcBorders>
            <w:vAlign w:val="center"/>
          </w:tcPr>
          <w:p w14:paraId="101201B6">
            <w:pPr>
              <w:pStyle w:val="94"/>
            </w:pPr>
            <w:r>
              <w:rPr>
                <w:rFonts w:hint="eastAsia"/>
              </w:rPr>
              <w:t>NA</w:t>
            </w:r>
          </w:p>
        </w:tc>
        <w:tc>
          <w:tcPr>
            <w:tcW w:w="772" w:type="dxa"/>
            <w:tcBorders>
              <w:top w:val="single" w:color="auto" w:sz="4" w:space="0"/>
              <w:left w:val="nil"/>
              <w:bottom w:val="nil"/>
              <w:right w:val="nil"/>
            </w:tcBorders>
            <w:vAlign w:val="center"/>
          </w:tcPr>
          <w:p w14:paraId="1DD86702">
            <w:pPr>
              <w:pStyle w:val="94"/>
            </w:pPr>
            <w:r>
              <w:rPr>
                <w:rFonts w:hint="eastAsia"/>
              </w:rPr>
              <w:t>100</w:t>
            </w:r>
          </w:p>
        </w:tc>
        <w:tc>
          <w:tcPr>
            <w:tcW w:w="772" w:type="dxa"/>
            <w:tcBorders>
              <w:top w:val="single" w:color="auto" w:sz="4" w:space="0"/>
              <w:left w:val="nil"/>
              <w:bottom w:val="nil"/>
              <w:right w:val="nil"/>
            </w:tcBorders>
            <w:vAlign w:val="center"/>
          </w:tcPr>
          <w:p w14:paraId="11F47193">
            <w:pPr>
              <w:pStyle w:val="94"/>
            </w:pPr>
            <w:r>
              <w:rPr>
                <w:rFonts w:hint="eastAsia"/>
              </w:rPr>
              <w:t>NA</w:t>
            </w:r>
          </w:p>
        </w:tc>
        <w:tc>
          <w:tcPr>
            <w:tcW w:w="772" w:type="dxa"/>
            <w:tcBorders>
              <w:top w:val="single" w:color="auto" w:sz="4" w:space="0"/>
              <w:left w:val="nil"/>
              <w:bottom w:val="nil"/>
              <w:right w:val="nil"/>
            </w:tcBorders>
            <w:vAlign w:val="center"/>
          </w:tcPr>
          <w:p w14:paraId="69B5D091">
            <w:pPr>
              <w:pStyle w:val="94"/>
            </w:pPr>
            <w:r>
              <w:rPr>
                <w:rFonts w:hint="eastAsia"/>
              </w:rPr>
              <w:t>100</w:t>
            </w:r>
          </w:p>
        </w:tc>
        <w:tc>
          <w:tcPr>
            <w:tcW w:w="772" w:type="dxa"/>
            <w:tcBorders>
              <w:top w:val="single" w:color="auto" w:sz="4" w:space="0"/>
              <w:left w:val="nil"/>
              <w:bottom w:val="nil"/>
              <w:right w:val="nil"/>
            </w:tcBorders>
            <w:vAlign w:val="center"/>
          </w:tcPr>
          <w:p w14:paraId="7F0F4568">
            <w:pPr>
              <w:pStyle w:val="94"/>
            </w:pPr>
            <w:r>
              <w:rPr>
                <w:rFonts w:hint="eastAsia"/>
              </w:rPr>
              <w:t>NA</w:t>
            </w:r>
          </w:p>
        </w:tc>
        <w:tc>
          <w:tcPr>
            <w:tcW w:w="772" w:type="dxa"/>
            <w:tcBorders>
              <w:top w:val="single" w:color="auto" w:sz="4" w:space="0"/>
              <w:left w:val="nil"/>
              <w:bottom w:val="nil"/>
              <w:right w:val="nil"/>
            </w:tcBorders>
            <w:vAlign w:val="center"/>
          </w:tcPr>
          <w:p w14:paraId="07E694DB">
            <w:pPr>
              <w:pStyle w:val="94"/>
            </w:pPr>
            <w:r>
              <w:rPr>
                <w:rFonts w:hint="eastAsia"/>
              </w:rPr>
              <w:t>100</w:t>
            </w:r>
          </w:p>
        </w:tc>
        <w:tc>
          <w:tcPr>
            <w:tcW w:w="772" w:type="dxa"/>
            <w:tcBorders>
              <w:top w:val="single" w:color="auto" w:sz="4" w:space="0"/>
              <w:left w:val="nil"/>
              <w:bottom w:val="nil"/>
              <w:right w:val="nil"/>
            </w:tcBorders>
            <w:vAlign w:val="center"/>
          </w:tcPr>
          <w:p w14:paraId="33E94297">
            <w:pPr>
              <w:pStyle w:val="94"/>
            </w:pPr>
            <w:r>
              <w:rPr>
                <w:rFonts w:hint="eastAsia"/>
              </w:rPr>
              <w:t>NA</w:t>
            </w:r>
          </w:p>
        </w:tc>
        <w:tc>
          <w:tcPr>
            <w:tcW w:w="772" w:type="dxa"/>
            <w:tcBorders>
              <w:top w:val="single" w:color="auto" w:sz="4" w:space="0"/>
              <w:left w:val="nil"/>
              <w:bottom w:val="nil"/>
              <w:right w:val="nil"/>
            </w:tcBorders>
            <w:vAlign w:val="center"/>
          </w:tcPr>
          <w:p w14:paraId="16AC7B11">
            <w:pPr>
              <w:pStyle w:val="94"/>
              <w:rPr>
                <w:rFonts w:hint="default" w:eastAsia="宋体"/>
                <w:lang w:val="en-US" w:eastAsia="zh-CN"/>
              </w:rPr>
            </w:pPr>
            <w:r>
              <w:rPr>
                <w:rFonts w:hint="eastAsia"/>
                <w:lang w:val="en-US" w:eastAsia="zh-CN"/>
              </w:rPr>
              <w:t>99.0</w:t>
            </w:r>
          </w:p>
        </w:tc>
      </w:tr>
      <w:tr w14:paraId="2AE8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1D92BF57">
            <w:pPr>
              <w:pStyle w:val="94"/>
            </w:pPr>
          </w:p>
        </w:tc>
        <w:tc>
          <w:tcPr>
            <w:tcW w:w="1430" w:type="dxa"/>
            <w:tcBorders>
              <w:top w:val="nil"/>
              <w:left w:val="nil"/>
              <w:bottom w:val="nil"/>
              <w:right w:val="nil"/>
            </w:tcBorders>
            <w:vAlign w:val="center"/>
          </w:tcPr>
          <w:p w14:paraId="21C33477">
            <w:pPr>
              <w:pStyle w:val="94"/>
            </w:pPr>
            <w:r>
              <w:rPr>
                <w:rFonts w:hint="eastAsia"/>
              </w:rPr>
              <w:t>PoisonedRAG</w:t>
            </w:r>
          </w:p>
        </w:tc>
        <w:tc>
          <w:tcPr>
            <w:tcW w:w="772" w:type="dxa"/>
            <w:tcBorders>
              <w:top w:val="nil"/>
              <w:left w:val="nil"/>
              <w:bottom w:val="nil"/>
              <w:right w:val="nil"/>
            </w:tcBorders>
            <w:vAlign w:val="center"/>
          </w:tcPr>
          <w:p w14:paraId="58C0741F">
            <w:pPr>
              <w:pStyle w:val="94"/>
              <w:rPr>
                <w:rFonts w:hint="default" w:eastAsia="宋体"/>
                <w:lang w:val="en-US" w:eastAsia="zh-CN"/>
              </w:rPr>
            </w:pPr>
            <w:r>
              <w:rPr>
                <w:rFonts w:hint="eastAsia"/>
                <w:lang w:val="en-US" w:eastAsia="zh-CN"/>
              </w:rPr>
              <w:t>82.0</w:t>
            </w:r>
          </w:p>
        </w:tc>
        <w:tc>
          <w:tcPr>
            <w:tcW w:w="772" w:type="dxa"/>
            <w:tcBorders>
              <w:top w:val="nil"/>
              <w:left w:val="nil"/>
              <w:bottom w:val="nil"/>
              <w:right w:val="nil"/>
            </w:tcBorders>
            <w:vAlign w:val="center"/>
          </w:tcPr>
          <w:p w14:paraId="6A33C09F">
            <w:pPr>
              <w:pStyle w:val="94"/>
              <w:rPr>
                <w:rFonts w:hint="default" w:eastAsia="宋体"/>
                <w:lang w:val="en-US" w:eastAsia="zh-CN"/>
              </w:rPr>
            </w:pPr>
            <w:r>
              <w:rPr>
                <w:rFonts w:hint="eastAsia"/>
              </w:rPr>
              <w:t>83</w:t>
            </w:r>
            <w:r>
              <w:rPr>
                <w:rFonts w:hint="eastAsia"/>
                <w:lang w:val="en-US" w:eastAsia="zh-CN"/>
              </w:rPr>
              <w:t>.0</w:t>
            </w:r>
          </w:p>
        </w:tc>
        <w:tc>
          <w:tcPr>
            <w:tcW w:w="772" w:type="dxa"/>
            <w:tcBorders>
              <w:top w:val="nil"/>
              <w:left w:val="nil"/>
              <w:bottom w:val="nil"/>
              <w:right w:val="nil"/>
            </w:tcBorders>
            <w:vAlign w:val="center"/>
          </w:tcPr>
          <w:p w14:paraId="5E717B29">
            <w:pPr>
              <w:pStyle w:val="94"/>
              <w:rPr>
                <w:rFonts w:hint="default" w:eastAsia="宋体"/>
                <w:lang w:val="en-US" w:eastAsia="zh-CN"/>
              </w:rPr>
            </w:pPr>
            <w:r>
              <w:rPr>
                <w:rFonts w:hint="eastAsia"/>
              </w:rPr>
              <w:t>84</w:t>
            </w:r>
            <w:r>
              <w:rPr>
                <w:rFonts w:hint="eastAsia"/>
                <w:lang w:val="en-US" w:eastAsia="zh-CN"/>
              </w:rPr>
              <w:t>.0</w:t>
            </w:r>
          </w:p>
        </w:tc>
        <w:tc>
          <w:tcPr>
            <w:tcW w:w="772" w:type="dxa"/>
            <w:tcBorders>
              <w:top w:val="nil"/>
              <w:left w:val="nil"/>
              <w:bottom w:val="nil"/>
              <w:right w:val="nil"/>
            </w:tcBorders>
            <w:vAlign w:val="center"/>
          </w:tcPr>
          <w:p w14:paraId="428EC736">
            <w:pPr>
              <w:pStyle w:val="94"/>
            </w:pPr>
            <w:r>
              <w:rPr>
                <w:rFonts w:hint="eastAsia"/>
              </w:rPr>
              <w:t>87.0</w:t>
            </w:r>
          </w:p>
        </w:tc>
        <w:tc>
          <w:tcPr>
            <w:tcW w:w="772" w:type="dxa"/>
            <w:tcBorders>
              <w:top w:val="nil"/>
              <w:left w:val="nil"/>
              <w:bottom w:val="nil"/>
              <w:right w:val="nil"/>
            </w:tcBorders>
            <w:vAlign w:val="center"/>
          </w:tcPr>
          <w:p w14:paraId="7A7D2AFF">
            <w:pPr>
              <w:pStyle w:val="94"/>
              <w:rPr>
                <w:rFonts w:hint="default" w:eastAsia="宋体"/>
                <w:lang w:val="en-US" w:eastAsia="zh-CN"/>
              </w:rPr>
            </w:pPr>
            <w:r>
              <w:rPr>
                <w:rFonts w:hint="eastAsia"/>
              </w:rPr>
              <w:t>8</w:t>
            </w:r>
            <w:r>
              <w:rPr>
                <w:rFonts w:hint="eastAsia"/>
                <w:lang w:val="en-US" w:eastAsia="zh-CN"/>
              </w:rPr>
              <w:t>6.0</w:t>
            </w:r>
          </w:p>
        </w:tc>
        <w:tc>
          <w:tcPr>
            <w:tcW w:w="772" w:type="dxa"/>
            <w:tcBorders>
              <w:top w:val="nil"/>
              <w:left w:val="nil"/>
              <w:bottom w:val="nil"/>
              <w:right w:val="nil"/>
            </w:tcBorders>
            <w:vAlign w:val="center"/>
          </w:tcPr>
          <w:p w14:paraId="2EE7644F">
            <w:pPr>
              <w:pStyle w:val="94"/>
              <w:rPr>
                <w:rFonts w:hint="default" w:eastAsia="宋体"/>
                <w:lang w:val="en-US" w:eastAsia="zh-CN"/>
              </w:rPr>
            </w:pPr>
            <w:r>
              <w:rPr>
                <w:rFonts w:hint="eastAsia"/>
                <w:lang w:val="en-US" w:eastAsia="zh-CN"/>
              </w:rPr>
              <w:t>88.0</w:t>
            </w:r>
          </w:p>
        </w:tc>
        <w:tc>
          <w:tcPr>
            <w:tcW w:w="772" w:type="dxa"/>
            <w:tcBorders>
              <w:top w:val="nil"/>
              <w:left w:val="nil"/>
              <w:bottom w:val="nil"/>
              <w:right w:val="nil"/>
            </w:tcBorders>
            <w:vAlign w:val="center"/>
          </w:tcPr>
          <w:p w14:paraId="7E000549">
            <w:pPr>
              <w:pStyle w:val="94"/>
              <w:rPr>
                <w:rFonts w:hint="default" w:eastAsia="宋体"/>
                <w:lang w:val="en-US" w:eastAsia="zh-CN"/>
              </w:rPr>
            </w:pPr>
            <w:r>
              <w:rPr>
                <w:rFonts w:hint="eastAsia"/>
              </w:rPr>
              <w:t>96</w:t>
            </w:r>
            <w:r>
              <w:rPr>
                <w:rFonts w:hint="eastAsia"/>
                <w:lang w:val="en-US" w:eastAsia="zh-CN"/>
              </w:rPr>
              <w:t>.0</w:t>
            </w:r>
          </w:p>
        </w:tc>
        <w:tc>
          <w:tcPr>
            <w:tcW w:w="772" w:type="dxa"/>
            <w:tcBorders>
              <w:top w:val="nil"/>
              <w:left w:val="nil"/>
              <w:bottom w:val="nil"/>
              <w:right w:val="nil"/>
            </w:tcBorders>
            <w:vAlign w:val="center"/>
          </w:tcPr>
          <w:p w14:paraId="61D7B282">
            <w:pPr>
              <w:pStyle w:val="94"/>
              <w:rPr>
                <w:rFonts w:hint="default" w:eastAsia="宋体"/>
                <w:lang w:val="en-US" w:eastAsia="zh-CN"/>
              </w:rPr>
            </w:pPr>
            <w:r>
              <w:rPr>
                <w:rFonts w:hint="eastAsia"/>
              </w:rPr>
              <w:t>97</w:t>
            </w:r>
            <w:r>
              <w:rPr>
                <w:rFonts w:hint="eastAsia"/>
                <w:lang w:val="en-US" w:eastAsia="zh-CN"/>
              </w:rPr>
              <w:t>.0</w:t>
            </w:r>
          </w:p>
        </w:tc>
      </w:tr>
      <w:tr w14:paraId="5B880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26724453">
            <w:pPr>
              <w:pStyle w:val="94"/>
            </w:pPr>
          </w:p>
        </w:tc>
        <w:tc>
          <w:tcPr>
            <w:tcW w:w="1430" w:type="dxa"/>
            <w:tcBorders>
              <w:top w:val="nil"/>
              <w:left w:val="nil"/>
              <w:bottom w:val="nil"/>
              <w:right w:val="nil"/>
            </w:tcBorders>
            <w:vAlign w:val="center"/>
          </w:tcPr>
          <w:p w14:paraId="08B3F30E">
            <w:pPr>
              <w:pStyle w:val="94"/>
            </w:pPr>
            <w:r>
              <w:rPr>
                <w:rFonts w:hint="eastAsia"/>
              </w:rPr>
              <w:t>PIA</w:t>
            </w:r>
          </w:p>
        </w:tc>
        <w:tc>
          <w:tcPr>
            <w:tcW w:w="772" w:type="dxa"/>
            <w:tcBorders>
              <w:top w:val="nil"/>
              <w:left w:val="nil"/>
              <w:bottom w:val="nil"/>
              <w:right w:val="nil"/>
            </w:tcBorders>
            <w:vAlign w:val="center"/>
          </w:tcPr>
          <w:p w14:paraId="7A801DD3">
            <w:pPr>
              <w:pStyle w:val="94"/>
              <w:rPr>
                <w:rFonts w:hint="default" w:eastAsia="宋体"/>
                <w:lang w:val="en-US" w:eastAsia="zh-CN"/>
              </w:rPr>
            </w:pPr>
            <w:r>
              <w:rPr>
                <w:rFonts w:hint="eastAsia"/>
                <w:lang w:val="en-US" w:eastAsia="zh-CN"/>
              </w:rPr>
              <w:t>78.0</w:t>
            </w:r>
          </w:p>
        </w:tc>
        <w:tc>
          <w:tcPr>
            <w:tcW w:w="772" w:type="dxa"/>
            <w:tcBorders>
              <w:top w:val="nil"/>
              <w:left w:val="nil"/>
              <w:bottom w:val="nil"/>
              <w:right w:val="nil"/>
            </w:tcBorders>
            <w:vAlign w:val="center"/>
          </w:tcPr>
          <w:p w14:paraId="20051B45">
            <w:pPr>
              <w:pStyle w:val="94"/>
              <w:rPr>
                <w:rFonts w:hint="default" w:eastAsia="宋体"/>
                <w:lang w:val="en-US" w:eastAsia="zh-CN"/>
              </w:rPr>
            </w:pPr>
            <w:r>
              <w:rPr>
                <w:rFonts w:hint="eastAsia"/>
                <w:lang w:val="en-US" w:eastAsia="zh-CN"/>
              </w:rPr>
              <w:t>82.0</w:t>
            </w:r>
          </w:p>
        </w:tc>
        <w:tc>
          <w:tcPr>
            <w:tcW w:w="772" w:type="dxa"/>
            <w:tcBorders>
              <w:top w:val="nil"/>
              <w:left w:val="nil"/>
              <w:bottom w:val="nil"/>
              <w:right w:val="nil"/>
            </w:tcBorders>
            <w:vAlign w:val="center"/>
          </w:tcPr>
          <w:p w14:paraId="7EF3E407">
            <w:pPr>
              <w:pStyle w:val="94"/>
              <w:rPr>
                <w:rFonts w:hint="default" w:eastAsia="宋体"/>
                <w:lang w:val="en-US" w:eastAsia="zh-CN"/>
              </w:rPr>
            </w:pPr>
            <w:r>
              <w:rPr>
                <w:rFonts w:hint="eastAsia"/>
                <w:lang w:val="en-US" w:eastAsia="zh-CN"/>
              </w:rPr>
              <w:t>85.0</w:t>
            </w:r>
          </w:p>
        </w:tc>
        <w:tc>
          <w:tcPr>
            <w:tcW w:w="772" w:type="dxa"/>
            <w:tcBorders>
              <w:top w:val="nil"/>
              <w:left w:val="nil"/>
              <w:bottom w:val="nil"/>
              <w:right w:val="nil"/>
            </w:tcBorders>
            <w:vAlign w:val="center"/>
          </w:tcPr>
          <w:p w14:paraId="6D7FE90F">
            <w:pPr>
              <w:pStyle w:val="94"/>
            </w:pPr>
            <w:r>
              <w:rPr>
                <w:rFonts w:hint="eastAsia"/>
              </w:rPr>
              <w:t>87.0</w:t>
            </w:r>
          </w:p>
        </w:tc>
        <w:tc>
          <w:tcPr>
            <w:tcW w:w="772" w:type="dxa"/>
            <w:tcBorders>
              <w:top w:val="nil"/>
              <w:left w:val="nil"/>
              <w:bottom w:val="nil"/>
              <w:right w:val="nil"/>
            </w:tcBorders>
            <w:vAlign w:val="center"/>
          </w:tcPr>
          <w:p w14:paraId="5F1CE2DA">
            <w:pPr>
              <w:pStyle w:val="94"/>
              <w:rPr>
                <w:rFonts w:hint="default" w:eastAsia="宋体"/>
                <w:lang w:val="en-US" w:eastAsia="zh-CN"/>
              </w:rPr>
            </w:pPr>
            <w:r>
              <w:rPr>
                <w:rFonts w:hint="eastAsia"/>
                <w:lang w:val="en-US" w:eastAsia="zh-CN"/>
              </w:rPr>
              <w:t>89.0</w:t>
            </w:r>
          </w:p>
        </w:tc>
        <w:tc>
          <w:tcPr>
            <w:tcW w:w="772" w:type="dxa"/>
            <w:tcBorders>
              <w:top w:val="nil"/>
              <w:left w:val="nil"/>
              <w:bottom w:val="nil"/>
              <w:right w:val="nil"/>
            </w:tcBorders>
            <w:vAlign w:val="center"/>
          </w:tcPr>
          <w:p w14:paraId="7237AF84">
            <w:pPr>
              <w:pStyle w:val="94"/>
            </w:pPr>
            <w:r>
              <w:rPr>
                <w:rFonts w:hint="eastAsia"/>
              </w:rPr>
              <w:t>91.0</w:t>
            </w:r>
          </w:p>
        </w:tc>
        <w:tc>
          <w:tcPr>
            <w:tcW w:w="772" w:type="dxa"/>
            <w:tcBorders>
              <w:top w:val="nil"/>
              <w:left w:val="nil"/>
              <w:bottom w:val="nil"/>
              <w:right w:val="nil"/>
            </w:tcBorders>
            <w:vAlign w:val="center"/>
          </w:tcPr>
          <w:p w14:paraId="5D55517D">
            <w:pPr>
              <w:pStyle w:val="94"/>
            </w:pPr>
            <w:r>
              <w:rPr>
                <w:rFonts w:hint="eastAsia"/>
              </w:rPr>
              <w:t>93.0</w:t>
            </w:r>
          </w:p>
        </w:tc>
        <w:tc>
          <w:tcPr>
            <w:tcW w:w="772" w:type="dxa"/>
            <w:tcBorders>
              <w:top w:val="nil"/>
              <w:left w:val="nil"/>
              <w:bottom w:val="nil"/>
              <w:right w:val="nil"/>
            </w:tcBorders>
            <w:vAlign w:val="center"/>
          </w:tcPr>
          <w:p w14:paraId="2D24100A">
            <w:pPr>
              <w:pStyle w:val="94"/>
            </w:pPr>
            <w:r>
              <w:rPr>
                <w:rFonts w:hint="eastAsia"/>
              </w:rPr>
              <w:t>98.0</w:t>
            </w:r>
          </w:p>
        </w:tc>
      </w:tr>
      <w:tr w14:paraId="778C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0D1FAD02">
            <w:pPr>
              <w:pStyle w:val="94"/>
            </w:pPr>
          </w:p>
        </w:tc>
        <w:tc>
          <w:tcPr>
            <w:tcW w:w="1430" w:type="dxa"/>
            <w:tcBorders>
              <w:top w:val="nil"/>
              <w:left w:val="nil"/>
              <w:bottom w:val="nil"/>
              <w:right w:val="nil"/>
            </w:tcBorders>
            <w:vAlign w:val="center"/>
          </w:tcPr>
          <w:p w14:paraId="133CEC2A">
            <w:pPr>
              <w:pStyle w:val="94"/>
            </w:pPr>
            <w:r>
              <w:rPr>
                <w:rFonts w:hint="eastAsia"/>
              </w:rPr>
              <w:t>本文攻击</w:t>
            </w:r>
          </w:p>
        </w:tc>
        <w:tc>
          <w:tcPr>
            <w:tcW w:w="772" w:type="dxa"/>
            <w:tcBorders>
              <w:top w:val="nil"/>
              <w:left w:val="nil"/>
              <w:bottom w:val="nil"/>
              <w:right w:val="nil"/>
            </w:tcBorders>
            <w:vAlign w:val="center"/>
          </w:tcPr>
          <w:p w14:paraId="233CB0D8">
            <w:pPr>
              <w:pStyle w:val="94"/>
            </w:pPr>
            <w:r>
              <w:rPr>
                <w:rFonts w:hint="eastAsia"/>
              </w:rPr>
              <w:t>77.0</w:t>
            </w:r>
          </w:p>
        </w:tc>
        <w:tc>
          <w:tcPr>
            <w:tcW w:w="772" w:type="dxa"/>
            <w:tcBorders>
              <w:top w:val="nil"/>
              <w:left w:val="nil"/>
              <w:bottom w:val="nil"/>
              <w:right w:val="nil"/>
            </w:tcBorders>
            <w:vAlign w:val="center"/>
          </w:tcPr>
          <w:p w14:paraId="6A59210A">
            <w:pPr>
              <w:pStyle w:val="94"/>
              <w:rPr>
                <w:rFonts w:hint="default" w:eastAsia="宋体"/>
                <w:lang w:val="en-US" w:eastAsia="zh-CN"/>
              </w:rPr>
            </w:pPr>
            <w:r>
              <w:rPr>
                <w:rFonts w:hint="eastAsia"/>
                <w:lang w:val="en-US" w:eastAsia="zh-CN"/>
              </w:rPr>
              <w:t>80.0</w:t>
            </w:r>
          </w:p>
        </w:tc>
        <w:tc>
          <w:tcPr>
            <w:tcW w:w="772" w:type="dxa"/>
            <w:tcBorders>
              <w:top w:val="nil"/>
              <w:left w:val="nil"/>
              <w:bottom w:val="nil"/>
              <w:right w:val="nil"/>
            </w:tcBorders>
            <w:vAlign w:val="center"/>
          </w:tcPr>
          <w:p w14:paraId="78555CEA">
            <w:pPr>
              <w:pStyle w:val="94"/>
              <w:rPr>
                <w:rFonts w:hint="default" w:eastAsia="宋体"/>
                <w:lang w:val="en-US" w:eastAsia="zh-CN"/>
              </w:rPr>
            </w:pPr>
            <w:r>
              <w:rPr>
                <w:rFonts w:hint="eastAsia"/>
              </w:rPr>
              <w:t>8</w:t>
            </w:r>
            <w:r>
              <w:rPr>
                <w:rFonts w:hint="eastAsia"/>
                <w:lang w:val="en-US" w:eastAsia="zh-CN"/>
              </w:rPr>
              <w:t>1.0</w:t>
            </w:r>
          </w:p>
        </w:tc>
        <w:tc>
          <w:tcPr>
            <w:tcW w:w="772" w:type="dxa"/>
            <w:tcBorders>
              <w:top w:val="nil"/>
              <w:left w:val="nil"/>
              <w:bottom w:val="nil"/>
              <w:right w:val="nil"/>
            </w:tcBorders>
            <w:vAlign w:val="center"/>
          </w:tcPr>
          <w:p w14:paraId="7DDA6681">
            <w:pPr>
              <w:pStyle w:val="94"/>
              <w:rPr>
                <w:rFonts w:hint="default" w:eastAsia="宋体"/>
                <w:lang w:val="en-US" w:eastAsia="zh-CN"/>
              </w:rPr>
            </w:pPr>
            <w:r>
              <w:rPr>
                <w:rFonts w:hint="eastAsia"/>
                <w:lang w:val="en-US" w:eastAsia="zh-CN"/>
              </w:rPr>
              <w:t>83.0</w:t>
            </w:r>
          </w:p>
        </w:tc>
        <w:tc>
          <w:tcPr>
            <w:tcW w:w="772" w:type="dxa"/>
            <w:tcBorders>
              <w:top w:val="nil"/>
              <w:left w:val="nil"/>
              <w:bottom w:val="nil"/>
              <w:right w:val="nil"/>
            </w:tcBorders>
            <w:vAlign w:val="center"/>
          </w:tcPr>
          <w:p w14:paraId="3E9B597A">
            <w:pPr>
              <w:pStyle w:val="94"/>
              <w:rPr>
                <w:rFonts w:hint="default" w:eastAsia="宋体"/>
                <w:lang w:val="en-US" w:eastAsia="zh-CN"/>
              </w:rPr>
            </w:pPr>
            <w:r>
              <w:rPr>
                <w:rFonts w:hint="eastAsia"/>
                <w:lang w:val="en-US" w:eastAsia="zh-CN"/>
              </w:rPr>
              <w:t>85.0</w:t>
            </w:r>
          </w:p>
        </w:tc>
        <w:tc>
          <w:tcPr>
            <w:tcW w:w="772" w:type="dxa"/>
            <w:tcBorders>
              <w:top w:val="nil"/>
              <w:left w:val="nil"/>
              <w:bottom w:val="nil"/>
              <w:right w:val="nil"/>
            </w:tcBorders>
            <w:vAlign w:val="center"/>
          </w:tcPr>
          <w:p w14:paraId="68C46579">
            <w:pPr>
              <w:pStyle w:val="94"/>
              <w:rPr>
                <w:rFonts w:hint="default" w:eastAsia="宋体"/>
                <w:lang w:val="en-US" w:eastAsia="zh-CN"/>
              </w:rPr>
            </w:pPr>
            <w:r>
              <w:rPr>
                <w:rFonts w:hint="eastAsia"/>
                <w:lang w:val="en-US" w:eastAsia="zh-CN"/>
              </w:rPr>
              <w:t>86.0</w:t>
            </w:r>
          </w:p>
        </w:tc>
        <w:tc>
          <w:tcPr>
            <w:tcW w:w="772" w:type="dxa"/>
            <w:tcBorders>
              <w:top w:val="nil"/>
              <w:left w:val="nil"/>
              <w:bottom w:val="nil"/>
              <w:right w:val="nil"/>
            </w:tcBorders>
            <w:vAlign w:val="center"/>
          </w:tcPr>
          <w:p w14:paraId="5175D016">
            <w:pPr>
              <w:pStyle w:val="94"/>
              <w:rPr>
                <w:rFonts w:hint="default" w:eastAsia="宋体"/>
                <w:lang w:val="en-US" w:eastAsia="zh-CN"/>
              </w:rPr>
            </w:pPr>
            <w:r>
              <w:rPr>
                <w:rFonts w:hint="eastAsia"/>
                <w:lang w:val="en-US" w:eastAsia="zh-CN"/>
              </w:rPr>
              <w:t>94.0</w:t>
            </w:r>
          </w:p>
        </w:tc>
        <w:tc>
          <w:tcPr>
            <w:tcW w:w="772" w:type="dxa"/>
            <w:tcBorders>
              <w:top w:val="nil"/>
              <w:left w:val="nil"/>
              <w:bottom w:val="nil"/>
              <w:right w:val="nil"/>
            </w:tcBorders>
            <w:vAlign w:val="center"/>
          </w:tcPr>
          <w:p w14:paraId="2FBCC2DF">
            <w:pPr>
              <w:pStyle w:val="94"/>
              <w:rPr>
                <w:rFonts w:hint="default" w:eastAsia="宋体"/>
                <w:lang w:val="en-US" w:eastAsia="zh-CN"/>
              </w:rPr>
            </w:pPr>
            <w:r>
              <w:rPr>
                <w:rFonts w:hint="eastAsia"/>
                <w:lang w:val="en-US" w:eastAsia="zh-CN"/>
              </w:rPr>
              <w:t>98.0</w:t>
            </w:r>
          </w:p>
        </w:tc>
      </w:tr>
      <w:tr w14:paraId="4F53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restart"/>
            <w:tcBorders>
              <w:top w:val="nil"/>
              <w:left w:val="nil"/>
              <w:bottom w:val="nil"/>
              <w:right w:val="nil"/>
            </w:tcBorders>
            <w:vAlign w:val="center"/>
          </w:tcPr>
          <w:p w14:paraId="6A048B16">
            <w:pPr>
              <w:pStyle w:val="94"/>
            </w:pPr>
            <w:r>
              <w:rPr>
                <w:rFonts w:hint="eastAsia"/>
                <w:lang w:val="en-US" w:eastAsia="zh-CN"/>
              </w:rPr>
              <w:t>FinQA</w:t>
            </w:r>
          </w:p>
        </w:tc>
        <w:tc>
          <w:tcPr>
            <w:tcW w:w="1430" w:type="dxa"/>
            <w:tcBorders>
              <w:top w:val="nil"/>
              <w:left w:val="nil"/>
              <w:bottom w:val="nil"/>
              <w:right w:val="nil"/>
            </w:tcBorders>
            <w:vAlign w:val="center"/>
          </w:tcPr>
          <w:p w14:paraId="4B58B41E">
            <w:pPr>
              <w:pStyle w:val="94"/>
            </w:pPr>
            <w:r>
              <w:rPr>
                <w:rFonts w:hint="eastAsia"/>
              </w:rPr>
              <w:t>无攻击</w:t>
            </w:r>
          </w:p>
        </w:tc>
        <w:tc>
          <w:tcPr>
            <w:tcW w:w="772" w:type="dxa"/>
            <w:tcBorders>
              <w:top w:val="nil"/>
              <w:left w:val="nil"/>
              <w:bottom w:val="nil"/>
              <w:right w:val="nil"/>
            </w:tcBorders>
            <w:vAlign w:val="center"/>
          </w:tcPr>
          <w:p w14:paraId="2502B6AC">
            <w:pPr>
              <w:pStyle w:val="94"/>
            </w:pPr>
            <w:r>
              <w:rPr>
                <w:rFonts w:hint="eastAsia"/>
              </w:rPr>
              <w:t>NA</w:t>
            </w:r>
          </w:p>
        </w:tc>
        <w:tc>
          <w:tcPr>
            <w:tcW w:w="772" w:type="dxa"/>
            <w:tcBorders>
              <w:top w:val="nil"/>
              <w:left w:val="nil"/>
              <w:bottom w:val="nil"/>
              <w:right w:val="nil"/>
            </w:tcBorders>
            <w:vAlign w:val="center"/>
          </w:tcPr>
          <w:p w14:paraId="74269ACE">
            <w:pPr>
              <w:pStyle w:val="94"/>
              <w:rPr>
                <w:rFonts w:hint="default" w:eastAsia="宋体"/>
                <w:lang w:val="en-US" w:eastAsia="zh-CN"/>
              </w:rPr>
            </w:pPr>
            <w:r>
              <w:rPr>
                <w:rFonts w:hint="eastAsia"/>
                <w:lang w:val="en-US" w:eastAsia="zh-CN"/>
              </w:rPr>
              <w:t>100</w:t>
            </w:r>
          </w:p>
        </w:tc>
        <w:tc>
          <w:tcPr>
            <w:tcW w:w="772" w:type="dxa"/>
            <w:tcBorders>
              <w:top w:val="nil"/>
              <w:left w:val="nil"/>
              <w:bottom w:val="nil"/>
              <w:right w:val="nil"/>
            </w:tcBorders>
            <w:vAlign w:val="center"/>
          </w:tcPr>
          <w:p w14:paraId="080DC521">
            <w:pPr>
              <w:pStyle w:val="94"/>
            </w:pPr>
            <w:r>
              <w:rPr>
                <w:rFonts w:hint="eastAsia"/>
              </w:rPr>
              <w:t>NA</w:t>
            </w:r>
          </w:p>
        </w:tc>
        <w:tc>
          <w:tcPr>
            <w:tcW w:w="772" w:type="dxa"/>
            <w:tcBorders>
              <w:top w:val="nil"/>
              <w:left w:val="nil"/>
              <w:bottom w:val="nil"/>
              <w:right w:val="nil"/>
            </w:tcBorders>
            <w:vAlign w:val="center"/>
          </w:tcPr>
          <w:p w14:paraId="135032DF">
            <w:pPr>
              <w:pStyle w:val="94"/>
            </w:pPr>
            <w:r>
              <w:rPr>
                <w:rFonts w:hint="eastAsia"/>
              </w:rPr>
              <w:t>100</w:t>
            </w:r>
          </w:p>
        </w:tc>
        <w:tc>
          <w:tcPr>
            <w:tcW w:w="772" w:type="dxa"/>
            <w:tcBorders>
              <w:top w:val="nil"/>
              <w:left w:val="nil"/>
              <w:bottom w:val="nil"/>
              <w:right w:val="nil"/>
            </w:tcBorders>
            <w:vAlign w:val="center"/>
          </w:tcPr>
          <w:p w14:paraId="06BC4B1D">
            <w:pPr>
              <w:pStyle w:val="94"/>
            </w:pPr>
            <w:r>
              <w:rPr>
                <w:rFonts w:hint="eastAsia"/>
              </w:rPr>
              <w:t>NA</w:t>
            </w:r>
          </w:p>
        </w:tc>
        <w:tc>
          <w:tcPr>
            <w:tcW w:w="772" w:type="dxa"/>
            <w:tcBorders>
              <w:top w:val="nil"/>
              <w:left w:val="nil"/>
              <w:bottom w:val="nil"/>
              <w:right w:val="nil"/>
            </w:tcBorders>
            <w:vAlign w:val="center"/>
          </w:tcPr>
          <w:p w14:paraId="009A508F">
            <w:pPr>
              <w:pStyle w:val="94"/>
              <w:rPr>
                <w:rFonts w:hint="default" w:eastAsia="宋体"/>
                <w:lang w:val="en-US" w:eastAsia="zh-CN"/>
              </w:rPr>
            </w:pPr>
            <w:r>
              <w:rPr>
                <w:rFonts w:hint="eastAsia"/>
                <w:lang w:val="en-US" w:eastAsia="zh-CN"/>
              </w:rPr>
              <w:t>99.0</w:t>
            </w:r>
          </w:p>
        </w:tc>
        <w:tc>
          <w:tcPr>
            <w:tcW w:w="772" w:type="dxa"/>
            <w:tcBorders>
              <w:top w:val="nil"/>
              <w:left w:val="nil"/>
              <w:bottom w:val="nil"/>
              <w:right w:val="nil"/>
            </w:tcBorders>
            <w:vAlign w:val="center"/>
          </w:tcPr>
          <w:p w14:paraId="3B113A31">
            <w:pPr>
              <w:pStyle w:val="94"/>
            </w:pPr>
            <w:r>
              <w:rPr>
                <w:rFonts w:hint="eastAsia"/>
              </w:rPr>
              <w:t>NA</w:t>
            </w:r>
          </w:p>
        </w:tc>
        <w:tc>
          <w:tcPr>
            <w:tcW w:w="772" w:type="dxa"/>
            <w:tcBorders>
              <w:top w:val="nil"/>
              <w:left w:val="nil"/>
              <w:bottom w:val="nil"/>
              <w:right w:val="nil"/>
            </w:tcBorders>
            <w:vAlign w:val="center"/>
          </w:tcPr>
          <w:p w14:paraId="1EF24524">
            <w:pPr>
              <w:pStyle w:val="94"/>
              <w:rPr>
                <w:rFonts w:hint="default" w:eastAsia="宋体"/>
                <w:lang w:val="en-US" w:eastAsia="zh-CN"/>
              </w:rPr>
            </w:pPr>
            <w:r>
              <w:rPr>
                <w:rFonts w:hint="eastAsia"/>
                <w:lang w:val="en-US" w:eastAsia="zh-CN"/>
              </w:rPr>
              <w:t>100</w:t>
            </w:r>
          </w:p>
        </w:tc>
      </w:tr>
      <w:tr w14:paraId="4221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488FCEAA">
            <w:pPr>
              <w:pStyle w:val="94"/>
            </w:pPr>
          </w:p>
        </w:tc>
        <w:tc>
          <w:tcPr>
            <w:tcW w:w="1430" w:type="dxa"/>
            <w:tcBorders>
              <w:top w:val="nil"/>
              <w:left w:val="nil"/>
              <w:bottom w:val="nil"/>
              <w:right w:val="nil"/>
            </w:tcBorders>
            <w:vAlign w:val="center"/>
          </w:tcPr>
          <w:p w14:paraId="4FF83B21">
            <w:pPr>
              <w:pStyle w:val="94"/>
            </w:pPr>
            <w:r>
              <w:rPr>
                <w:rFonts w:hint="eastAsia"/>
              </w:rPr>
              <w:t>PoisonedRAG</w:t>
            </w:r>
          </w:p>
        </w:tc>
        <w:tc>
          <w:tcPr>
            <w:tcW w:w="772" w:type="dxa"/>
            <w:tcBorders>
              <w:top w:val="nil"/>
              <w:left w:val="nil"/>
              <w:bottom w:val="nil"/>
              <w:right w:val="nil"/>
            </w:tcBorders>
            <w:vAlign w:val="center"/>
          </w:tcPr>
          <w:p w14:paraId="010145FF">
            <w:pPr>
              <w:pStyle w:val="94"/>
              <w:rPr>
                <w:rFonts w:hint="default" w:eastAsia="宋体"/>
                <w:lang w:val="en-US" w:eastAsia="zh-CN"/>
              </w:rPr>
            </w:pPr>
            <w:r>
              <w:rPr>
                <w:rFonts w:hint="eastAsia"/>
                <w:lang w:val="en-US" w:eastAsia="zh-CN"/>
              </w:rPr>
              <w:t>78.0</w:t>
            </w:r>
          </w:p>
        </w:tc>
        <w:tc>
          <w:tcPr>
            <w:tcW w:w="772" w:type="dxa"/>
            <w:tcBorders>
              <w:top w:val="nil"/>
              <w:left w:val="nil"/>
              <w:bottom w:val="nil"/>
              <w:right w:val="nil"/>
            </w:tcBorders>
            <w:vAlign w:val="center"/>
          </w:tcPr>
          <w:p w14:paraId="28E6F56B">
            <w:pPr>
              <w:pStyle w:val="94"/>
              <w:rPr>
                <w:rFonts w:hint="default" w:eastAsia="宋体"/>
                <w:lang w:val="en-US" w:eastAsia="zh-CN"/>
              </w:rPr>
            </w:pPr>
            <w:r>
              <w:rPr>
                <w:rFonts w:hint="eastAsia"/>
                <w:lang w:val="en-US" w:eastAsia="zh-CN"/>
              </w:rPr>
              <w:t>80.0</w:t>
            </w:r>
          </w:p>
        </w:tc>
        <w:tc>
          <w:tcPr>
            <w:tcW w:w="772" w:type="dxa"/>
            <w:tcBorders>
              <w:top w:val="nil"/>
              <w:left w:val="nil"/>
              <w:bottom w:val="nil"/>
              <w:right w:val="nil"/>
            </w:tcBorders>
            <w:vAlign w:val="center"/>
          </w:tcPr>
          <w:p w14:paraId="3F61E30A">
            <w:pPr>
              <w:pStyle w:val="94"/>
            </w:pPr>
            <w:r>
              <w:rPr>
                <w:rFonts w:hint="eastAsia"/>
              </w:rPr>
              <w:t>83.0</w:t>
            </w:r>
          </w:p>
        </w:tc>
        <w:tc>
          <w:tcPr>
            <w:tcW w:w="772" w:type="dxa"/>
            <w:tcBorders>
              <w:top w:val="nil"/>
              <w:left w:val="nil"/>
              <w:bottom w:val="nil"/>
              <w:right w:val="nil"/>
            </w:tcBorders>
            <w:vAlign w:val="center"/>
          </w:tcPr>
          <w:p w14:paraId="294FBB75">
            <w:pPr>
              <w:pStyle w:val="94"/>
              <w:rPr>
                <w:rFonts w:hint="eastAsia" w:eastAsia="宋体"/>
                <w:lang w:eastAsia="zh-CN"/>
              </w:rPr>
            </w:pPr>
            <w:r>
              <w:rPr>
                <w:rFonts w:hint="eastAsia"/>
              </w:rPr>
              <w:t>85.</w:t>
            </w:r>
            <w:r>
              <w:rPr>
                <w:rFonts w:hint="eastAsia"/>
                <w:lang w:val="en-US" w:eastAsia="zh-CN"/>
              </w:rPr>
              <w:t>0</w:t>
            </w:r>
          </w:p>
        </w:tc>
        <w:tc>
          <w:tcPr>
            <w:tcW w:w="772" w:type="dxa"/>
            <w:tcBorders>
              <w:top w:val="nil"/>
              <w:left w:val="nil"/>
              <w:bottom w:val="nil"/>
              <w:right w:val="nil"/>
            </w:tcBorders>
            <w:vAlign w:val="center"/>
          </w:tcPr>
          <w:p w14:paraId="72D737F1">
            <w:pPr>
              <w:pStyle w:val="94"/>
              <w:rPr>
                <w:rFonts w:hint="default" w:eastAsia="宋体"/>
                <w:lang w:val="en-US" w:eastAsia="zh-CN"/>
              </w:rPr>
            </w:pPr>
            <w:r>
              <w:rPr>
                <w:rFonts w:hint="eastAsia"/>
              </w:rPr>
              <w:t>8</w:t>
            </w:r>
            <w:r>
              <w:rPr>
                <w:rFonts w:hint="eastAsia"/>
                <w:lang w:val="en-US" w:eastAsia="zh-CN"/>
              </w:rPr>
              <w:t>7.0</w:t>
            </w:r>
          </w:p>
        </w:tc>
        <w:tc>
          <w:tcPr>
            <w:tcW w:w="772" w:type="dxa"/>
            <w:tcBorders>
              <w:top w:val="nil"/>
              <w:left w:val="nil"/>
              <w:bottom w:val="nil"/>
              <w:right w:val="nil"/>
            </w:tcBorders>
            <w:vAlign w:val="center"/>
          </w:tcPr>
          <w:p w14:paraId="4589FA7B">
            <w:pPr>
              <w:pStyle w:val="94"/>
              <w:rPr>
                <w:rFonts w:hint="default" w:eastAsia="宋体"/>
                <w:lang w:val="en-US" w:eastAsia="zh-CN"/>
              </w:rPr>
            </w:pPr>
            <w:r>
              <w:rPr>
                <w:rFonts w:hint="eastAsia"/>
                <w:lang w:val="en-US" w:eastAsia="zh-CN"/>
              </w:rPr>
              <w:t>90.0</w:t>
            </w:r>
          </w:p>
        </w:tc>
        <w:tc>
          <w:tcPr>
            <w:tcW w:w="772" w:type="dxa"/>
            <w:tcBorders>
              <w:top w:val="nil"/>
              <w:left w:val="nil"/>
              <w:bottom w:val="nil"/>
              <w:right w:val="nil"/>
            </w:tcBorders>
            <w:vAlign w:val="center"/>
          </w:tcPr>
          <w:p w14:paraId="595B2A1B">
            <w:pPr>
              <w:pStyle w:val="94"/>
              <w:rPr>
                <w:rFonts w:hint="eastAsia" w:eastAsia="宋体"/>
                <w:lang w:eastAsia="zh-CN"/>
              </w:rPr>
            </w:pPr>
            <w:r>
              <w:rPr>
                <w:rFonts w:hint="eastAsia"/>
              </w:rPr>
              <w:t>93.</w:t>
            </w:r>
            <w:r>
              <w:rPr>
                <w:rFonts w:hint="eastAsia"/>
                <w:lang w:val="en-US" w:eastAsia="zh-CN"/>
              </w:rPr>
              <w:t>0</w:t>
            </w:r>
          </w:p>
        </w:tc>
        <w:tc>
          <w:tcPr>
            <w:tcW w:w="772" w:type="dxa"/>
            <w:tcBorders>
              <w:top w:val="nil"/>
              <w:left w:val="nil"/>
              <w:bottom w:val="nil"/>
              <w:right w:val="nil"/>
            </w:tcBorders>
            <w:vAlign w:val="center"/>
          </w:tcPr>
          <w:p w14:paraId="196B3D74">
            <w:pPr>
              <w:pStyle w:val="94"/>
            </w:pPr>
            <w:r>
              <w:rPr>
                <w:rFonts w:hint="eastAsia"/>
              </w:rPr>
              <w:t>96.0</w:t>
            </w:r>
          </w:p>
        </w:tc>
      </w:tr>
      <w:tr w14:paraId="1E19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14209A65">
            <w:pPr>
              <w:pStyle w:val="94"/>
            </w:pPr>
          </w:p>
        </w:tc>
        <w:tc>
          <w:tcPr>
            <w:tcW w:w="1430" w:type="dxa"/>
            <w:tcBorders>
              <w:top w:val="nil"/>
              <w:left w:val="nil"/>
              <w:bottom w:val="nil"/>
              <w:right w:val="nil"/>
            </w:tcBorders>
            <w:vAlign w:val="center"/>
          </w:tcPr>
          <w:p w14:paraId="41CFDCD9">
            <w:pPr>
              <w:pStyle w:val="94"/>
            </w:pPr>
            <w:r>
              <w:rPr>
                <w:rFonts w:hint="eastAsia"/>
              </w:rPr>
              <w:t>PIA</w:t>
            </w:r>
          </w:p>
        </w:tc>
        <w:tc>
          <w:tcPr>
            <w:tcW w:w="772" w:type="dxa"/>
            <w:tcBorders>
              <w:top w:val="nil"/>
              <w:left w:val="nil"/>
              <w:bottom w:val="nil"/>
              <w:right w:val="nil"/>
            </w:tcBorders>
            <w:vAlign w:val="center"/>
          </w:tcPr>
          <w:p w14:paraId="5E584799">
            <w:pPr>
              <w:pStyle w:val="94"/>
              <w:rPr>
                <w:rFonts w:hint="eastAsia" w:eastAsia="宋体"/>
                <w:lang w:eastAsia="zh-CN"/>
              </w:rPr>
            </w:pPr>
            <w:r>
              <w:rPr>
                <w:rFonts w:hint="eastAsia"/>
              </w:rPr>
              <w:t>77.</w:t>
            </w:r>
            <w:r>
              <w:rPr>
                <w:rFonts w:hint="eastAsia"/>
                <w:lang w:val="en-US" w:eastAsia="zh-CN"/>
              </w:rPr>
              <w:t>0</w:t>
            </w:r>
          </w:p>
        </w:tc>
        <w:tc>
          <w:tcPr>
            <w:tcW w:w="772" w:type="dxa"/>
            <w:tcBorders>
              <w:top w:val="nil"/>
              <w:left w:val="nil"/>
              <w:bottom w:val="nil"/>
              <w:right w:val="nil"/>
            </w:tcBorders>
            <w:vAlign w:val="center"/>
          </w:tcPr>
          <w:p w14:paraId="7BBF9F75">
            <w:pPr>
              <w:pStyle w:val="94"/>
              <w:rPr>
                <w:rFonts w:hint="default" w:eastAsia="宋体"/>
                <w:lang w:val="en-US" w:eastAsia="zh-CN"/>
              </w:rPr>
            </w:pPr>
            <w:r>
              <w:rPr>
                <w:rFonts w:hint="eastAsia"/>
              </w:rPr>
              <w:t>7</w:t>
            </w:r>
            <w:r>
              <w:rPr>
                <w:rFonts w:hint="eastAsia"/>
                <w:lang w:val="en-US" w:eastAsia="zh-CN"/>
              </w:rPr>
              <w:t>9.0</w:t>
            </w:r>
          </w:p>
        </w:tc>
        <w:tc>
          <w:tcPr>
            <w:tcW w:w="772" w:type="dxa"/>
            <w:tcBorders>
              <w:top w:val="nil"/>
              <w:left w:val="nil"/>
              <w:bottom w:val="nil"/>
              <w:right w:val="nil"/>
            </w:tcBorders>
            <w:vAlign w:val="center"/>
          </w:tcPr>
          <w:p w14:paraId="01553468">
            <w:pPr>
              <w:pStyle w:val="94"/>
              <w:rPr>
                <w:rFonts w:hint="default" w:eastAsia="宋体"/>
                <w:lang w:val="en-US" w:eastAsia="zh-CN"/>
              </w:rPr>
            </w:pPr>
            <w:r>
              <w:rPr>
                <w:rFonts w:hint="eastAsia"/>
              </w:rPr>
              <w:t>8</w:t>
            </w:r>
            <w:r>
              <w:rPr>
                <w:rFonts w:hint="eastAsia"/>
                <w:lang w:val="en-US" w:eastAsia="zh-CN"/>
              </w:rPr>
              <w:t>5.0</w:t>
            </w:r>
          </w:p>
        </w:tc>
        <w:tc>
          <w:tcPr>
            <w:tcW w:w="772" w:type="dxa"/>
            <w:tcBorders>
              <w:top w:val="nil"/>
              <w:left w:val="nil"/>
              <w:bottom w:val="nil"/>
              <w:right w:val="nil"/>
            </w:tcBorders>
            <w:vAlign w:val="center"/>
          </w:tcPr>
          <w:p w14:paraId="3CC838A6">
            <w:pPr>
              <w:pStyle w:val="94"/>
              <w:rPr>
                <w:rFonts w:hint="default" w:eastAsia="宋体"/>
                <w:lang w:val="en-US" w:eastAsia="zh-CN"/>
              </w:rPr>
            </w:pPr>
            <w:r>
              <w:rPr>
                <w:rFonts w:hint="eastAsia"/>
              </w:rPr>
              <w:t>8</w:t>
            </w:r>
            <w:r>
              <w:rPr>
                <w:rFonts w:hint="eastAsia"/>
                <w:lang w:val="en-US" w:eastAsia="zh-CN"/>
              </w:rPr>
              <w:t>7.0</w:t>
            </w:r>
          </w:p>
        </w:tc>
        <w:tc>
          <w:tcPr>
            <w:tcW w:w="772" w:type="dxa"/>
            <w:tcBorders>
              <w:top w:val="nil"/>
              <w:left w:val="nil"/>
              <w:bottom w:val="nil"/>
              <w:right w:val="nil"/>
            </w:tcBorders>
            <w:vAlign w:val="center"/>
          </w:tcPr>
          <w:p w14:paraId="6831FAFD">
            <w:pPr>
              <w:pStyle w:val="94"/>
              <w:rPr>
                <w:rFonts w:hint="default" w:eastAsia="宋体"/>
                <w:lang w:val="en-US" w:eastAsia="zh-CN"/>
              </w:rPr>
            </w:pPr>
            <w:r>
              <w:rPr>
                <w:rFonts w:hint="eastAsia"/>
              </w:rPr>
              <w:t>8</w:t>
            </w:r>
            <w:r>
              <w:rPr>
                <w:rFonts w:hint="eastAsia"/>
                <w:lang w:val="en-US" w:eastAsia="zh-CN"/>
              </w:rPr>
              <w:t>9.0</w:t>
            </w:r>
          </w:p>
        </w:tc>
        <w:tc>
          <w:tcPr>
            <w:tcW w:w="772" w:type="dxa"/>
            <w:tcBorders>
              <w:top w:val="nil"/>
              <w:left w:val="nil"/>
              <w:bottom w:val="nil"/>
              <w:right w:val="nil"/>
            </w:tcBorders>
            <w:vAlign w:val="center"/>
          </w:tcPr>
          <w:p w14:paraId="6076BA8A">
            <w:pPr>
              <w:pStyle w:val="94"/>
              <w:rPr>
                <w:rFonts w:hint="eastAsia" w:eastAsia="宋体"/>
                <w:lang w:eastAsia="zh-CN"/>
              </w:rPr>
            </w:pPr>
            <w:r>
              <w:rPr>
                <w:rFonts w:hint="eastAsia"/>
              </w:rPr>
              <w:t>91.</w:t>
            </w:r>
            <w:r>
              <w:rPr>
                <w:rFonts w:hint="eastAsia"/>
                <w:lang w:val="en-US" w:eastAsia="zh-CN"/>
              </w:rPr>
              <w:t>0</w:t>
            </w:r>
          </w:p>
        </w:tc>
        <w:tc>
          <w:tcPr>
            <w:tcW w:w="772" w:type="dxa"/>
            <w:tcBorders>
              <w:top w:val="nil"/>
              <w:left w:val="nil"/>
              <w:bottom w:val="nil"/>
              <w:right w:val="nil"/>
            </w:tcBorders>
            <w:vAlign w:val="center"/>
          </w:tcPr>
          <w:p w14:paraId="45DF18EC">
            <w:pPr>
              <w:pStyle w:val="94"/>
              <w:rPr>
                <w:rFonts w:hint="default" w:eastAsia="宋体"/>
                <w:lang w:val="en-US" w:eastAsia="zh-CN"/>
              </w:rPr>
            </w:pPr>
            <w:r>
              <w:rPr>
                <w:rFonts w:hint="eastAsia"/>
              </w:rPr>
              <w:t>9</w:t>
            </w:r>
            <w:r>
              <w:rPr>
                <w:rFonts w:hint="eastAsia"/>
                <w:lang w:val="en-US" w:eastAsia="zh-CN"/>
              </w:rPr>
              <w:t>3.0</w:t>
            </w:r>
          </w:p>
        </w:tc>
        <w:tc>
          <w:tcPr>
            <w:tcW w:w="772" w:type="dxa"/>
            <w:tcBorders>
              <w:top w:val="nil"/>
              <w:left w:val="nil"/>
              <w:bottom w:val="nil"/>
              <w:right w:val="nil"/>
            </w:tcBorders>
            <w:vAlign w:val="center"/>
          </w:tcPr>
          <w:p w14:paraId="1ACBF8F1">
            <w:pPr>
              <w:pStyle w:val="94"/>
              <w:rPr>
                <w:rFonts w:hint="default" w:eastAsia="宋体"/>
                <w:lang w:val="en-US" w:eastAsia="zh-CN"/>
              </w:rPr>
            </w:pPr>
            <w:r>
              <w:rPr>
                <w:rFonts w:hint="eastAsia"/>
              </w:rPr>
              <w:t>9</w:t>
            </w:r>
            <w:r>
              <w:rPr>
                <w:rFonts w:hint="eastAsia"/>
                <w:lang w:val="en-US" w:eastAsia="zh-CN"/>
              </w:rPr>
              <w:t>9.0</w:t>
            </w:r>
          </w:p>
        </w:tc>
      </w:tr>
      <w:tr w14:paraId="7958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65E1E29F">
            <w:pPr>
              <w:pStyle w:val="94"/>
            </w:pPr>
          </w:p>
        </w:tc>
        <w:tc>
          <w:tcPr>
            <w:tcW w:w="1430" w:type="dxa"/>
            <w:tcBorders>
              <w:top w:val="nil"/>
              <w:left w:val="nil"/>
              <w:bottom w:val="nil"/>
              <w:right w:val="nil"/>
            </w:tcBorders>
            <w:vAlign w:val="center"/>
          </w:tcPr>
          <w:p w14:paraId="25BFEAD2">
            <w:pPr>
              <w:pStyle w:val="94"/>
            </w:pPr>
            <w:r>
              <w:rPr>
                <w:rFonts w:hint="eastAsia"/>
              </w:rPr>
              <w:t>本文攻击</w:t>
            </w:r>
          </w:p>
        </w:tc>
        <w:tc>
          <w:tcPr>
            <w:tcW w:w="772" w:type="dxa"/>
            <w:tcBorders>
              <w:top w:val="nil"/>
              <w:left w:val="nil"/>
              <w:bottom w:val="nil"/>
              <w:right w:val="nil"/>
            </w:tcBorders>
            <w:vAlign w:val="center"/>
          </w:tcPr>
          <w:p w14:paraId="4EA033D5">
            <w:pPr>
              <w:pStyle w:val="94"/>
              <w:rPr>
                <w:rFonts w:hint="eastAsia" w:eastAsia="宋体"/>
                <w:lang w:eastAsia="zh-CN"/>
              </w:rPr>
            </w:pPr>
            <w:r>
              <w:rPr>
                <w:rFonts w:hint="eastAsia"/>
              </w:rPr>
              <w:t>75.</w:t>
            </w:r>
            <w:r>
              <w:rPr>
                <w:rFonts w:hint="eastAsia"/>
                <w:lang w:val="en-US" w:eastAsia="zh-CN"/>
              </w:rPr>
              <w:t>0</w:t>
            </w:r>
          </w:p>
        </w:tc>
        <w:tc>
          <w:tcPr>
            <w:tcW w:w="772" w:type="dxa"/>
            <w:tcBorders>
              <w:top w:val="nil"/>
              <w:left w:val="nil"/>
              <w:bottom w:val="nil"/>
              <w:right w:val="nil"/>
            </w:tcBorders>
            <w:vAlign w:val="center"/>
          </w:tcPr>
          <w:p w14:paraId="72F15F66">
            <w:pPr>
              <w:pStyle w:val="94"/>
              <w:rPr>
                <w:rFonts w:hint="default" w:eastAsia="宋体"/>
                <w:lang w:val="en-US" w:eastAsia="zh-CN"/>
              </w:rPr>
            </w:pPr>
            <w:r>
              <w:rPr>
                <w:rFonts w:hint="eastAsia"/>
              </w:rPr>
              <w:t>7</w:t>
            </w:r>
            <w:r>
              <w:rPr>
                <w:rFonts w:hint="eastAsia"/>
                <w:lang w:val="en-US" w:eastAsia="zh-CN"/>
              </w:rPr>
              <w:t>7.0</w:t>
            </w:r>
          </w:p>
        </w:tc>
        <w:tc>
          <w:tcPr>
            <w:tcW w:w="772" w:type="dxa"/>
            <w:tcBorders>
              <w:top w:val="nil"/>
              <w:left w:val="nil"/>
              <w:bottom w:val="nil"/>
              <w:right w:val="nil"/>
            </w:tcBorders>
            <w:vAlign w:val="center"/>
          </w:tcPr>
          <w:p w14:paraId="30E5B0E9">
            <w:pPr>
              <w:pStyle w:val="94"/>
              <w:rPr>
                <w:rFonts w:hint="default" w:eastAsia="宋体"/>
                <w:lang w:val="en-US" w:eastAsia="zh-CN"/>
              </w:rPr>
            </w:pPr>
            <w:r>
              <w:rPr>
                <w:rFonts w:hint="eastAsia"/>
              </w:rPr>
              <w:t>8</w:t>
            </w:r>
            <w:r>
              <w:rPr>
                <w:rFonts w:hint="eastAsia"/>
                <w:lang w:val="en-US" w:eastAsia="zh-CN"/>
              </w:rPr>
              <w:t>1.0</w:t>
            </w:r>
          </w:p>
        </w:tc>
        <w:tc>
          <w:tcPr>
            <w:tcW w:w="772" w:type="dxa"/>
            <w:tcBorders>
              <w:top w:val="nil"/>
              <w:left w:val="nil"/>
              <w:bottom w:val="nil"/>
              <w:right w:val="nil"/>
            </w:tcBorders>
            <w:vAlign w:val="center"/>
          </w:tcPr>
          <w:p w14:paraId="76C0A100">
            <w:pPr>
              <w:pStyle w:val="94"/>
              <w:rPr>
                <w:rFonts w:hint="default" w:eastAsia="宋体"/>
                <w:lang w:val="en-US" w:eastAsia="zh-CN"/>
              </w:rPr>
            </w:pPr>
            <w:r>
              <w:rPr>
                <w:rFonts w:hint="eastAsia"/>
              </w:rPr>
              <w:t>8</w:t>
            </w:r>
            <w:r>
              <w:rPr>
                <w:rFonts w:hint="eastAsia"/>
                <w:lang w:val="en-US" w:eastAsia="zh-CN"/>
              </w:rPr>
              <w:t>3.0</w:t>
            </w:r>
          </w:p>
        </w:tc>
        <w:tc>
          <w:tcPr>
            <w:tcW w:w="772" w:type="dxa"/>
            <w:tcBorders>
              <w:top w:val="nil"/>
              <w:left w:val="nil"/>
              <w:bottom w:val="nil"/>
              <w:right w:val="nil"/>
            </w:tcBorders>
            <w:vAlign w:val="center"/>
          </w:tcPr>
          <w:p w14:paraId="56ED6C58">
            <w:pPr>
              <w:pStyle w:val="94"/>
            </w:pPr>
            <w:r>
              <w:rPr>
                <w:rFonts w:hint="eastAsia"/>
              </w:rPr>
              <w:t>85.0</w:t>
            </w:r>
          </w:p>
        </w:tc>
        <w:tc>
          <w:tcPr>
            <w:tcW w:w="772" w:type="dxa"/>
            <w:tcBorders>
              <w:top w:val="nil"/>
              <w:left w:val="nil"/>
              <w:bottom w:val="nil"/>
              <w:right w:val="nil"/>
            </w:tcBorders>
            <w:vAlign w:val="center"/>
          </w:tcPr>
          <w:p w14:paraId="6D6242CF">
            <w:pPr>
              <w:pStyle w:val="94"/>
              <w:rPr>
                <w:rFonts w:hint="default" w:eastAsia="宋体"/>
                <w:lang w:val="en-US" w:eastAsia="zh-CN"/>
              </w:rPr>
            </w:pPr>
            <w:r>
              <w:rPr>
                <w:rFonts w:hint="eastAsia"/>
              </w:rPr>
              <w:t>8</w:t>
            </w:r>
            <w:r>
              <w:rPr>
                <w:rFonts w:hint="eastAsia"/>
                <w:lang w:val="en-US" w:eastAsia="zh-CN"/>
              </w:rPr>
              <w:t>6.0</w:t>
            </w:r>
          </w:p>
        </w:tc>
        <w:tc>
          <w:tcPr>
            <w:tcW w:w="772" w:type="dxa"/>
            <w:tcBorders>
              <w:top w:val="nil"/>
              <w:left w:val="nil"/>
              <w:bottom w:val="nil"/>
              <w:right w:val="nil"/>
            </w:tcBorders>
            <w:vAlign w:val="center"/>
          </w:tcPr>
          <w:p w14:paraId="6DA9ED0B">
            <w:pPr>
              <w:pStyle w:val="94"/>
              <w:rPr>
                <w:rFonts w:hint="default" w:eastAsia="宋体"/>
                <w:lang w:val="en-US" w:eastAsia="zh-CN"/>
              </w:rPr>
            </w:pPr>
            <w:r>
              <w:rPr>
                <w:rFonts w:hint="eastAsia"/>
              </w:rPr>
              <w:t>9</w:t>
            </w:r>
            <w:r>
              <w:rPr>
                <w:rFonts w:hint="eastAsia"/>
                <w:lang w:val="en-US" w:eastAsia="zh-CN"/>
              </w:rPr>
              <w:t>3.0</w:t>
            </w:r>
          </w:p>
        </w:tc>
        <w:tc>
          <w:tcPr>
            <w:tcW w:w="772" w:type="dxa"/>
            <w:tcBorders>
              <w:top w:val="nil"/>
              <w:left w:val="nil"/>
              <w:bottom w:val="nil"/>
              <w:right w:val="nil"/>
            </w:tcBorders>
            <w:vAlign w:val="center"/>
          </w:tcPr>
          <w:p w14:paraId="2AF7A3ED">
            <w:pPr>
              <w:pStyle w:val="94"/>
              <w:rPr>
                <w:rFonts w:hint="eastAsia" w:eastAsia="宋体"/>
                <w:lang w:eastAsia="zh-CN"/>
              </w:rPr>
            </w:pPr>
            <w:r>
              <w:rPr>
                <w:rFonts w:hint="eastAsia"/>
              </w:rPr>
              <w:t>96.</w:t>
            </w:r>
            <w:r>
              <w:rPr>
                <w:rFonts w:hint="eastAsia"/>
                <w:lang w:val="en-US" w:eastAsia="zh-CN"/>
              </w:rPr>
              <w:t>0</w:t>
            </w:r>
          </w:p>
        </w:tc>
      </w:tr>
      <w:tr w14:paraId="45C4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restart"/>
            <w:tcBorders>
              <w:top w:val="nil"/>
              <w:left w:val="nil"/>
              <w:bottom w:val="nil"/>
              <w:right w:val="nil"/>
            </w:tcBorders>
            <w:vAlign w:val="center"/>
          </w:tcPr>
          <w:p w14:paraId="5473A296">
            <w:pPr>
              <w:pStyle w:val="94"/>
            </w:pPr>
            <w:r>
              <w:rPr>
                <w:rFonts w:hint="eastAsia"/>
              </w:rPr>
              <w:t>PANDAX</w:t>
            </w:r>
          </w:p>
        </w:tc>
        <w:tc>
          <w:tcPr>
            <w:tcW w:w="1430" w:type="dxa"/>
            <w:tcBorders>
              <w:top w:val="nil"/>
              <w:left w:val="nil"/>
              <w:bottom w:val="nil"/>
              <w:right w:val="nil"/>
            </w:tcBorders>
            <w:vAlign w:val="center"/>
          </w:tcPr>
          <w:p w14:paraId="73312FD4">
            <w:pPr>
              <w:pStyle w:val="94"/>
            </w:pPr>
            <w:r>
              <w:rPr>
                <w:rFonts w:hint="eastAsia"/>
              </w:rPr>
              <w:t>无攻击</w:t>
            </w:r>
          </w:p>
        </w:tc>
        <w:tc>
          <w:tcPr>
            <w:tcW w:w="772" w:type="dxa"/>
            <w:tcBorders>
              <w:top w:val="nil"/>
              <w:left w:val="nil"/>
              <w:bottom w:val="nil"/>
              <w:right w:val="nil"/>
            </w:tcBorders>
            <w:vAlign w:val="center"/>
          </w:tcPr>
          <w:p w14:paraId="4104C1F7">
            <w:pPr>
              <w:pStyle w:val="94"/>
            </w:pPr>
            <w:r>
              <w:rPr>
                <w:rFonts w:hint="eastAsia"/>
              </w:rPr>
              <w:t>NA</w:t>
            </w:r>
          </w:p>
        </w:tc>
        <w:tc>
          <w:tcPr>
            <w:tcW w:w="772" w:type="dxa"/>
            <w:tcBorders>
              <w:top w:val="nil"/>
              <w:left w:val="nil"/>
              <w:bottom w:val="nil"/>
              <w:right w:val="nil"/>
            </w:tcBorders>
            <w:vAlign w:val="center"/>
          </w:tcPr>
          <w:p w14:paraId="6E91F493">
            <w:pPr>
              <w:pStyle w:val="94"/>
            </w:pPr>
            <w:r>
              <w:rPr>
                <w:rFonts w:hint="eastAsia"/>
              </w:rPr>
              <w:t>98.0</w:t>
            </w:r>
          </w:p>
        </w:tc>
        <w:tc>
          <w:tcPr>
            <w:tcW w:w="772" w:type="dxa"/>
            <w:tcBorders>
              <w:top w:val="nil"/>
              <w:left w:val="nil"/>
              <w:bottom w:val="nil"/>
              <w:right w:val="nil"/>
            </w:tcBorders>
            <w:vAlign w:val="center"/>
          </w:tcPr>
          <w:p w14:paraId="70608F0E">
            <w:pPr>
              <w:pStyle w:val="94"/>
            </w:pPr>
            <w:r>
              <w:rPr>
                <w:rFonts w:hint="eastAsia"/>
              </w:rPr>
              <w:t>NA</w:t>
            </w:r>
          </w:p>
        </w:tc>
        <w:tc>
          <w:tcPr>
            <w:tcW w:w="772" w:type="dxa"/>
            <w:tcBorders>
              <w:top w:val="nil"/>
              <w:left w:val="nil"/>
              <w:bottom w:val="nil"/>
              <w:right w:val="nil"/>
            </w:tcBorders>
            <w:vAlign w:val="center"/>
          </w:tcPr>
          <w:p w14:paraId="435CFC67">
            <w:pPr>
              <w:pStyle w:val="94"/>
              <w:rPr>
                <w:rFonts w:hint="eastAsia" w:eastAsia="宋体"/>
                <w:lang w:eastAsia="zh-CN"/>
              </w:rPr>
            </w:pPr>
            <w:r>
              <w:rPr>
                <w:rFonts w:hint="eastAsia"/>
              </w:rPr>
              <w:t>98.</w:t>
            </w:r>
            <w:r>
              <w:rPr>
                <w:rFonts w:hint="eastAsia"/>
                <w:lang w:val="en-US" w:eastAsia="zh-CN"/>
              </w:rPr>
              <w:t>7</w:t>
            </w:r>
          </w:p>
        </w:tc>
        <w:tc>
          <w:tcPr>
            <w:tcW w:w="772" w:type="dxa"/>
            <w:tcBorders>
              <w:top w:val="nil"/>
              <w:left w:val="nil"/>
              <w:bottom w:val="nil"/>
              <w:right w:val="nil"/>
            </w:tcBorders>
            <w:vAlign w:val="center"/>
          </w:tcPr>
          <w:p w14:paraId="614BE00C">
            <w:pPr>
              <w:pStyle w:val="94"/>
            </w:pPr>
            <w:r>
              <w:rPr>
                <w:rFonts w:hint="eastAsia"/>
              </w:rPr>
              <w:t>NA</w:t>
            </w:r>
          </w:p>
        </w:tc>
        <w:tc>
          <w:tcPr>
            <w:tcW w:w="772" w:type="dxa"/>
            <w:tcBorders>
              <w:top w:val="nil"/>
              <w:left w:val="nil"/>
              <w:bottom w:val="nil"/>
              <w:right w:val="nil"/>
            </w:tcBorders>
            <w:vAlign w:val="center"/>
          </w:tcPr>
          <w:p w14:paraId="36DF0407">
            <w:pPr>
              <w:pStyle w:val="94"/>
              <w:rPr>
                <w:rFonts w:hint="eastAsia" w:eastAsia="宋体"/>
                <w:lang w:eastAsia="zh-CN"/>
              </w:rPr>
            </w:pPr>
            <w:r>
              <w:rPr>
                <w:rFonts w:hint="eastAsia"/>
              </w:rPr>
              <w:t>97.</w:t>
            </w:r>
            <w:r>
              <w:rPr>
                <w:rFonts w:hint="eastAsia"/>
                <w:lang w:val="en-US" w:eastAsia="zh-CN"/>
              </w:rPr>
              <w:t>3</w:t>
            </w:r>
          </w:p>
        </w:tc>
        <w:tc>
          <w:tcPr>
            <w:tcW w:w="772" w:type="dxa"/>
            <w:tcBorders>
              <w:top w:val="nil"/>
              <w:left w:val="nil"/>
              <w:bottom w:val="nil"/>
              <w:right w:val="nil"/>
            </w:tcBorders>
            <w:vAlign w:val="center"/>
          </w:tcPr>
          <w:p w14:paraId="24AA47F4">
            <w:pPr>
              <w:pStyle w:val="94"/>
            </w:pPr>
            <w:r>
              <w:rPr>
                <w:rFonts w:hint="eastAsia"/>
              </w:rPr>
              <w:t>NA</w:t>
            </w:r>
          </w:p>
        </w:tc>
        <w:tc>
          <w:tcPr>
            <w:tcW w:w="772" w:type="dxa"/>
            <w:tcBorders>
              <w:top w:val="nil"/>
              <w:left w:val="nil"/>
              <w:bottom w:val="nil"/>
              <w:right w:val="nil"/>
            </w:tcBorders>
            <w:vAlign w:val="center"/>
          </w:tcPr>
          <w:p w14:paraId="33971317">
            <w:pPr>
              <w:pStyle w:val="94"/>
              <w:rPr>
                <w:rFonts w:hint="eastAsia" w:eastAsia="宋体"/>
                <w:lang w:eastAsia="zh-CN"/>
              </w:rPr>
            </w:pPr>
            <w:r>
              <w:rPr>
                <w:rFonts w:hint="eastAsia"/>
              </w:rPr>
              <w:t>98.</w:t>
            </w:r>
            <w:r>
              <w:rPr>
                <w:rFonts w:hint="eastAsia"/>
                <w:lang w:val="en-US" w:eastAsia="zh-CN"/>
              </w:rPr>
              <w:t>7</w:t>
            </w:r>
          </w:p>
        </w:tc>
      </w:tr>
      <w:tr w14:paraId="235A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0F8E7DA3">
            <w:pPr>
              <w:pStyle w:val="94"/>
            </w:pPr>
          </w:p>
        </w:tc>
        <w:tc>
          <w:tcPr>
            <w:tcW w:w="1430" w:type="dxa"/>
            <w:tcBorders>
              <w:top w:val="nil"/>
              <w:left w:val="nil"/>
              <w:bottom w:val="nil"/>
              <w:right w:val="nil"/>
            </w:tcBorders>
            <w:vAlign w:val="center"/>
          </w:tcPr>
          <w:p w14:paraId="687691EE">
            <w:pPr>
              <w:pStyle w:val="94"/>
            </w:pPr>
            <w:r>
              <w:rPr>
                <w:rFonts w:hint="eastAsia"/>
              </w:rPr>
              <w:t>PoisonedRAG</w:t>
            </w:r>
          </w:p>
        </w:tc>
        <w:tc>
          <w:tcPr>
            <w:tcW w:w="772" w:type="dxa"/>
            <w:tcBorders>
              <w:top w:val="nil"/>
              <w:left w:val="nil"/>
              <w:bottom w:val="nil"/>
              <w:right w:val="nil"/>
            </w:tcBorders>
            <w:vAlign w:val="center"/>
          </w:tcPr>
          <w:p w14:paraId="27C94EC0">
            <w:pPr>
              <w:pStyle w:val="94"/>
              <w:rPr>
                <w:rFonts w:hint="eastAsia" w:eastAsia="宋体"/>
                <w:lang w:eastAsia="zh-CN"/>
              </w:rPr>
            </w:pPr>
            <w:r>
              <w:rPr>
                <w:rFonts w:hint="eastAsia"/>
              </w:rPr>
              <w:t>78.</w:t>
            </w:r>
            <w:r>
              <w:rPr>
                <w:rFonts w:hint="eastAsia"/>
                <w:lang w:val="en-US" w:eastAsia="zh-CN"/>
              </w:rPr>
              <w:t>7</w:t>
            </w:r>
          </w:p>
        </w:tc>
        <w:tc>
          <w:tcPr>
            <w:tcW w:w="772" w:type="dxa"/>
            <w:tcBorders>
              <w:top w:val="nil"/>
              <w:left w:val="nil"/>
              <w:bottom w:val="nil"/>
              <w:right w:val="nil"/>
            </w:tcBorders>
            <w:vAlign w:val="center"/>
          </w:tcPr>
          <w:p w14:paraId="70DED5D1">
            <w:pPr>
              <w:pStyle w:val="94"/>
              <w:rPr>
                <w:rFonts w:hint="default" w:eastAsia="宋体"/>
                <w:lang w:val="en-US" w:eastAsia="zh-CN"/>
              </w:rPr>
            </w:pPr>
            <w:r>
              <w:rPr>
                <w:rFonts w:hint="eastAsia"/>
                <w:lang w:val="en-US" w:eastAsia="zh-CN"/>
              </w:rPr>
              <w:t>80.0</w:t>
            </w:r>
          </w:p>
        </w:tc>
        <w:tc>
          <w:tcPr>
            <w:tcW w:w="772" w:type="dxa"/>
            <w:tcBorders>
              <w:top w:val="nil"/>
              <w:left w:val="nil"/>
              <w:bottom w:val="nil"/>
              <w:right w:val="nil"/>
            </w:tcBorders>
            <w:vAlign w:val="center"/>
          </w:tcPr>
          <w:p w14:paraId="2FBDAA5D">
            <w:pPr>
              <w:pStyle w:val="94"/>
              <w:rPr>
                <w:rFonts w:hint="eastAsia" w:eastAsia="宋体"/>
                <w:lang w:eastAsia="zh-CN"/>
              </w:rPr>
            </w:pPr>
            <w:r>
              <w:rPr>
                <w:rFonts w:hint="eastAsia"/>
              </w:rPr>
              <w:t>80.</w:t>
            </w:r>
            <w:r>
              <w:rPr>
                <w:rFonts w:hint="eastAsia"/>
                <w:lang w:val="en-US" w:eastAsia="zh-CN"/>
              </w:rPr>
              <w:t>0</w:t>
            </w:r>
          </w:p>
        </w:tc>
        <w:tc>
          <w:tcPr>
            <w:tcW w:w="772" w:type="dxa"/>
            <w:tcBorders>
              <w:top w:val="nil"/>
              <w:left w:val="nil"/>
              <w:bottom w:val="nil"/>
              <w:right w:val="nil"/>
            </w:tcBorders>
            <w:vAlign w:val="center"/>
          </w:tcPr>
          <w:p w14:paraId="1A3D79F2">
            <w:pPr>
              <w:pStyle w:val="94"/>
              <w:rPr>
                <w:rFonts w:hint="eastAsia" w:eastAsia="宋体"/>
                <w:lang w:eastAsia="zh-CN"/>
              </w:rPr>
            </w:pPr>
            <w:r>
              <w:rPr>
                <w:rFonts w:hint="eastAsia"/>
              </w:rPr>
              <w:t>82.</w:t>
            </w:r>
            <w:r>
              <w:rPr>
                <w:rFonts w:hint="eastAsia"/>
                <w:lang w:val="en-US" w:eastAsia="zh-CN"/>
              </w:rPr>
              <w:t>7</w:t>
            </w:r>
          </w:p>
        </w:tc>
        <w:tc>
          <w:tcPr>
            <w:tcW w:w="772" w:type="dxa"/>
            <w:tcBorders>
              <w:top w:val="nil"/>
              <w:left w:val="nil"/>
              <w:bottom w:val="nil"/>
              <w:right w:val="nil"/>
            </w:tcBorders>
            <w:vAlign w:val="center"/>
          </w:tcPr>
          <w:p w14:paraId="437BE951">
            <w:pPr>
              <w:pStyle w:val="94"/>
              <w:rPr>
                <w:rFonts w:hint="eastAsia" w:eastAsia="宋体"/>
                <w:lang w:eastAsia="zh-CN"/>
              </w:rPr>
            </w:pPr>
            <w:r>
              <w:rPr>
                <w:rFonts w:hint="eastAsia"/>
              </w:rPr>
              <w:t>85.</w:t>
            </w:r>
            <w:r>
              <w:rPr>
                <w:rFonts w:hint="eastAsia"/>
                <w:lang w:val="en-US" w:eastAsia="zh-CN"/>
              </w:rPr>
              <w:t>3</w:t>
            </w:r>
          </w:p>
        </w:tc>
        <w:tc>
          <w:tcPr>
            <w:tcW w:w="772" w:type="dxa"/>
            <w:tcBorders>
              <w:top w:val="nil"/>
              <w:left w:val="nil"/>
              <w:bottom w:val="nil"/>
              <w:right w:val="nil"/>
            </w:tcBorders>
            <w:vAlign w:val="center"/>
          </w:tcPr>
          <w:p w14:paraId="03B2AF4E">
            <w:pPr>
              <w:pStyle w:val="94"/>
              <w:rPr>
                <w:rFonts w:hint="eastAsia" w:eastAsia="宋体"/>
                <w:lang w:eastAsia="zh-CN"/>
              </w:rPr>
            </w:pPr>
            <w:r>
              <w:rPr>
                <w:rFonts w:hint="eastAsia"/>
              </w:rPr>
              <w:t>86.</w:t>
            </w:r>
            <w:r>
              <w:rPr>
                <w:rFonts w:hint="eastAsia"/>
                <w:lang w:val="en-US" w:eastAsia="zh-CN"/>
              </w:rPr>
              <w:t>7</w:t>
            </w:r>
          </w:p>
        </w:tc>
        <w:tc>
          <w:tcPr>
            <w:tcW w:w="772" w:type="dxa"/>
            <w:tcBorders>
              <w:top w:val="nil"/>
              <w:left w:val="nil"/>
              <w:bottom w:val="nil"/>
              <w:right w:val="nil"/>
            </w:tcBorders>
            <w:vAlign w:val="center"/>
          </w:tcPr>
          <w:p w14:paraId="78FC05DE">
            <w:pPr>
              <w:pStyle w:val="94"/>
              <w:rPr>
                <w:rFonts w:hint="eastAsia" w:eastAsia="宋体"/>
                <w:lang w:eastAsia="zh-CN"/>
              </w:rPr>
            </w:pPr>
            <w:r>
              <w:rPr>
                <w:rFonts w:hint="eastAsia"/>
              </w:rPr>
              <w:t>9</w:t>
            </w:r>
            <w:r>
              <w:rPr>
                <w:rFonts w:hint="eastAsia"/>
                <w:lang w:val="en-US" w:eastAsia="zh-CN"/>
              </w:rPr>
              <w:t>4</w:t>
            </w:r>
            <w:r>
              <w:rPr>
                <w:rFonts w:hint="eastAsia"/>
              </w:rPr>
              <w:t>.</w:t>
            </w:r>
            <w:r>
              <w:rPr>
                <w:rFonts w:hint="eastAsia"/>
                <w:lang w:val="en-US" w:eastAsia="zh-CN"/>
              </w:rPr>
              <w:t>7</w:t>
            </w:r>
          </w:p>
        </w:tc>
        <w:tc>
          <w:tcPr>
            <w:tcW w:w="772" w:type="dxa"/>
            <w:tcBorders>
              <w:top w:val="nil"/>
              <w:left w:val="nil"/>
              <w:bottom w:val="nil"/>
              <w:right w:val="nil"/>
            </w:tcBorders>
            <w:vAlign w:val="center"/>
          </w:tcPr>
          <w:p w14:paraId="777A213D">
            <w:pPr>
              <w:pStyle w:val="94"/>
              <w:rPr>
                <w:rFonts w:hint="eastAsia" w:eastAsia="宋体"/>
                <w:lang w:eastAsia="zh-CN"/>
              </w:rPr>
            </w:pPr>
            <w:r>
              <w:rPr>
                <w:rFonts w:hint="eastAsia"/>
              </w:rPr>
              <w:t>97.</w:t>
            </w:r>
            <w:r>
              <w:rPr>
                <w:rFonts w:hint="eastAsia"/>
                <w:lang w:val="en-US" w:eastAsia="zh-CN"/>
              </w:rPr>
              <w:t>3</w:t>
            </w:r>
          </w:p>
        </w:tc>
      </w:tr>
      <w:tr w14:paraId="67BE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nil"/>
              <w:right w:val="nil"/>
            </w:tcBorders>
            <w:vAlign w:val="center"/>
          </w:tcPr>
          <w:p w14:paraId="5049665D">
            <w:pPr>
              <w:pStyle w:val="94"/>
            </w:pPr>
          </w:p>
        </w:tc>
        <w:tc>
          <w:tcPr>
            <w:tcW w:w="1430" w:type="dxa"/>
            <w:tcBorders>
              <w:top w:val="nil"/>
              <w:left w:val="nil"/>
              <w:bottom w:val="nil"/>
              <w:right w:val="nil"/>
            </w:tcBorders>
            <w:vAlign w:val="center"/>
          </w:tcPr>
          <w:p w14:paraId="2AE8E171">
            <w:pPr>
              <w:pStyle w:val="94"/>
            </w:pPr>
            <w:r>
              <w:rPr>
                <w:rFonts w:hint="eastAsia"/>
              </w:rPr>
              <w:t>PIA</w:t>
            </w:r>
          </w:p>
        </w:tc>
        <w:tc>
          <w:tcPr>
            <w:tcW w:w="772" w:type="dxa"/>
            <w:tcBorders>
              <w:top w:val="nil"/>
              <w:left w:val="nil"/>
              <w:bottom w:val="nil"/>
              <w:right w:val="nil"/>
            </w:tcBorders>
            <w:vAlign w:val="center"/>
          </w:tcPr>
          <w:p w14:paraId="431D75DB">
            <w:pPr>
              <w:pStyle w:val="94"/>
              <w:rPr>
                <w:rFonts w:hint="eastAsia" w:eastAsia="宋体"/>
                <w:lang w:eastAsia="zh-CN"/>
              </w:rPr>
            </w:pPr>
            <w:r>
              <w:rPr>
                <w:rFonts w:hint="eastAsia"/>
              </w:rPr>
              <w:t>7</w:t>
            </w:r>
            <w:r>
              <w:rPr>
                <w:rFonts w:hint="eastAsia"/>
                <w:lang w:val="en-US" w:eastAsia="zh-CN"/>
              </w:rPr>
              <w:t>7</w:t>
            </w:r>
            <w:r>
              <w:rPr>
                <w:rFonts w:hint="eastAsia"/>
              </w:rPr>
              <w:t>.</w:t>
            </w:r>
            <w:r>
              <w:rPr>
                <w:rFonts w:hint="eastAsia"/>
                <w:lang w:val="en-US" w:eastAsia="zh-CN"/>
              </w:rPr>
              <w:t>3</w:t>
            </w:r>
          </w:p>
        </w:tc>
        <w:tc>
          <w:tcPr>
            <w:tcW w:w="772" w:type="dxa"/>
            <w:tcBorders>
              <w:top w:val="nil"/>
              <w:left w:val="nil"/>
              <w:bottom w:val="nil"/>
              <w:right w:val="nil"/>
            </w:tcBorders>
            <w:vAlign w:val="center"/>
          </w:tcPr>
          <w:p w14:paraId="5C3F292D">
            <w:pPr>
              <w:pStyle w:val="94"/>
              <w:rPr>
                <w:rFonts w:hint="eastAsia" w:eastAsia="宋体"/>
                <w:lang w:eastAsia="zh-CN"/>
              </w:rPr>
            </w:pPr>
            <w:r>
              <w:rPr>
                <w:rFonts w:hint="eastAsia"/>
              </w:rPr>
              <w:t>78.</w:t>
            </w:r>
            <w:r>
              <w:rPr>
                <w:rFonts w:hint="eastAsia"/>
                <w:lang w:val="en-US" w:eastAsia="zh-CN"/>
              </w:rPr>
              <w:t>7</w:t>
            </w:r>
          </w:p>
        </w:tc>
        <w:tc>
          <w:tcPr>
            <w:tcW w:w="772" w:type="dxa"/>
            <w:tcBorders>
              <w:top w:val="nil"/>
              <w:left w:val="nil"/>
              <w:bottom w:val="nil"/>
              <w:right w:val="nil"/>
            </w:tcBorders>
            <w:vAlign w:val="center"/>
          </w:tcPr>
          <w:p w14:paraId="7E1B7C49">
            <w:pPr>
              <w:pStyle w:val="94"/>
              <w:rPr>
                <w:rFonts w:hint="eastAsia" w:eastAsia="宋体"/>
                <w:lang w:eastAsia="zh-CN"/>
              </w:rPr>
            </w:pPr>
            <w:r>
              <w:rPr>
                <w:rFonts w:hint="eastAsia"/>
              </w:rPr>
              <w:t>8</w:t>
            </w:r>
            <w:r>
              <w:rPr>
                <w:rFonts w:hint="eastAsia"/>
                <w:lang w:val="en-US" w:eastAsia="zh-CN"/>
              </w:rPr>
              <w:t>2</w:t>
            </w:r>
            <w:r>
              <w:rPr>
                <w:rFonts w:hint="eastAsia"/>
              </w:rPr>
              <w:t>.</w:t>
            </w:r>
            <w:r>
              <w:rPr>
                <w:rFonts w:hint="eastAsia"/>
                <w:lang w:val="en-US" w:eastAsia="zh-CN"/>
              </w:rPr>
              <w:t>7</w:t>
            </w:r>
          </w:p>
        </w:tc>
        <w:tc>
          <w:tcPr>
            <w:tcW w:w="772" w:type="dxa"/>
            <w:tcBorders>
              <w:top w:val="nil"/>
              <w:left w:val="nil"/>
              <w:bottom w:val="nil"/>
              <w:right w:val="nil"/>
            </w:tcBorders>
            <w:vAlign w:val="center"/>
          </w:tcPr>
          <w:p w14:paraId="7F7BEDA8">
            <w:pPr>
              <w:pStyle w:val="94"/>
              <w:rPr>
                <w:rFonts w:hint="eastAsia" w:eastAsia="宋体"/>
                <w:lang w:eastAsia="zh-CN"/>
              </w:rPr>
            </w:pPr>
            <w:r>
              <w:rPr>
                <w:rFonts w:hint="eastAsia"/>
              </w:rPr>
              <w:t>85.</w:t>
            </w:r>
            <w:r>
              <w:rPr>
                <w:rFonts w:hint="eastAsia"/>
                <w:lang w:val="en-US" w:eastAsia="zh-CN"/>
              </w:rPr>
              <w:t>3</w:t>
            </w:r>
          </w:p>
        </w:tc>
        <w:tc>
          <w:tcPr>
            <w:tcW w:w="772" w:type="dxa"/>
            <w:tcBorders>
              <w:top w:val="nil"/>
              <w:left w:val="nil"/>
              <w:bottom w:val="nil"/>
              <w:right w:val="nil"/>
            </w:tcBorders>
            <w:vAlign w:val="center"/>
          </w:tcPr>
          <w:p w14:paraId="50595106">
            <w:pPr>
              <w:pStyle w:val="94"/>
              <w:rPr>
                <w:rFonts w:hint="eastAsia" w:eastAsia="宋体"/>
                <w:lang w:eastAsia="zh-CN"/>
              </w:rPr>
            </w:pPr>
            <w:r>
              <w:rPr>
                <w:rFonts w:hint="eastAsia"/>
              </w:rPr>
              <w:t>8</w:t>
            </w:r>
            <w:r>
              <w:rPr>
                <w:rFonts w:hint="eastAsia"/>
                <w:lang w:val="en-US" w:eastAsia="zh-CN"/>
              </w:rPr>
              <w:t>8</w:t>
            </w:r>
            <w:r>
              <w:rPr>
                <w:rFonts w:hint="eastAsia"/>
              </w:rPr>
              <w:t>.</w:t>
            </w:r>
            <w:r>
              <w:rPr>
                <w:rFonts w:hint="eastAsia"/>
                <w:lang w:val="en-US" w:eastAsia="zh-CN"/>
              </w:rPr>
              <w:t>0</w:t>
            </w:r>
          </w:p>
        </w:tc>
        <w:tc>
          <w:tcPr>
            <w:tcW w:w="772" w:type="dxa"/>
            <w:tcBorders>
              <w:top w:val="nil"/>
              <w:left w:val="nil"/>
              <w:bottom w:val="nil"/>
              <w:right w:val="nil"/>
            </w:tcBorders>
            <w:vAlign w:val="center"/>
          </w:tcPr>
          <w:p w14:paraId="0D862AED">
            <w:pPr>
              <w:pStyle w:val="94"/>
              <w:rPr>
                <w:rFonts w:hint="eastAsia" w:eastAsia="宋体"/>
                <w:lang w:eastAsia="zh-CN"/>
              </w:rPr>
            </w:pPr>
            <w:r>
              <w:rPr>
                <w:rFonts w:hint="eastAsia"/>
              </w:rPr>
              <w:t>8</w:t>
            </w:r>
            <w:r>
              <w:rPr>
                <w:rFonts w:hint="eastAsia"/>
                <w:lang w:val="en-US" w:eastAsia="zh-CN"/>
              </w:rPr>
              <w:t>9</w:t>
            </w:r>
            <w:r>
              <w:rPr>
                <w:rFonts w:hint="eastAsia"/>
              </w:rPr>
              <w:t>.</w:t>
            </w:r>
            <w:r>
              <w:rPr>
                <w:rFonts w:hint="eastAsia"/>
                <w:lang w:val="en-US" w:eastAsia="zh-CN"/>
              </w:rPr>
              <w:t>3</w:t>
            </w:r>
          </w:p>
        </w:tc>
        <w:tc>
          <w:tcPr>
            <w:tcW w:w="772" w:type="dxa"/>
            <w:tcBorders>
              <w:top w:val="nil"/>
              <w:left w:val="nil"/>
              <w:bottom w:val="nil"/>
              <w:right w:val="nil"/>
            </w:tcBorders>
            <w:vAlign w:val="center"/>
          </w:tcPr>
          <w:p w14:paraId="6F296E1B">
            <w:pPr>
              <w:pStyle w:val="94"/>
              <w:rPr>
                <w:rFonts w:hint="eastAsia" w:eastAsia="宋体"/>
                <w:lang w:eastAsia="zh-CN"/>
              </w:rPr>
            </w:pPr>
            <w:r>
              <w:rPr>
                <w:rFonts w:hint="eastAsia"/>
              </w:rPr>
              <w:t>93.</w:t>
            </w:r>
            <w:r>
              <w:rPr>
                <w:rFonts w:hint="eastAsia"/>
                <w:lang w:val="en-US" w:eastAsia="zh-CN"/>
              </w:rPr>
              <w:t>3</w:t>
            </w:r>
          </w:p>
        </w:tc>
        <w:tc>
          <w:tcPr>
            <w:tcW w:w="772" w:type="dxa"/>
            <w:tcBorders>
              <w:top w:val="nil"/>
              <w:left w:val="nil"/>
              <w:bottom w:val="nil"/>
              <w:right w:val="nil"/>
            </w:tcBorders>
            <w:vAlign w:val="center"/>
          </w:tcPr>
          <w:p w14:paraId="237201DD">
            <w:pPr>
              <w:pStyle w:val="94"/>
              <w:rPr>
                <w:rFonts w:hint="eastAsia" w:eastAsia="宋体"/>
                <w:lang w:eastAsia="zh-CN"/>
              </w:rPr>
            </w:pPr>
            <w:r>
              <w:rPr>
                <w:rFonts w:hint="eastAsia"/>
              </w:rPr>
              <w:t>97.</w:t>
            </w:r>
            <w:r>
              <w:rPr>
                <w:rFonts w:hint="eastAsia"/>
                <w:lang w:val="en-US" w:eastAsia="zh-CN"/>
              </w:rPr>
              <w:t>3</w:t>
            </w:r>
          </w:p>
        </w:tc>
      </w:tr>
      <w:tr w14:paraId="49B51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dxa"/>
            <w:vMerge w:val="continue"/>
            <w:tcBorders>
              <w:top w:val="nil"/>
              <w:left w:val="nil"/>
              <w:bottom w:val="single" w:color="auto" w:sz="12" w:space="0"/>
              <w:right w:val="nil"/>
            </w:tcBorders>
            <w:vAlign w:val="center"/>
          </w:tcPr>
          <w:p w14:paraId="08876453">
            <w:pPr>
              <w:pStyle w:val="94"/>
            </w:pPr>
          </w:p>
        </w:tc>
        <w:tc>
          <w:tcPr>
            <w:tcW w:w="1430" w:type="dxa"/>
            <w:tcBorders>
              <w:top w:val="nil"/>
              <w:left w:val="nil"/>
              <w:bottom w:val="single" w:color="auto" w:sz="12" w:space="0"/>
              <w:right w:val="nil"/>
            </w:tcBorders>
            <w:vAlign w:val="center"/>
          </w:tcPr>
          <w:p w14:paraId="4D206725">
            <w:pPr>
              <w:pStyle w:val="94"/>
            </w:pPr>
            <w:r>
              <w:rPr>
                <w:rFonts w:hint="eastAsia"/>
              </w:rPr>
              <w:t>本文攻击</w:t>
            </w:r>
          </w:p>
        </w:tc>
        <w:tc>
          <w:tcPr>
            <w:tcW w:w="772" w:type="dxa"/>
            <w:tcBorders>
              <w:top w:val="nil"/>
              <w:left w:val="nil"/>
              <w:bottom w:val="single" w:color="auto" w:sz="12" w:space="0"/>
              <w:right w:val="nil"/>
            </w:tcBorders>
            <w:vAlign w:val="center"/>
          </w:tcPr>
          <w:p w14:paraId="6F21C99C">
            <w:pPr>
              <w:pStyle w:val="94"/>
              <w:rPr>
                <w:rFonts w:hint="eastAsia" w:eastAsia="宋体"/>
                <w:lang w:eastAsia="zh-CN"/>
              </w:rPr>
            </w:pPr>
            <w:r>
              <w:rPr>
                <w:rFonts w:hint="eastAsia"/>
              </w:rPr>
              <w:t>7</w:t>
            </w:r>
            <w:r>
              <w:rPr>
                <w:rFonts w:hint="eastAsia"/>
                <w:lang w:val="en-US" w:eastAsia="zh-CN"/>
              </w:rPr>
              <w:t>4</w:t>
            </w:r>
            <w:r>
              <w:rPr>
                <w:rFonts w:hint="eastAsia"/>
              </w:rPr>
              <w:t>.</w:t>
            </w:r>
            <w:r>
              <w:rPr>
                <w:rFonts w:hint="eastAsia"/>
                <w:lang w:val="en-US" w:eastAsia="zh-CN"/>
              </w:rPr>
              <w:t>7</w:t>
            </w:r>
          </w:p>
        </w:tc>
        <w:tc>
          <w:tcPr>
            <w:tcW w:w="772" w:type="dxa"/>
            <w:tcBorders>
              <w:top w:val="nil"/>
              <w:left w:val="nil"/>
              <w:bottom w:val="single" w:color="auto" w:sz="12" w:space="0"/>
              <w:right w:val="nil"/>
            </w:tcBorders>
            <w:vAlign w:val="center"/>
          </w:tcPr>
          <w:p w14:paraId="7E405756">
            <w:pPr>
              <w:pStyle w:val="94"/>
              <w:rPr>
                <w:rFonts w:hint="eastAsia" w:eastAsia="宋体"/>
                <w:lang w:eastAsia="zh-CN"/>
              </w:rPr>
            </w:pPr>
            <w:r>
              <w:rPr>
                <w:rFonts w:hint="eastAsia"/>
              </w:rPr>
              <w:t>77.</w:t>
            </w:r>
            <w:r>
              <w:rPr>
                <w:rFonts w:hint="eastAsia"/>
                <w:lang w:val="en-US" w:eastAsia="zh-CN"/>
              </w:rPr>
              <w:t>3</w:t>
            </w:r>
          </w:p>
        </w:tc>
        <w:tc>
          <w:tcPr>
            <w:tcW w:w="772" w:type="dxa"/>
            <w:tcBorders>
              <w:top w:val="nil"/>
              <w:left w:val="nil"/>
              <w:bottom w:val="single" w:color="auto" w:sz="12" w:space="0"/>
              <w:right w:val="nil"/>
            </w:tcBorders>
            <w:vAlign w:val="center"/>
          </w:tcPr>
          <w:p w14:paraId="05636D37">
            <w:pPr>
              <w:pStyle w:val="94"/>
              <w:rPr>
                <w:rFonts w:hint="eastAsia" w:eastAsia="宋体"/>
                <w:lang w:eastAsia="zh-CN"/>
              </w:rPr>
            </w:pPr>
            <w:r>
              <w:rPr>
                <w:rFonts w:hint="eastAsia"/>
              </w:rPr>
              <w:t>7</w:t>
            </w:r>
            <w:r>
              <w:rPr>
                <w:rFonts w:hint="eastAsia"/>
                <w:lang w:val="en-US" w:eastAsia="zh-CN"/>
              </w:rPr>
              <w:t>8</w:t>
            </w:r>
            <w:r>
              <w:rPr>
                <w:rFonts w:hint="eastAsia"/>
              </w:rPr>
              <w:t>.</w:t>
            </w:r>
            <w:r>
              <w:rPr>
                <w:rFonts w:hint="eastAsia"/>
                <w:lang w:val="en-US" w:eastAsia="zh-CN"/>
              </w:rPr>
              <w:t>7</w:t>
            </w:r>
          </w:p>
        </w:tc>
        <w:tc>
          <w:tcPr>
            <w:tcW w:w="772" w:type="dxa"/>
            <w:tcBorders>
              <w:top w:val="nil"/>
              <w:left w:val="nil"/>
              <w:bottom w:val="single" w:color="auto" w:sz="12" w:space="0"/>
              <w:right w:val="nil"/>
            </w:tcBorders>
            <w:vAlign w:val="center"/>
          </w:tcPr>
          <w:p w14:paraId="52618AE8">
            <w:pPr>
              <w:pStyle w:val="94"/>
            </w:pPr>
            <w:r>
              <w:rPr>
                <w:rFonts w:hint="eastAsia"/>
              </w:rPr>
              <w:t>81.3</w:t>
            </w:r>
          </w:p>
        </w:tc>
        <w:tc>
          <w:tcPr>
            <w:tcW w:w="772" w:type="dxa"/>
            <w:tcBorders>
              <w:top w:val="nil"/>
              <w:left w:val="nil"/>
              <w:bottom w:val="single" w:color="auto" w:sz="12" w:space="0"/>
              <w:right w:val="nil"/>
            </w:tcBorders>
            <w:vAlign w:val="center"/>
          </w:tcPr>
          <w:p w14:paraId="031ABB67">
            <w:pPr>
              <w:pStyle w:val="94"/>
              <w:rPr>
                <w:rFonts w:hint="eastAsia" w:eastAsia="宋体"/>
                <w:lang w:eastAsia="zh-CN"/>
              </w:rPr>
            </w:pPr>
            <w:r>
              <w:rPr>
                <w:rFonts w:hint="eastAsia"/>
              </w:rPr>
              <w:t>82.</w:t>
            </w:r>
            <w:r>
              <w:rPr>
                <w:rFonts w:hint="eastAsia"/>
                <w:lang w:val="en-US" w:eastAsia="zh-CN"/>
              </w:rPr>
              <w:t>7</w:t>
            </w:r>
          </w:p>
        </w:tc>
        <w:tc>
          <w:tcPr>
            <w:tcW w:w="772" w:type="dxa"/>
            <w:tcBorders>
              <w:top w:val="nil"/>
              <w:left w:val="nil"/>
              <w:bottom w:val="single" w:color="auto" w:sz="12" w:space="0"/>
              <w:right w:val="nil"/>
            </w:tcBorders>
            <w:vAlign w:val="center"/>
          </w:tcPr>
          <w:p w14:paraId="33941F15">
            <w:pPr>
              <w:pStyle w:val="94"/>
              <w:rPr>
                <w:rFonts w:hint="eastAsia" w:eastAsia="宋体"/>
                <w:lang w:val="en-US" w:eastAsia="zh-CN"/>
              </w:rPr>
            </w:pPr>
            <w:r>
              <w:rPr>
                <w:rFonts w:hint="eastAsia"/>
              </w:rPr>
              <w:t>8</w:t>
            </w:r>
            <w:r>
              <w:rPr>
                <w:rFonts w:hint="eastAsia"/>
                <w:lang w:val="en-US" w:eastAsia="zh-CN"/>
              </w:rPr>
              <w:t>2</w:t>
            </w:r>
            <w:r>
              <w:rPr>
                <w:rFonts w:hint="eastAsia"/>
              </w:rPr>
              <w:t>.</w:t>
            </w:r>
            <w:r>
              <w:rPr>
                <w:rFonts w:hint="eastAsia"/>
                <w:lang w:val="en-US" w:eastAsia="zh-CN"/>
              </w:rPr>
              <w:t>7</w:t>
            </w:r>
          </w:p>
        </w:tc>
        <w:tc>
          <w:tcPr>
            <w:tcW w:w="772" w:type="dxa"/>
            <w:tcBorders>
              <w:top w:val="nil"/>
              <w:left w:val="nil"/>
              <w:bottom w:val="single" w:color="auto" w:sz="12" w:space="0"/>
              <w:right w:val="nil"/>
            </w:tcBorders>
            <w:vAlign w:val="center"/>
          </w:tcPr>
          <w:p w14:paraId="5479391A">
            <w:pPr>
              <w:pStyle w:val="94"/>
            </w:pPr>
            <w:r>
              <w:rPr>
                <w:rFonts w:hint="eastAsia"/>
              </w:rPr>
              <w:t>93.3</w:t>
            </w:r>
          </w:p>
        </w:tc>
        <w:tc>
          <w:tcPr>
            <w:tcW w:w="772" w:type="dxa"/>
            <w:tcBorders>
              <w:top w:val="nil"/>
              <w:left w:val="nil"/>
              <w:bottom w:val="single" w:color="auto" w:sz="12" w:space="0"/>
              <w:right w:val="nil"/>
            </w:tcBorders>
            <w:vAlign w:val="center"/>
          </w:tcPr>
          <w:p w14:paraId="49908E6F">
            <w:pPr>
              <w:pStyle w:val="94"/>
              <w:rPr>
                <w:rFonts w:hint="eastAsia" w:eastAsia="宋体"/>
                <w:lang w:eastAsia="zh-CN"/>
              </w:rPr>
            </w:pPr>
            <w:r>
              <w:rPr>
                <w:rFonts w:hint="eastAsia"/>
              </w:rPr>
              <w:t>9</w:t>
            </w:r>
            <w:r>
              <w:rPr>
                <w:rFonts w:hint="eastAsia"/>
                <w:lang w:val="en-US" w:eastAsia="zh-CN"/>
              </w:rPr>
              <w:t>4</w:t>
            </w:r>
            <w:r>
              <w:rPr>
                <w:rFonts w:hint="eastAsia"/>
              </w:rPr>
              <w:t>.</w:t>
            </w:r>
            <w:r>
              <w:rPr>
                <w:rFonts w:hint="eastAsia"/>
                <w:lang w:val="en-US" w:eastAsia="zh-CN"/>
              </w:rPr>
              <w:t>7</w:t>
            </w:r>
          </w:p>
        </w:tc>
      </w:tr>
    </w:tbl>
    <w:p w14:paraId="438F1B08">
      <w:pPr>
        <w:ind w:firstLine="480"/>
      </w:pPr>
      <w:r>
        <w:t xml:space="preserve"> </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6"/>
        <w:gridCol w:w="4272"/>
      </w:tblGrid>
      <w:tr w14:paraId="5384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tcPr>
          <w:p w14:paraId="640CDFCA">
            <w:pPr>
              <w:pStyle w:val="98"/>
              <w:widowControl w:val="0"/>
              <w:spacing w:line="240" w:lineRule="auto"/>
              <w:jc w:val="both"/>
            </w:pPr>
            <w:r>
              <w:rPr>
                <w:rFonts w:hint="eastAsia"/>
              </w:rPr>
              <w:drawing>
                <wp:inline distT="0" distB="0" distL="114300" distR="114300">
                  <wp:extent cx="2545715" cy="1909445"/>
                  <wp:effectExtent l="0" t="0" r="14605" b="10795"/>
                  <wp:docPr id="31" name="图片 31" descr="F:/BUPT/LLM/graduation design/论文图/fig541.pngfig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BUPT/LLM/graduation design/论文图/fig541.pngfig541"/>
                          <pic:cNvPicPr>
                            <a:picLocks noChangeAspect="1"/>
                          </pic:cNvPicPr>
                        </pic:nvPicPr>
                        <pic:blipFill>
                          <a:blip r:embed="rId37"/>
                          <a:srcRect l="17" r="17"/>
                          <a:stretch>
                            <a:fillRect/>
                          </a:stretch>
                        </pic:blipFill>
                        <pic:spPr>
                          <a:xfrm>
                            <a:off x="0" y="0"/>
                            <a:ext cx="2545715" cy="1909445"/>
                          </a:xfrm>
                          <a:prstGeom prst="rect">
                            <a:avLst/>
                          </a:prstGeom>
                        </pic:spPr>
                      </pic:pic>
                    </a:graphicData>
                  </a:graphic>
                </wp:inline>
              </w:drawing>
            </w:r>
          </w:p>
        </w:tc>
        <w:tc>
          <w:tcPr>
            <w:tcW w:w="4264" w:type="dxa"/>
            <w:tcBorders>
              <w:top w:val="nil"/>
              <w:left w:val="nil"/>
              <w:bottom w:val="nil"/>
              <w:right w:val="nil"/>
            </w:tcBorders>
          </w:tcPr>
          <w:p w14:paraId="5CF23913">
            <w:pPr>
              <w:pStyle w:val="98"/>
              <w:widowControl w:val="0"/>
              <w:spacing w:line="240" w:lineRule="auto"/>
              <w:jc w:val="both"/>
            </w:pPr>
            <w:r>
              <w:rPr>
                <w:rFonts w:hint="eastAsia"/>
              </w:rPr>
              <w:drawing>
                <wp:inline distT="0" distB="0" distL="114300" distR="114300">
                  <wp:extent cx="2567940" cy="1925955"/>
                  <wp:effectExtent l="0" t="0" r="7620" b="9525"/>
                  <wp:docPr id="32" name="图片 32" descr="F:/BUPT/LLM/graduation design/论文图/fig542.pngfig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BUPT/LLM/graduation design/论文图/fig542.pngfig542"/>
                          <pic:cNvPicPr>
                            <a:picLocks noChangeAspect="1"/>
                          </pic:cNvPicPr>
                        </pic:nvPicPr>
                        <pic:blipFill>
                          <a:blip r:embed="rId38"/>
                          <a:srcRect/>
                          <a:stretch>
                            <a:fillRect/>
                          </a:stretch>
                        </pic:blipFill>
                        <pic:spPr>
                          <a:xfrm>
                            <a:off x="0" y="0"/>
                            <a:ext cx="2567940" cy="1925955"/>
                          </a:xfrm>
                          <a:prstGeom prst="rect">
                            <a:avLst/>
                          </a:prstGeom>
                        </pic:spPr>
                      </pic:pic>
                    </a:graphicData>
                  </a:graphic>
                </wp:inline>
              </w:drawing>
            </w:r>
          </w:p>
        </w:tc>
      </w:tr>
      <w:tr w14:paraId="0F07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tcPr>
          <w:p w14:paraId="1AA0A948">
            <w:pPr>
              <w:pStyle w:val="98"/>
              <w:widowControl w:val="0"/>
            </w:pPr>
            <w:r>
              <w:rPr>
                <w:rFonts w:hint="eastAsia"/>
              </w:rPr>
              <w:t>（a）参数消融DACC结果</w:t>
            </w:r>
          </w:p>
        </w:tc>
        <w:tc>
          <w:tcPr>
            <w:tcW w:w="4264" w:type="dxa"/>
            <w:tcBorders>
              <w:top w:val="nil"/>
              <w:left w:val="nil"/>
              <w:bottom w:val="nil"/>
              <w:right w:val="nil"/>
            </w:tcBorders>
          </w:tcPr>
          <w:p w14:paraId="208AFC8F">
            <w:pPr>
              <w:pStyle w:val="98"/>
              <w:widowControl w:val="0"/>
            </w:pPr>
            <w:r>
              <w:rPr>
                <w:rFonts w:hint="eastAsia"/>
              </w:rPr>
              <w:t>（b）参数消融OACC结果</w:t>
            </w:r>
          </w:p>
        </w:tc>
      </w:tr>
    </w:tbl>
    <w:p w14:paraId="383B363D">
      <w:pPr>
        <w:pStyle w:val="98"/>
      </w:pPr>
      <w:r>
        <w:rPr>
          <w:rFonts w:hint="eastAsia"/>
        </w:rPr>
        <w:t xml:space="preserve">图5-1 </w:t>
      </w:r>
      <w:r>
        <w:rPr>
          <w:rFonts w:hint="eastAsia"/>
          <w:lang w:val="en-US" w:eastAsia="zh-CN"/>
        </w:rPr>
        <w:t>参数消融实验</w:t>
      </w:r>
      <w:r>
        <w:rPr>
          <w:rFonts w:hint="eastAsia"/>
        </w:rPr>
        <w:t>结果</w:t>
      </w:r>
    </w:p>
    <w:p w14:paraId="529C9EEC">
      <w:pPr>
        <w:ind w:firstLine="480"/>
      </w:pPr>
      <w:r>
        <w:rPr>
          <w:rFonts w:hint="eastAsia"/>
        </w:rPr>
        <w:t>组件消融结果如表5-2所示。总体而言，去除任一关键模块都会导致防御性能下降，说明本文所构建的检索扩展、嵌入空间异常检测、</w:t>
      </w:r>
      <w:r>
        <w:rPr>
          <w:rFonts w:hint="eastAsia"/>
          <w:lang w:eastAsia="zh-CN"/>
        </w:rPr>
        <w:t>语句级</w:t>
      </w:r>
      <w:r>
        <w:rPr>
          <w:rFonts w:hint="eastAsia"/>
        </w:rPr>
        <w:t>困惑度异常检测以及外部护栏协同机制均具有实际贡献。其中，去掉检索扩展后，三种攻击下的OACC分别下降至8</w:t>
      </w:r>
      <w:r>
        <w:rPr>
          <w:rFonts w:hint="eastAsia"/>
          <w:lang w:val="en-US" w:eastAsia="zh-CN"/>
        </w:rPr>
        <w:t>9</w:t>
      </w:r>
      <w:r>
        <w:rPr>
          <w:rFonts w:hint="eastAsia"/>
        </w:rPr>
        <w:t>.</w:t>
      </w:r>
      <w:r>
        <w:rPr>
          <w:rFonts w:hint="eastAsia"/>
          <w:lang w:val="en-US" w:eastAsia="zh-CN"/>
        </w:rPr>
        <w:t>3</w:t>
      </w:r>
      <w:r>
        <w:rPr>
          <w:rFonts w:hint="eastAsia"/>
        </w:rPr>
        <w:t>%、87.</w:t>
      </w:r>
      <w:r>
        <w:rPr>
          <w:rFonts w:hint="eastAsia"/>
          <w:lang w:val="en-US" w:eastAsia="zh-CN"/>
        </w:rPr>
        <w:t>3</w:t>
      </w:r>
      <w:r>
        <w:rPr>
          <w:rFonts w:hint="eastAsia"/>
        </w:rPr>
        <w:t>%与87.3%，较完整算法出现明显退化，说明检索扩展能够通过扩大候选集合、提升干净证据占比，为后续异常检测创造更有利的过滤条件；去掉第二阶段的嵌入空间异常检测后，DACC与OACC均出现最明显下降，表明该阶段对于捕捉投毒文本在语义空间中的异常聚集模式具有核心作用，是整个检索护栏的关键检测环节；去掉第三阶段的</w:t>
      </w:r>
      <w:r>
        <w:rPr>
          <w:rFonts w:hint="eastAsia"/>
          <w:lang w:eastAsia="zh-CN"/>
        </w:rPr>
        <w:t>语句级</w:t>
      </w:r>
      <w:r>
        <w:rPr>
          <w:rFonts w:hint="eastAsia"/>
        </w:rPr>
        <w:t>困惑度异常检测后，在三种攻击下的OACC分别为93.3%、92.0%与92.0%，仍出现稳定退化，说明局部语言风格断裂与困惑度跳变等细粒度统计特征能够为嵌入空间检测提供有效补充。此外，去掉输入与输出护栏后，DACC变化不显著，但在PIA</w:t>
      </w:r>
      <w:r>
        <w:rPr>
          <w:rFonts w:hint="eastAsia"/>
          <w:lang w:val="en-US" w:eastAsia="zh-CN"/>
        </w:rPr>
        <w:t>攻击</w:t>
      </w:r>
      <w:r>
        <w:rPr>
          <w:rFonts w:hint="eastAsia"/>
        </w:rPr>
        <w:t>下OACC由97.</w:t>
      </w:r>
      <w:r>
        <w:rPr>
          <w:rFonts w:hint="eastAsia"/>
          <w:lang w:val="en-US" w:eastAsia="zh-CN"/>
        </w:rPr>
        <w:t>3</w:t>
      </w:r>
      <w:r>
        <w:rPr>
          <w:rFonts w:hint="eastAsia"/>
        </w:rPr>
        <w:t>%明显下降至8</w:t>
      </w:r>
      <w:r>
        <w:rPr>
          <w:rFonts w:hint="eastAsia"/>
          <w:lang w:val="en-US" w:eastAsia="zh-CN"/>
        </w:rPr>
        <w:t>5</w:t>
      </w:r>
      <w:r>
        <w:rPr>
          <w:rFonts w:hint="eastAsia"/>
        </w:rPr>
        <w:t>.</w:t>
      </w:r>
      <w:r>
        <w:rPr>
          <w:rFonts w:hint="eastAsia"/>
          <w:lang w:val="en-US" w:eastAsia="zh-CN"/>
        </w:rPr>
        <w:t>3</w:t>
      </w:r>
      <w:r>
        <w:rPr>
          <w:rFonts w:hint="eastAsia"/>
        </w:rPr>
        <w:t>%，说明外部护栏虽然并不直接决定检索阶段的文本级判别精度，却能够有效抑制提示注入类攻击在生成端的放大效应。综合来看，完整算法在三类攻击下均取得了最优或接近最优的DACC与OACC，验证了各模块之间具有明显的功能分工与协同增益。</w:t>
      </w:r>
    </w:p>
    <w:p w14:paraId="5D8998A0">
      <w:pPr>
        <w:pStyle w:val="9"/>
        <w:keepNext/>
      </w:pPr>
      <w:r>
        <w:rPr>
          <w:rFonts w:hint="eastAsia"/>
        </w:rPr>
        <w:t>表5</w:t>
      </w:r>
      <w:r>
        <w:noBreakHyphen/>
      </w:r>
      <w:r>
        <w:rPr>
          <w:rFonts w:hint="eastAsia"/>
        </w:rPr>
        <w:t xml:space="preserve">2 </w:t>
      </w:r>
      <w:r>
        <w:rPr>
          <w:rFonts w:hint="eastAsia"/>
          <w:lang w:val="en-US" w:eastAsia="zh-CN"/>
        </w:rPr>
        <w:t>组件消融</w:t>
      </w:r>
      <w:r>
        <w:rPr>
          <w:rFonts w:hint="eastAsia"/>
        </w:rPr>
        <w:t>实验结果</w:t>
      </w:r>
    </w:p>
    <w:tbl>
      <w:tblPr>
        <w:tblStyle w:val="37"/>
        <w:tblW w:w="8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765"/>
        <w:gridCol w:w="765"/>
        <w:gridCol w:w="765"/>
        <w:gridCol w:w="765"/>
        <w:gridCol w:w="765"/>
        <w:gridCol w:w="765"/>
        <w:gridCol w:w="765"/>
        <w:gridCol w:w="765"/>
        <w:gridCol w:w="765"/>
        <w:gridCol w:w="765"/>
      </w:tblGrid>
      <w:tr w14:paraId="1774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Merge w:val="restart"/>
            <w:tcBorders>
              <w:top w:val="single" w:color="auto" w:sz="12" w:space="0"/>
              <w:left w:val="nil"/>
              <w:bottom w:val="single" w:color="auto" w:sz="4" w:space="0"/>
              <w:right w:val="nil"/>
            </w:tcBorders>
            <w:vAlign w:val="center"/>
          </w:tcPr>
          <w:p w14:paraId="02B12A9D">
            <w:pPr>
              <w:pStyle w:val="94"/>
            </w:pPr>
            <w:r>
              <w:rPr>
                <w:rFonts w:hint="eastAsia"/>
              </w:rPr>
              <w:t>攻击方法</w:t>
            </w:r>
          </w:p>
        </w:tc>
        <w:tc>
          <w:tcPr>
            <w:tcW w:w="7650" w:type="dxa"/>
            <w:gridSpan w:val="10"/>
            <w:tcBorders>
              <w:top w:val="single" w:color="auto" w:sz="12" w:space="0"/>
              <w:left w:val="nil"/>
              <w:bottom w:val="nil"/>
              <w:right w:val="nil"/>
            </w:tcBorders>
            <w:vAlign w:val="center"/>
          </w:tcPr>
          <w:p w14:paraId="61BC7F82">
            <w:pPr>
              <w:pStyle w:val="94"/>
            </w:pPr>
            <w:r>
              <w:rPr>
                <w:rFonts w:hint="eastAsia"/>
              </w:rPr>
              <w:t>防御方法</w:t>
            </w:r>
          </w:p>
        </w:tc>
      </w:tr>
      <w:tr w14:paraId="7D94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Merge w:val="continue"/>
            <w:tcBorders>
              <w:top w:val="single" w:color="auto" w:sz="4" w:space="0"/>
              <w:left w:val="nil"/>
              <w:bottom w:val="nil"/>
              <w:right w:val="nil"/>
            </w:tcBorders>
            <w:vAlign w:val="center"/>
          </w:tcPr>
          <w:p w14:paraId="6A7CA95B">
            <w:pPr>
              <w:pStyle w:val="94"/>
            </w:pPr>
          </w:p>
        </w:tc>
        <w:tc>
          <w:tcPr>
            <w:tcW w:w="1530" w:type="dxa"/>
            <w:gridSpan w:val="2"/>
            <w:tcBorders>
              <w:top w:val="nil"/>
              <w:left w:val="nil"/>
              <w:bottom w:val="single" w:color="auto" w:sz="4" w:space="0"/>
              <w:right w:val="nil"/>
            </w:tcBorders>
            <w:vAlign w:val="center"/>
          </w:tcPr>
          <w:p w14:paraId="4B7A0291">
            <w:pPr>
              <w:pStyle w:val="94"/>
            </w:pPr>
            <w:r>
              <w:rPr>
                <w:rFonts w:hint="eastAsia"/>
              </w:rPr>
              <w:t>无检索扩展</w:t>
            </w:r>
          </w:p>
        </w:tc>
        <w:tc>
          <w:tcPr>
            <w:tcW w:w="1530" w:type="dxa"/>
            <w:gridSpan w:val="2"/>
            <w:tcBorders>
              <w:top w:val="nil"/>
              <w:left w:val="nil"/>
              <w:bottom w:val="single" w:color="auto" w:sz="4" w:space="0"/>
              <w:right w:val="nil"/>
            </w:tcBorders>
            <w:vAlign w:val="center"/>
          </w:tcPr>
          <w:p w14:paraId="22C14DD8">
            <w:pPr>
              <w:pStyle w:val="94"/>
            </w:pPr>
            <w:r>
              <w:rPr>
                <w:rFonts w:hint="eastAsia"/>
              </w:rPr>
              <w:t>无阶段2</w:t>
            </w:r>
          </w:p>
        </w:tc>
        <w:tc>
          <w:tcPr>
            <w:tcW w:w="1530" w:type="dxa"/>
            <w:gridSpan w:val="2"/>
            <w:tcBorders>
              <w:top w:val="nil"/>
              <w:left w:val="nil"/>
              <w:bottom w:val="single" w:color="auto" w:sz="4" w:space="0"/>
              <w:right w:val="nil"/>
            </w:tcBorders>
            <w:vAlign w:val="center"/>
          </w:tcPr>
          <w:p w14:paraId="6CD410C9">
            <w:pPr>
              <w:pStyle w:val="94"/>
            </w:pPr>
            <w:r>
              <w:rPr>
                <w:rFonts w:hint="eastAsia"/>
              </w:rPr>
              <w:t>无阶段3</w:t>
            </w:r>
          </w:p>
        </w:tc>
        <w:tc>
          <w:tcPr>
            <w:tcW w:w="1530" w:type="dxa"/>
            <w:gridSpan w:val="2"/>
            <w:tcBorders>
              <w:top w:val="nil"/>
              <w:left w:val="nil"/>
              <w:bottom w:val="single" w:color="auto" w:sz="4" w:space="0"/>
              <w:right w:val="nil"/>
            </w:tcBorders>
            <w:vAlign w:val="center"/>
          </w:tcPr>
          <w:p w14:paraId="1E94ED80">
            <w:pPr>
              <w:pStyle w:val="94"/>
            </w:pPr>
            <w:r>
              <w:rPr>
                <w:rFonts w:hint="eastAsia"/>
              </w:rPr>
              <w:t>无外部护栏</w:t>
            </w:r>
          </w:p>
        </w:tc>
        <w:tc>
          <w:tcPr>
            <w:tcW w:w="1530" w:type="dxa"/>
            <w:gridSpan w:val="2"/>
            <w:tcBorders>
              <w:top w:val="nil"/>
              <w:left w:val="nil"/>
              <w:bottom w:val="single" w:color="auto" w:sz="4" w:space="0"/>
              <w:right w:val="nil"/>
            </w:tcBorders>
            <w:vAlign w:val="center"/>
          </w:tcPr>
          <w:p w14:paraId="5268125A">
            <w:pPr>
              <w:pStyle w:val="94"/>
            </w:pPr>
            <w:r>
              <w:rPr>
                <w:rFonts w:hint="eastAsia"/>
              </w:rPr>
              <w:t>完整算法</w:t>
            </w:r>
          </w:p>
        </w:tc>
      </w:tr>
      <w:tr w14:paraId="4916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Merge w:val="continue"/>
            <w:tcBorders>
              <w:top w:val="nil"/>
              <w:left w:val="nil"/>
              <w:bottom w:val="single" w:color="auto" w:sz="4" w:space="0"/>
              <w:right w:val="nil"/>
            </w:tcBorders>
            <w:vAlign w:val="center"/>
          </w:tcPr>
          <w:p w14:paraId="561A3B0C">
            <w:pPr>
              <w:pStyle w:val="94"/>
            </w:pPr>
          </w:p>
        </w:tc>
        <w:tc>
          <w:tcPr>
            <w:tcW w:w="765" w:type="dxa"/>
            <w:tcBorders>
              <w:top w:val="single" w:color="auto" w:sz="4" w:space="0"/>
              <w:left w:val="nil"/>
              <w:bottom w:val="single" w:color="auto" w:sz="4" w:space="0"/>
              <w:right w:val="nil"/>
            </w:tcBorders>
            <w:vAlign w:val="center"/>
          </w:tcPr>
          <w:p w14:paraId="475831D2">
            <w:pPr>
              <w:pStyle w:val="94"/>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1D7C25CD">
            <w:pPr>
              <w:pStyle w:val="94"/>
              <w:rPr>
                <w:sz w:val="18"/>
                <w:szCs w:val="21"/>
              </w:rPr>
            </w:pPr>
            <w:r>
              <w:rPr>
                <w:rFonts w:hint="eastAsia"/>
                <w:sz w:val="18"/>
                <w:szCs w:val="21"/>
              </w:rPr>
              <w:t>OACC</w:t>
            </w:r>
          </w:p>
        </w:tc>
        <w:tc>
          <w:tcPr>
            <w:tcW w:w="765" w:type="dxa"/>
            <w:tcBorders>
              <w:top w:val="single" w:color="auto" w:sz="4" w:space="0"/>
              <w:left w:val="nil"/>
              <w:bottom w:val="single" w:color="auto" w:sz="4" w:space="0"/>
              <w:right w:val="nil"/>
            </w:tcBorders>
            <w:vAlign w:val="center"/>
          </w:tcPr>
          <w:p w14:paraId="3EC2DB27">
            <w:pPr>
              <w:pStyle w:val="94"/>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545E2B0D">
            <w:pPr>
              <w:pStyle w:val="94"/>
              <w:rPr>
                <w:sz w:val="18"/>
                <w:szCs w:val="21"/>
              </w:rPr>
            </w:pPr>
            <w:r>
              <w:rPr>
                <w:rFonts w:hint="eastAsia"/>
                <w:sz w:val="18"/>
                <w:szCs w:val="21"/>
              </w:rPr>
              <w:t>OACC</w:t>
            </w:r>
          </w:p>
        </w:tc>
        <w:tc>
          <w:tcPr>
            <w:tcW w:w="765" w:type="dxa"/>
            <w:tcBorders>
              <w:top w:val="single" w:color="auto" w:sz="4" w:space="0"/>
              <w:left w:val="nil"/>
              <w:bottom w:val="single" w:color="auto" w:sz="4" w:space="0"/>
              <w:right w:val="nil"/>
            </w:tcBorders>
            <w:vAlign w:val="center"/>
          </w:tcPr>
          <w:p w14:paraId="3BA6814B">
            <w:pPr>
              <w:pStyle w:val="94"/>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7DBADF7A">
            <w:pPr>
              <w:pStyle w:val="94"/>
              <w:rPr>
                <w:sz w:val="18"/>
                <w:szCs w:val="21"/>
              </w:rPr>
            </w:pPr>
            <w:r>
              <w:rPr>
                <w:rFonts w:hint="eastAsia"/>
                <w:sz w:val="18"/>
                <w:szCs w:val="21"/>
              </w:rPr>
              <w:t>OACC</w:t>
            </w:r>
          </w:p>
        </w:tc>
        <w:tc>
          <w:tcPr>
            <w:tcW w:w="765" w:type="dxa"/>
            <w:tcBorders>
              <w:top w:val="single" w:color="auto" w:sz="4" w:space="0"/>
              <w:left w:val="nil"/>
              <w:bottom w:val="single" w:color="auto" w:sz="4" w:space="0"/>
              <w:right w:val="nil"/>
            </w:tcBorders>
            <w:vAlign w:val="center"/>
          </w:tcPr>
          <w:p w14:paraId="051C453C">
            <w:pPr>
              <w:pStyle w:val="94"/>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2898B04B">
            <w:pPr>
              <w:pStyle w:val="94"/>
              <w:rPr>
                <w:sz w:val="18"/>
                <w:szCs w:val="21"/>
              </w:rPr>
            </w:pPr>
            <w:r>
              <w:rPr>
                <w:rFonts w:hint="eastAsia"/>
                <w:sz w:val="18"/>
                <w:szCs w:val="21"/>
              </w:rPr>
              <w:t>OACC</w:t>
            </w:r>
          </w:p>
        </w:tc>
        <w:tc>
          <w:tcPr>
            <w:tcW w:w="765" w:type="dxa"/>
            <w:tcBorders>
              <w:top w:val="single" w:color="auto" w:sz="4" w:space="0"/>
              <w:left w:val="nil"/>
              <w:bottom w:val="single" w:color="auto" w:sz="4" w:space="0"/>
              <w:right w:val="nil"/>
            </w:tcBorders>
            <w:vAlign w:val="center"/>
          </w:tcPr>
          <w:p w14:paraId="04AFE825">
            <w:pPr>
              <w:pStyle w:val="94"/>
              <w:rPr>
                <w:sz w:val="18"/>
                <w:szCs w:val="21"/>
              </w:rPr>
            </w:pPr>
            <w:r>
              <w:rPr>
                <w:rFonts w:hint="eastAsia"/>
                <w:sz w:val="18"/>
                <w:szCs w:val="21"/>
              </w:rPr>
              <w:t>DACC</w:t>
            </w:r>
          </w:p>
        </w:tc>
        <w:tc>
          <w:tcPr>
            <w:tcW w:w="765" w:type="dxa"/>
            <w:tcBorders>
              <w:top w:val="single" w:color="auto" w:sz="4" w:space="0"/>
              <w:left w:val="nil"/>
              <w:bottom w:val="single" w:color="auto" w:sz="4" w:space="0"/>
              <w:right w:val="nil"/>
            </w:tcBorders>
            <w:vAlign w:val="center"/>
          </w:tcPr>
          <w:p w14:paraId="6B697E13">
            <w:pPr>
              <w:pStyle w:val="94"/>
              <w:rPr>
                <w:sz w:val="18"/>
                <w:szCs w:val="21"/>
              </w:rPr>
            </w:pPr>
            <w:r>
              <w:rPr>
                <w:rFonts w:hint="eastAsia"/>
                <w:sz w:val="18"/>
                <w:szCs w:val="21"/>
              </w:rPr>
              <w:t>OACC</w:t>
            </w:r>
          </w:p>
        </w:tc>
      </w:tr>
      <w:tr w14:paraId="44C1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051" w:type="dxa"/>
            <w:tcBorders>
              <w:top w:val="single" w:color="auto" w:sz="4" w:space="0"/>
              <w:left w:val="nil"/>
              <w:bottom w:val="nil"/>
              <w:right w:val="nil"/>
            </w:tcBorders>
            <w:vAlign w:val="center"/>
          </w:tcPr>
          <w:p w14:paraId="002B2B4B">
            <w:pPr>
              <w:pStyle w:val="94"/>
            </w:pPr>
            <w:r>
              <w:rPr>
                <w:rFonts w:hint="eastAsia"/>
              </w:rPr>
              <w:t>Poisoned-RAG</w:t>
            </w:r>
          </w:p>
        </w:tc>
        <w:tc>
          <w:tcPr>
            <w:tcW w:w="765" w:type="dxa"/>
            <w:tcBorders>
              <w:top w:val="single" w:color="auto" w:sz="4" w:space="0"/>
              <w:left w:val="nil"/>
              <w:bottom w:val="nil"/>
              <w:right w:val="nil"/>
            </w:tcBorders>
            <w:vAlign w:val="center"/>
          </w:tcPr>
          <w:p w14:paraId="13287E44">
            <w:pPr>
              <w:pStyle w:val="94"/>
              <w:rPr>
                <w:rFonts w:hint="eastAsia" w:eastAsia="宋体"/>
                <w:lang w:val="en-US" w:eastAsia="zh-CN"/>
              </w:rPr>
            </w:pPr>
            <w:r>
              <w:rPr>
                <w:rFonts w:hint="eastAsia"/>
              </w:rPr>
              <w:t>93.</w:t>
            </w:r>
            <w:r>
              <w:rPr>
                <w:rFonts w:hint="eastAsia"/>
                <w:lang w:val="en-US" w:eastAsia="zh-CN"/>
              </w:rPr>
              <w:t>3</w:t>
            </w:r>
          </w:p>
        </w:tc>
        <w:tc>
          <w:tcPr>
            <w:tcW w:w="765" w:type="dxa"/>
            <w:tcBorders>
              <w:top w:val="single" w:color="auto" w:sz="4" w:space="0"/>
              <w:left w:val="nil"/>
              <w:bottom w:val="nil"/>
              <w:right w:val="nil"/>
            </w:tcBorders>
            <w:vAlign w:val="center"/>
          </w:tcPr>
          <w:p w14:paraId="1380BC04">
            <w:pPr>
              <w:pStyle w:val="94"/>
              <w:rPr>
                <w:rFonts w:hint="eastAsia" w:eastAsia="宋体"/>
                <w:lang w:eastAsia="zh-CN"/>
              </w:rPr>
            </w:pPr>
            <w:r>
              <w:rPr>
                <w:rFonts w:hint="eastAsia"/>
                <w:lang w:val="en-US" w:eastAsia="zh-CN"/>
              </w:rPr>
              <w:t>89</w:t>
            </w:r>
            <w:r>
              <w:rPr>
                <w:rFonts w:hint="eastAsia"/>
              </w:rPr>
              <w:t>.</w:t>
            </w:r>
            <w:r>
              <w:rPr>
                <w:rFonts w:hint="eastAsia"/>
                <w:lang w:val="en-US" w:eastAsia="zh-CN"/>
              </w:rPr>
              <w:t>3</w:t>
            </w:r>
          </w:p>
        </w:tc>
        <w:tc>
          <w:tcPr>
            <w:tcW w:w="765" w:type="dxa"/>
            <w:tcBorders>
              <w:top w:val="single" w:color="auto" w:sz="4" w:space="0"/>
              <w:left w:val="nil"/>
              <w:bottom w:val="nil"/>
              <w:right w:val="nil"/>
            </w:tcBorders>
            <w:vAlign w:val="center"/>
          </w:tcPr>
          <w:p w14:paraId="4CB9A7F8">
            <w:pPr>
              <w:pStyle w:val="94"/>
            </w:pPr>
            <w:r>
              <w:rPr>
                <w:rFonts w:hint="eastAsia"/>
              </w:rPr>
              <w:t>85.3</w:t>
            </w:r>
          </w:p>
        </w:tc>
        <w:tc>
          <w:tcPr>
            <w:tcW w:w="765" w:type="dxa"/>
            <w:tcBorders>
              <w:top w:val="single" w:color="auto" w:sz="4" w:space="0"/>
              <w:left w:val="nil"/>
              <w:bottom w:val="nil"/>
              <w:right w:val="nil"/>
            </w:tcBorders>
            <w:vAlign w:val="center"/>
          </w:tcPr>
          <w:p w14:paraId="096DC22D">
            <w:pPr>
              <w:pStyle w:val="94"/>
              <w:rPr>
                <w:rFonts w:hint="eastAsia" w:eastAsia="宋体"/>
                <w:lang w:eastAsia="zh-CN"/>
              </w:rPr>
            </w:pPr>
            <w:r>
              <w:rPr>
                <w:rFonts w:hint="eastAsia"/>
              </w:rPr>
              <w:t>8</w:t>
            </w:r>
            <w:r>
              <w:rPr>
                <w:rFonts w:hint="eastAsia"/>
                <w:lang w:val="en-US" w:eastAsia="zh-CN"/>
              </w:rPr>
              <w:t>8</w:t>
            </w:r>
            <w:r>
              <w:rPr>
                <w:rFonts w:hint="eastAsia"/>
              </w:rPr>
              <w:t>.</w:t>
            </w:r>
            <w:r>
              <w:rPr>
                <w:rFonts w:hint="eastAsia"/>
                <w:lang w:val="en-US" w:eastAsia="zh-CN"/>
              </w:rPr>
              <w:t>0</w:t>
            </w:r>
          </w:p>
        </w:tc>
        <w:tc>
          <w:tcPr>
            <w:tcW w:w="765" w:type="dxa"/>
            <w:tcBorders>
              <w:top w:val="single" w:color="auto" w:sz="4" w:space="0"/>
              <w:left w:val="nil"/>
              <w:bottom w:val="nil"/>
              <w:right w:val="nil"/>
            </w:tcBorders>
            <w:vAlign w:val="center"/>
          </w:tcPr>
          <w:p w14:paraId="52BEDF4F">
            <w:pPr>
              <w:pStyle w:val="94"/>
              <w:rPr>
                <w:rFonts w:hint="eastAsia" w:eastAsia="宋体"/>
                <w:lang w:eastAsia="zh-CN"/>
              </w:rPr>
            </w:pPr>
            <w:r>
              <w:rPr>
                <w:rFonts w:hint="eastAsia"/>
              </w:rPr>
              <w:t>9</w:t>
            </w:r>
            <w:r>
              <w:rPr>
                <w:rFonts w:hint="eastAsia"/>
                <w:lang w:val="en-US" w:eastAsia="zh-CN"/>
              </w:rPr>
              <w:t>0</w:t>
            </w:r>
            <w:r>
              <w:rPr>
                <w:rFonts w:hint="eastAsia"/>
              </w:rPr>
              <w:t>.</w:t>
            </w:r>
            <w:r>
              <w:rPr>
                <w:rFonts w:hint="eastAsia"/>
                <w:lang w:val="en-US" w:eastAsia="zh-CN"/>
              </w:rPr>
              <w:t>7</w:t>
            </w:r>
          </w:p>
        </w:tc>
        <w:tc>
          <w:tcPr>
            <w:tcW w:w="765" w:type="dxa"/>
            <w:tcBorders>
              <w:top w:val="single" w:color="auto" w:sz="4" w:space="0"/>
              <w:left w:val="nil"/>
              <w:bottom w:val="nil"/>
              <w:right w:val="nil"/>
            </w:tcBorders>
            <w:vAlign w:val="center"/>
          </w:tcPr>
          <w:p w14:paraId="7F89C4EB">
            <w:pPr>
              <w:pStyle w:val="94"/>
              <w:rPr>
                <w:rFonts w:hint="eastAsia" w:eastAsia="宋体"/>
                <w:lang w:eastAsia="zh-CN"/>
              </w:rPr>
            </w:pPr>
            <w:r>
              <w:rPr>
                <w:rFonts w:hint="eastAsia"/>
              </w:rPr>
              <w:t>93.</w:t>
            </w:r>
            <w:r>
              <w:rPr>
                <w:rFonts w:hint="eastAsia"/>
                <w:lang w:val="en-US" w:eastAsia="zh-CN"/>
              </w:rPr>
              <w:t>3</w:t>
            </w:r>
          </w:p>
        </w:tc>
        <w:tc>
          <w:tcPr>
            <w:tcW w:w="765" w:type="dxa"/>
            <w:tcBorders>
              <w:top w:val="single" w:color="auto" w:sz="4" w:space="0"/>
              <w:left w:val="nil"/>
              <w:bottom w:val="nil"/>
              <w:right w:val="nil"/>
            </w:tcBorders>
            <w:vAlign w:val="center"/>
          </w:tcPr>
          <w:p w14:paraId="635468CD">
            <w:pPr>
              <w:pStyle w:val="94"/>
              <w:rPr>
                <w:rFonts w:hint="eastAsia" w:eastAsia="宋体"/>
                <w:lang w:eastAsia="zh-CN"/>
              </w:rPr>
            </w:pPr>
            <w:r>
              <w:rPr>
                <w:rFonts w:hint="eastAsia"/>
              </w:rPr>
              <w:t>93.</w:t>
            </w:r>
            <w:r>
              <w:rPr>
                <w:rFonts w:hint="eastAsia"/>
                <w:lang w:val="en-US" w:eastAsia="zh-CN"/>
              </w:rPr>
              <w:t>3</w:t>
            </w:r>
          </w:p>
        </w:tc>
        <w:tc>
          <w:tcPr>
            <w:tcW w:w="765" w:type="dxa"/>
            <w:tcBorders>
              <w:top w:val="single" w:color="auto" w:sz="4" w:space="0"/>
              <w:left w:val="nil"/>
              <w:bottom w:val="nil"/>
              <w:right w:val="nil"/>
            </w:tcBorders>
            <w:vAlign w:val="center"/>
          </w:tcPr>
          <w:p w14:paraId="38455D03">
            <w:pPr>
              <w:pStyle w:val="94"/>
              <w:rPr>
                <w:rFonts w:hint="eastAsia" w:eastAsia="宋体"/>
                <w:lang w:val="en-US" w:eastAsia="zh-CN"/>
              </w:rPr>
            </w:pPr>
            <w:r>
              <w:rPr>
                <w:rFonts w:hint="eastAsia"/>
              </w:rPr>
              <w:t>9</w:t>
            </w:r>
            <w:r>
              <w:rPr>
                <w:rFonts w:hint="eastAsia"/>
                <w:lang w:val="en-US" w:eastAsia="zh-CN"/>
              </w:rPr>
              <w:t>4</w:t>
            </w:r>
            <w:r>
              <w:rPr>
                <w:rFonts w:hint="eastAsia"/>
              </w:rPr>
              <w:t>.</w:t>
            </w:r>
            <w:r>
              <w:rPr>
                <w:rFonts w:hint="eastAsia"/>
                <w:lang w:val="en-US" w:eastAsia="zh-CN"/>
              </w:rPr>
              <w:t>7</w:t>
            </w:r>
          </w:p>
        </w:tc>
        <w:tc>
          <w:tcPr>
            <w:tcW w:w="765" w:type="dxa"/>
            <w:tcBorders>
              <w:top w:val="single" w:color="auto" w:sz="4" w:space="0"/>
              <w:left w:val="nil"/>
              <w:bottom w:val="nil"/>
              <w:right w:val="nil"/>
            </w:tcBorders>
            <w:vAlign w:val="center"/>
          </w:tcPr>
          <w:p w14:paraId="580DFC14">
            <w:pPr>
              <w:pStyle w:val="94"/>
              <w:rPr>
                <w:rFonts w:hint="eastAsia" w:eastAsia="宋体"/>
                <w:lang w:eastAsia="zh-CN"/>
              </w:rPr>
            </w:pPr>
            <w:r>
              <w:rPr>
                <w:rFonts w:hint="eastAsia"/>
              </w:rPr>
              <w:t>9</w:t>
            </w:r>
            <w:r>
              <w:rPr>
                <w:rFonts w:hint="eastAsia"/>
                <w:lang w:val="en-US" w:eastAsia="zh-CN"/>
              </w:rPr>
              <w:t>4</w:t>
            </w:r>
            <w:r>
              <w:rPr>
                <w:rFonts w:hint="eastAsia"/>
              </w:rPr>
              <w:t>.</w:t>
            </w:r>
            <w:r>
              <w:rPr>
                <w:rFonts w:hint="eastAsia"/>
                <w:lang w:val="en-US" w:eastAsia="zh-CN"/>
              </w:rPr>
              <w:t>7</w:t>
            </w:r>
          </w:p>
        </w:tc>
        <w:tc>
          <w:tcPr>
            <w:tcW w:w="765" w:type="dxa"/>
            <w:tcBorders>
              <w:top w:val="single" w:color="auto" w:sz="4" w:space="0"/>
              <w:left w:val="nil"/>
              <w:bottom w:val="nil"/>
              <w:right w:val="nil"/>
            </w:tcBorders>
            <w:vAlign w:val="center"/>
          </w:tcPr>
          <w:p w14:paraId="2B8C69C0">
            <w:pPr>
              <w:pStyle w:val="94"/>
              <w:rPr>
                <w:rFonts w:hint="eastAsia" w:eastAsia="宋体"/>
                <w:lang w:eastAsia="zh-CN"/>
              </w:rPr>
            </w:pPr>
            <w:r>
              <w:rPr>
                <w:rFonts w:hint="eastAsia"/>
              </w:rPr>
              <w:t>97.</w:t>
            </w:r>
            <w:r>
              <w:rPr>
                <w:rFonts w:hint="eastAsia"/>
                <w:lang w:val="en-US" w:eastAsia="zh-CN"/>
              </w:rPr>
              <w:t>3</w:t>
            </w:r>
          </w:p>
        </w:tc>
      </w:tr>
      <w:tr w14:paraId="2894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tcBorders>
              <w:top w:val="nil"/>
              <w:left w:val="nil"/>
              <w:bottom w:val="nil"/>
              <w:right w:val="nil"/>
            </w:tcBorders>
            <w:vAlign w:val="center"/>
          </w:tcPr>
          <w:p w14:paraId="58E7834B">
            <w:pPr>
              <w:pStyle w:val="94"/>
            </w:pPr>
            <w:r>
              <w:rPr>
                <w:rFonts w:hint="eastAsia"/>
              </w:rPr>
              <w:t>PIA</w:t>
            </w:r>
          </w:p>
        </w:tc>
        <w:tc>
          <w:tcPr>
            <w:tcW w:w="765" w:type="dxa"/>
            <w:tcBorders>
              <w:top w:val="nil"/>
              <w:left w:val="nil"/>
              <w:bottom w:val="nil"/>
              <w:right w:val="nil"/>
            </w:tcBorders>
            <w:vAlign w:val="center"/>
          </w:tcPr>
          <w:p w14:paraId="44A4B9B3">
            <w:pPr>
              <w:pStyle w:val="94"/>
              <w:rPr>
                <w:rFonts w:hint="eastAsia" w:eastAsia="宋体"/>
                <w:lang w:eastAsia="zh-CN"/>
              </w:rPr>
            </w:pPr>
            <w:r>
              <w:rPr>
                <w:rFonts w:hint="eastAsia"/>
              </w:rPr>
              <w:t>9</w:t>
            </w:r>
            <w:r>
              <w:rPr>
                <w:rFonts w:hint="eastAsia"/>
                <w:lang w:val="en-US" w:eastAsia="zh-CN"/>
              </w:rPr>
              <w:t>2</w:t>
            </w:r>
            <w:r>
              <w:rPr>
                <w:rFonts w:hint="eastAsia"/>
              </w:rPr>
              <w:t>.</w:t>
            </w:r>
            <w:r>
              <w:rPr>
                <w:rFonts w:hint="eastAsia"/>
                <w:lang w:val="en-US" w:eastAsia="zh-CN"/>
              </w:rPr>
              <w:t>0</w:t>
            </w:r>
          </w:p>
        </w:tc>
        <w:tc>
          <w:tcPr>
            <w:tcW w:w="765" w:type="dxa"/>
            <w:tcBorders>
              <w:top w:val="nil"/>
              <w:left w:val="nil"/>
              <w:bottom w:val="nil"/>
              <w:right w:val="nil"/>
            </w:tcBorders>
            <w:vAlign w:val="center"/>
          </w:tcPr>
          <w:p w14:paraId="7E74DF9D">
            <w:pPr>
              <w:pStyle w:val="94"/>
              <w:rPr>
                <w:rFonts w:hint="eastAsia" w:eastAsia="宋体"/>
                <w:lang w:val="en-US" w:eastAsia="zh-CN"/>
              </w:rPr>
            </w:pPr>
            <w:r>
              <w:rPr>
                <w:rFonts w:hint="eastAsia"/>
              </w:rPr>
              <w:t>8</w:t>
            </w:r>
            <w:r>
              <w:rPr>
                <w:rFonts w:hint="eastAsia"/>
                <w:lang w:val="en-US" w:eastAsia="zh-CN"/>
              </w:rPr>
              <w:t>8</w:t>
            </w:r>
            <w:r>
              <w:rPr>
                <w:rFonts w:hint="eastAsia"/>
              </w:rPr>
              <w:t>.</w:t>
            </w:r>
            <w:r>
              <w:rPr>
                <w:rFonts w:hint="eastAsia"/>
                <w:lang w:val="en-US" w:eastAsia="zh-CN"/>
              </w:rPr>
              <w:t>0</w:t>
            </w:r>
          </w:p>
        </w:tc>
        <w:tc>
          <w:tcPr>
            <w:tcW w:w="765" w:type="dxa"/>
            <w:tcBorders>
              <w:top w:val="nil"/>
              <w:left w:val="nil"/>
              <w:bottom w:val="nil"/>
              <w:right w:val="nil"/>
            </w:tcBorders>
            <w:vAlign w:val="center"/>
          </w:tcPr>
          <w:p w14:paraId="64B39733">
            <w:pPr>
              <w:pStyle w:val="94"/>
              <w:rPr>
                <w:rFonts w:hint="eastAsia" w:eastAsia="宋体"/>
                <w:lang w:eastAsia="zh-CN"/>
              </w:rPr>
            </w:pPr>
            <w:r>
              <w:rPr>
                <w:rFonts w:hint="eastAsia"/>
              </w:rPr>
              <w:t>8</w:t>
            </w:r>
            <w:r>
              <w:rPr>
                <w:rFonts w:hint="eastAsia"/>
                <w:lang w:val="en-US" w:eastAsia="zh-CN"/>
              </w:rPr>
              <w:t>4</w:t>
            </w:r>
            <w:r>
              <w:rPr>
                <w:rFonts w:hint="eastAsia"/>
              </w:rPr>
              <w:t>.</w:t>
            </w:r>
            <w:r>
              <w:rPr>
                <w:rFonts w:hint="eastAsia"/>
                <w:lang w:val="en-US" w:eastAsia="zh-CN"/>
              </w:rPr>
              <w:t>0</w:t>
            </w:r>
          </w:p>
        </w:tc>
        <w:tc>
          <w:tcPr>
            <w:tcW w:w="765" w:type="dxa"/>
            <w:tcBorders>
              <w:top w:val="nil"/>
              <w:left w:val="nil"/>
              <w:bottom w:val="nil"/>
              <w:right w:val="nil"/>
            </w:tcBorders>
            <w:vAlign w:val="center"/>
          </w:tcPr>
          <w:p w14:paraId="58BC6175">
            <w:pPr>
              <w:pStyle w:val="94"/>
              <w:rPr>
                <w:rFonts w:hint="eastAsia" w:eastAsia="宋体"/>
                <w:lang w:eastAsia="zh-CN"/>
              </w:rPr>
            </w:pPr>
            <w:r>
              <w:rPr>
                <w:rFonts w:hint="eastAsia"/>
              </w:rPr>
              <w:t>85.</w:t>
            </w:r>
            <w:r>
              <w:rPr>
                <w:rFonts w:hint="eastAsia"/>
                <w:lang w:val="en-US" w:eastAsia="zh-CN"/>
              </w:rPr>
              <w:t>3</w:t>
            </w:r>
          </w:p>
        </w:tc>
        <w:tc>
          <w:tcPr>
            <w:tcW w:w="765" w:type="dxa"/>
            <w:tcBorders>
              <w:top w:val="nil"/>
              <w:left w:val="nil"/>
              <w:bottom w:val="nil"/>
              <w:right w:val="nil"/>
            </w:tcBorders>
            <w:vAlign w:val="center"/>
          </w:tcPr>
          <w:p w14:paraId="4DF3AEDA">
            <w:pPr>
              <w:pStyle w:val="94"/>
              <w:rPr>
                <w:rFonts w:hint="eastAsia" w:eastAsia="宋体"/>
                <w:lang w:eastAsia="zh-CN"/>
              </w:rPr>
            </w:pPr>
            <w:r>
              <w:rPr>
                <w:rFonts w:hint="eastAsia"/>
              </w:rPr>
              <w:t>90.</w:t>
            </w:r>
            <w:r>
              <w:rPr>
                <w:rFonts w:hint="eastAsia"/>
                <w:lang w:val="en-US" w:eastAsia="zh-CN"/>
              </w:rPr>
              <w:t>7</w:t>
            </w:r>
          </w:p>
        </w:tc>
        <w:tc>
          <w:tcPr>
            <w:tcW w:w="765" w:type="dxa"/>
            <w:tcBorders>
              <w:top w:val="nil"/>
              <w:left w:val="nil"/>
              <w:bottom w:val="nil"/>
              <w:right w:val="nil"/>
            </w:tcBorders>
            <w:vAlign w:val="center"/>
          </w:tcPr>
          <w:p w14:paraId="1887C9DF">
            <w:pPr>
              <w:pStyle w:val="94"/>
              <w:rPr>
                <w:rFonts w:hint="eastAsia" w:eastAsia="宋体"/>
                <w:lang w:eastAsia="zh-CN"/>
              </w:rPr>
            </w:pPr>
            <w:r>
              <w:rPr>
                <w:rFonts w:hint="eastAsia"/>
              </w:rPr>
              <w:t>92.</w:t>
            </w:r>
            <w:r>
              <w:rPr>
                <w:rFonts w:hint="eastAsia"/>
                <w:lang w:val="en-US" w:eastAsia="zh-CN"/>
              </w:rPr>
              <w:t>0</w:t>
            </w:r>
          </w:p>
        </w:tc>
        <w:tc>
          <w:tcPr>
            <w:tcW w:w="765" w:type="dxa"/>
            <w:tcBorders>
              <w:top w:val="nil"/>
              <w:left w:val="nil"/>
              <w:bottom w:val="nil"/>
              <w:right w:val="nil"/>
            </w:tcBorders>
            <w:vAlign w:val="center"/>
          </w:tcPr>
          <w:p w14:paraId="2C584056">
            <w:pPr>
              <w:pStyle w:val="94"/>
              <w:rPr>
                <w:rFonts w:hint="eastAsia" w:eastAsia="宋体"/>
                <w:lang w:eastAsia="zh-CN"/>
              </w:rPr>
            </w:pPr>
            <w:r>
              <w:rPr>
                <w:rFonts w:hint="eastAsia"/>
              </w:rPr>
              <w:t>90.</w:t>
            </w:r>
            <w:r>
              <w:rPr>
                <w:rFonts w:hint="eastAsia"/>
                <w:lang w:val="en-US" w:eastAsia="zh-CN"/>
              </w:rPr>
              <w:t>7</w:t>
            </w:r>
          </w:p>
        </w:tc>
        <w:tc>
          <w:tcPr>
            <w:tcW w:w="765" w:type="dxa"/>
            <w:tcBorders>
              <w:top w:val="nil"/>
              <w:left w:val="nil"/>
              <w:bottom w:val="nil"/>
              <w:right w:val="nil"/>
            </w:tcBorders>
            <w:vAlign w:val="center"/>
          </w:tcPr>
          <w:p w14:paraId="50A8F24A">
            <w:pPr>
              <w:pStyle w:val="94"/>
              <w:rPr>
                <w:rFonts w:hint="eastAsia" w:eastAsia="宋体"/>
                <w:lang w:eastAsia="zh-CN"/>
              </w:rPr>
            </w:pPr>
            <w:r>
              <w:rPr>
                <w:rFonts w:hint="eastAsia"/>
              </w:rPr>
              <w:t>8</w:t>
            </w:r>
            <w:r>
              <w:rPr>
                <w:rFonts w:hint="eastAsia"/>
                <w:lang w:val="en-US" w:eastAsia="zh-CN"/>
              </w:rPr>
              <w:t>5</w:t>
            </w:r>
            <w:r>
              <w:rPr>
                <w:rFonts w:hint="eastAsia"/>
              </w:rPr>
              <w:t>.</w:t>
            </w:r>
            <w:r>
              <w:rPr>
                <w:rFonts w:hint="eastAsia"/>
                <w:lang w:val="en-US" w:eastAsia="zh-CN"/>
              </w:rPr>
              <w:t>3</w:t>
            </w:r>
          </w:p>
        </w:tc>
        <w:tc>
          <w:tcPr>
            <w:tcW w:w="765" w:type="dxa"/>
            <w:tcBorders>
              <w:top w:val="nil"/>
              <w:left w:val="nil"/>
              <w:bottom w:val="nil"/>
              <w:right w:val="nil"/>
            </w:tcBorders>
            <w:vAlign w:val="center"/>
          </w:tcPr>
          <w:p w14:paraId="7C63F2EC">
            <w:pPr>
              <w:pStyle w:val="94"/>
              <w:rPr>
                <w:rFonts w:hint="eastAsia" w:eastAsia="宋体"/>
                <w:lang w:eastAsia="zh-CN"/>
              </w:rPr>
            </w:pPr>
            <w:r>
              <w:rPr>
                <w:rFonts w:hint="eastAsia"/>
              </w:rPr>
              <w:t>93.</w:t>
            </w:r>
            <w:r>
              <w:rPr>
                <w:rFonts w:hint="eastAsia"/>
                <w:lang w:val="en-US" w:eastAsia="zh-CN"/>
              </w:rPr>
              <w:t>3</w:t>
            </w:r>
          </w:p>
        </w:tc>
        <w:tc>
          <w:tcPr>
            <w:tcW w:w="765" w:type="dxa"/>
            <w:tcBorders>
              <w:top w:val="nil"/>
              <w:left w:val="nil"/>
              <w:bottom w:val="nil"/>
              <w:right w:val="nil"/>
            </w:tcBorders>
            <w:vAlign w:val="center"/>
          </w:tcPr>
          <w:p w14:paraId="216B331C">
            <w:pPr>
              <w:pStyle w:val="94"/>
              <w:rPr>
                <w:rFonts w:hint="eastAsia" w:eastAsia="宋体"/>
                <w:lang w:eastAsia="zh-CN"/>
              </w:rPr>
            </w:pPr>
            <w:r>
              <w:rPr>
                <w:rFonts w:hint="eastAsia"/>
              </w:rPr>
              <w:t>97.</w:t>
            </w:r>
            <w:r>
              <w:rPr>
                <w:rFonts w:hint="eastAsia"/>
                <w:lang w:val="en-US" w:eastAsia="zh-CN"/>
              </w:rPr>
              <w:t>3</w:t>
            </w:r>
          </w:p>
        </w:tc>
      </w:tr>
      <w:tr w14:paraId="75A5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tcBorders>
              <w:top w:val="nil"/>
              <w:left w:val="nil"/>
              <w:bottom w:val="single" w:color="auto" w:sz="12" w:space="0"/>
              <w:right w:val="nil"/>
            </w:tcBorders>
            <w:vAlign w:val="center"/>
          </w:tcPr>
          <w:p w14:paraId="62C81A93">
            <w:pPr>
              <w:pStyle w:val="94"/>
            </w:pPr>
            <w:r>
              <w:rPr>
                <w:rFonts w:hint="eastAsia"/>
              </w:rPr>
              <w:t>本文</w:t>
            </w:r>
          </w:p>
        </w:tc>
        <w:tc>
          <w:tcPr>
            <w:tcW w:w="765" w:type="dxa"/>
            <w:tcBorders>
              <w:top w:val="nil"/>
              <w:left w:val="nil"/>
              <w:bottom w:val="single" w:color="auto" w:sz="12" w:space="0"/>
              <w:right w:val="nil"/>
            </w:tcBorders>
            <w:vAlign w:val="center"/>
          </w:tcPr>
          <w:p w14:paraId="31B074CF">
            <w:pPr>
              <w:pStyle w:val="94"/>
              <w:rPr>
                <w:rFonts w:hint="eastAsia" w:eastAsia="宋体"/>
                <w:lang w:val="en-US" w:eastAsia="zh-CN"/>
              </w:rPr>
            </w:pPr>
            <w:r>
              <w:rPr>
                <w:rFonts w:hint="eastAsia"/>
              </w:rPr>
              <w:t>9</w:t>
            </w:r>
            <w:r>
              <w:rPr>
                <w:rFonts w:hint="eastAsia"/>
                <w:lang w:val="en-US" w:eastAsia="zh-CN"/>
              </w:rPr>
              <w:t>0</w:t>
            </w:r>
            <w:r>
              <w:rPr>
                <w:rFonts w:hint="eastAsia"/>
              </w:rPr>
              <w:t>.</w:t>
            </w:r>
            <w:r>
              <w:rPr>
                <w:rFonts w:hint="eastAsia"/>
                <w:lang w:val="en-US" w:eastAsia="zh-CN"/>
              </w:rPr>
              <w:t>7</w:t>
            </w:r>
          </w:p>
        </w:tc>
        <w:tc>
          <w:tcPr>
            <w:tcW w:w="765" w:type="dxa"/>
            <w:tcBorders>
              <w:top w:val="nil"/>
              <w:left w:val="nil"/>
              <w:bottom w:val="single" w:color="auto" w:sz="12" w:space="0"/>
              <w:right w:val="nil"/>
            </w:tcBorders>
            <w:vAlign w:val="center"/>
          </w:tcPr>
          <w:p w14:paraId="597E0942">
            <w:pPr>
              <w:pStyle w:val="94"/>
              <w:rPr>
                <w:rFonts w:hint="eastAsia" w:eastAsia="宋体"/>
                <w:lang w:val="en-US" w:eastAsia="zh-CN"/>
              </w:rPr>
            </w:pPr>
            <w:r>
              <w:rPr>
                <w:rFonts w:hint="eastAsia"/>
              </w:rPr>
              <w:t>8</w:t>
            </w:r>
            <w:r>
              <w:rPr>
                <w:rFonts w:hint="eastAsia"/>
                <w:lang w:val="en-US" w:eastAsia="zh-CN"/>
              </w:rPr>
              <w:t>8</w:t>
            </w:r>
            <w:r>
              <w:rPr>
                <w:rFonts w:hint="eastAsia"/>
              </w:rPr>
              <w:t>.</w:t>
            </w:r>
            <w:r>
              <w:rPr>
                <w:rFonts w:hint="eastAsia"/>
                <w:lang w:val="en-US" w:eastAsia="zh-CN"/>
              </w:rPr>
              <w:t>0</w:t>
            </w:r>
          </w:p>
        </w:tc>
        <w:tc>
          <w:tcPr>
            <w:tcW w:w="765" w:type="dxa"/>
            <w:tcBorders>
              <w:top w:val="nil"/>
              <w:left w:val="nil"/>
              <w:bottom w:val="single" w:color="auto" w:sz="12" w:space="0"/>
              <w:right w:val="nil"/>
            </w:tcBorders>
            <w:vAlign w:val="center"/>
          </w:tcPr>
          <w:p w14:paraId="5335FD92">
            <w:pPr>
              <w:pStyle w:val="94"/>
              <w:rPr>
                <w:rFonts w:hint="eastAsia" w:eastAsia="宋体"/>
                <w:lang w:val="en-US" w:eastAsia="zh-CN"/>
              </w:rPr>
            </w:pPr>
            <w:r>
              <w:rPr>
                <w:rFonts w:hint="eastAsia"/>
              </w:rPr>
              <w:t>82.</w:t>
            </w:r>
            <w:r>
              <w:rPr>
                <w:rFonts w:hint="eastAsia"/>
                <w:lang w:val="en-US" w:eastAsia="zh-CN"/>
              </w:rPr>
              <w:t>7</w:t>
            </w:r>
          </w:p>
        </w:tc>
        <w:tc>
          <w:tcPr>
            <w:tcW w:w="765" w:type="dxa"/>
            <w:tcBorders>
              <w:top w:val="nil"/>
              <w:left w:val="nil"/>
              <w:bottom w:val="single" w:color="auto" w:sz="12" w:space="0"/>
              <w:right w:val="nil"/>
            </w:tcBorders>
            <w:vAlign w:val="center"/>
          </w:tcPr>
          <w:p w14:paraId="594DA6A6">
            <w:pPr>
              <w:pStyle w:val="94"/>
            </w:pPr>
            <w:r>
              <w:rPr>
                <w:rFonts w:hint="eastAsia"/>
              </w:rPr>
              <w:t>84.0</w:t>
            </w:r>
          </w:p>
        </w:tc>
        <w:tc>
          <w:tcPr>
            <w:tcW w:w="765" w:type="dxa"/>
            <w:tcBorders>
              <w:top w:val="nil"/>
              <w:left w:val="nil"/>
              <w:bottom w:val="single" w:color="auto" w:sz="12" w:space="0"/>
              <w:right w:val="nil"/>
            </w:tcBorders>
            <w:vAlign w:val="center"/>
          </w:tcPr>
          <w:p w14:paraId="12FF1BA1">
            <w:pPr>
              <w:pStyle w:val="94"/>
              <w:rPr>
                <w:rFonts w:hint="eastAsia" w:eastAsia="宋体"/>
                <w:lang w:val="en-US" w:eastAsia="zh-CN"/>
              </w:rPr>
            </w:pPr>
            <w:r>
              <w:rPr>
                <w:rFonts w:hint="eastAsia"/>
              </w:rPr>
              <w:t>90.</w:t>
            </w:r>
            <w:r>
              <w:rPr>
                <w:rFonts w:hint="eastAsia"/>
                <w:lang w:val="en-US" w:eastAsia="zh-CN"/>
              </w:rPr>
              <w:t>7</w:t>
            </w:r>
          </w:p>
        </w:tc>
        <w:tc>
          <w:tcPr>
            <w:tcW w:w="765" w:type="dxa"/>
            <w:tcBorders>
              <w:top w:val="nil"/>
              <w:left w:val="nil"/>
              <w:bottom w:val="single" w:color="auto" w:sz="12" w:space="0"/>
              <w:right w:val="nil"/>
            </w:tcBorders>
            <w:vAlign w:val="center"/>
          </w:tcPr>
          <w:p w14:paraId="5FD3A37D">
            <w:pPr>
              <w:pStyle w:val="94"/>
              <w:rPr>
                <w:rFonts w:hint="default" w:eastAsia="宋体"/>
                <w:lang w:val="en-US" w:eastAsia="zh-CN"/>
              </w:rPr>
            </w:pPr>
            <w:r>
              <w:rPr>
                <w:rFonts w:hint="eastAsia"/>
              </w:rPr>
              <w:t>9</w:t>
            </w:r>
            <w:r>
              <w:rPr>
                <w:rFonts w:hint="eastAsia"/>
                <w:lang w:val="en-US" w:eastAsia="zh-CN"/>
              </w:rPr>
              <w:t>2.0</w:t>
            </w:r>
          </w:p>
        </w:tc>
        <w:tc>
          <w:tcPr>
            <w:tcW w:w="765" w:type="dxa"/>
            <w:tcBorders>
              <w:top w:val="nil"/>
              <w:left w:val="nil"/>
              <w:bottom w:val="single" w:color="auto" w:sz="12" w:space="0"/>
              <w:right w:val="nil"/>
            </w:tcBorders>
            <w:vAlign w:val="center"/>
          </w:tcPr>
          <w:p w14:paraId="5533CE7F">
            <w:pPr>
              <w:pStyle w:val="94"/>
              <w:rPr>
                <w:rFonts w:hint="eastAsia" w:eastAsia="宋体"/>
                <w:lang w:val="en-US" w:eastAsia="zh-CN"/>
              </w:rPr>
            </w:pPr>
            <w:r>
              <w:rPr>
                <w:rFonts w:hint="eastAsia"/>
              </w:rPr>
              <w:t>92.</w:t>
            </w:r>
            <w:r>
              <w:rPr>
                <w:rFonts w:hint="eastAsia"/>
                <w:lang w:val="en-US" w:eastAsia="zh-CN"/>
              </w:rPr>
              <w:t>0</w:t>
            </w:r>
          </w:p>
        </w:tc>
        <w:tc>
          <w:tcPr>
            <w:tcW w:w="765" w:type="dxa"/>
            <w:tcBorders>
              <w:top w:val="nil"/>
              <w:left w:val="nil"/>
              <w:bottom w:val="single" w:color="auto" w:sz="12" w:space="0"/>
              <w:right w:val="nil"/>
            </w:tcBorders>
            <w:vAlign w:val="center"/>
          </w:tcPr>
          <w:p w14:paraId="3F85C10B">
            <w:pPr>
              <w:pStyle w:val="94"/>
              <w:rPr>
                <w:rFonts w:hint="eastAsia" w:eastAsia="宋体"/>
                <w:lang w:val="en-US" w:eastAsia="zh-CN"/>
              </w:rPr>
            </w:pPr>
            <w:r>
              <w:rPr>
                <w:rFonts w:hint="eastAsia"/>
              </w:rPr>
              <w:t>93.</w:t>
            </w:r>
            <w:r>
              <w:rPr>
                <w:rFonts w:hint="eastAsia"/>
                <w:lang w:val="en-US" w:eastAsia="zh-CN"/>
              </w:rPr>
              <w:t>3</w:t>
            </w:r>
          </w:p>
        </w:tc>
        <w:tc>
          <w:tcPr>
            <w:tcW w:w="765" w:type="dxa"/>
            <w:tcBorders>
              <w:top w:val="nil"/>
              <w:left w:val="nil"/>
              <w:bottom w:val="single" w:color="auto" w:sz="12" w:space="0"/>
              <w:right w:val="nil"/>
            </w:tcBorders>
            <w:vAlign w:val="center"/>
          </w:tcPr>
          <w:p w14:paraId="094B93D9">
            <w:pPr>
              <w:pStyle w:val="94"/>
            </w:pPr>
            <w:r>
              <w:rPr>
                <w:rFonts w:hint="eastAsia"/>
              </w:rPr>
              <w:t>93.3</w:t>
            </w:r>
          </w:p>
        </w:tc>
        <w:tc>
          <w:tcPr>
            <w:tcW w:w="765" w:type="dxa"/>
            <w:tcBorders>
              <w:top w:val="nil"/>
              <w:left w:val="nil"/>
              <w:bottom w:val="single" w:color="auto" w:sz="12" w:space="0"/>
              <w:right w:val="nil"/>
            </w:tcBorders>
            <w:vAlign w:val="center"/>
          </w:tcPr>
          <w:p w14:paraId="33739EEF">
            <w:pPr>
              <w:pStyle w:val="94"/>
              <w:rPr>
                <w:rFonts w:hint="eastAsia" w:eastAsia="宋体"/>
                <w:lang w:val="en-US" w:eastAsia="zh-CN"/>
              </w:rPr>
            </w:pPr>
            <w:r>
              <w:rPr>
                <w:rFonts w:hint="eastAsia"/>
              </w:rPr>
              <w:t>9</w:t>
            </w:r>
            <w:r>
              <w:rPr>
                <w:rFonts w:hint="eastAsia"/>
                <w:lang w:val="en-US" w:eastAsia="zh-CN"/>
              </w:rPr>
              <w:t>4</w:t>
            </w:r>
            <w:r>
              <w:rPr>
                <w:rFonts w:hint="eastAsia"/>
              </w:rPr>
              <w:t>.</w:t>
            </w:r>
            <w:r>
              <w:rPr>
                <w:rFonts w:hint="eastAsia"/>
                <w:lang w:val="en-US" w:eastAsia="zh-CN"/>
              </w:rPr>
              <w:t>7</w:t>
            </w:r>
          </w:p>
        </w:tc>
      </w:tr>
    </w:tbl>
    <w:p w14:paraId="57CAE372">
      <w:pPr>
        <w:ind w:firstLine="480"/>
      </w:pPr>
      <w:r>
        <w:t>运行时间开销实验结果如</w:t>
      </w:r>
      <w:r>
        <w:rPr>
          <w:rFonts w:hint="eastAsia"/>
        </w:rPr>
        <w:t>图</w:t>
      </w:r>
      <w:r>
        <w:t>5-</w:t>
      </w:r>
      <w:r>
        <w:rPr>
          <w:rFonts w:hint="eastAsia"/>
        </w:rPr>
        <w:t>2</w:t>
      </w:r>
      <w:r>
        <w:t>所示</w:t>
      </w:r>
      <w:r>
        <w:rPr>
          <w:rFonts w:hint="eastAsia"/>
        </w:rPr>
        <w:t>。整体来看，本文方法在三种攻击场景和三个数据集上均表现出相对更高但仍处于可接受范围内的时间开销。由于所设计的组合式检索护栏在在线推理阶段额外引入了检索扩展、嵌入空间异常检测以及</w:t>
      </w:r>
      <w:r>
        <w:rPr>
          <w:rFonts w:hint="eastAsia"/>
          <w:lang w:eastAsia="zh-CN"/>
        </w:rPr>
        <w:t>语句级</w:t>
      </w:r>
      <w:r>
        <w:rPr>
          <w:rFonts w:hint="eastAsia"/>
        </w:rPr>
        <w:t>困惑度分析等处理步骤，增加了候选证据过滤与重排序的计算量</w:t>
      </w:r>
      <w:r>
        <w:t>。</w:t>
      </w:r>
      <w:r>
        <w:rPr>
          <w:rFonts w:hint="eastAsia"/>
        </w:rPr>
        <w:t>本文方法在全部实验设置下的时间开销始终稳定控制在1.20–1.32 s区间内，跨数据集与跨攻击波动较小，整体仍具备较好的运行稳定性与工程部署可行性。</w:t>
      </w:r>
    </w:p>
    <w:p w14:paraId="1D847F22">
      <w:pPr>
        <w:spacing w:line="240" w:lineRule="auto"/>
        <w:ind w:firstLine="0" w:firstLineChars="0"/>
      </w:pPr>
      <w:r>
        <w:drawing>
          <wp:inline distT="0" distB="0" distL="114300" distR="114300">
            <wp:extent cx="5272405" cy="2636520"/>
            <wp:effectExtent l="0" t="0" r="635" b="0"/>
            <wp:docPr id="20" name="图片 20" descr="F:/BUPT/LLM/graduation design/论文图/fig543.pngfig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BUPT/LLM/graduation design/论文图/fig543.pngfig543"/>
                    <pic:cNvPicPr>
                      <a:picLocks noChangeAspect="1"/>
                    </pic:cNvPicPr>
                  </pic:nvPicPr>
                  <pic:blipFill>
                    <a:blip r:embed="rId39"/>
                    <a:srcRect l="12" r="12"/>
                    <a:stretch>
                      <a:fillRect/>
                    </a:stretch>
                  </pic:blipFill>
                  <pic:spPr>
                    <a:xfrm>
                      <a:off x="0" y="0"/>
                      <a:ext cx="5272405" cy="2636520"/>
                    </a:xfrm>
                    <a:prstGeom prst="rect">
                      <a:avLst/>
                    </a:prstGeom>
                  </pic:spPr>
                </pic:pic>
              </a:graphicData>
            </a:graphic>
          </wp:inline>
        </w:drawing>
      </w:r>
    </w:p>
    <w:p w14:paraId="7F0DF258">
      <w:pPr>
        <w:pStyle w:val="98"/>
      </w:pPr>
      <w:r>
        <w:rPr>
          <w:rFonts w:hint="eastAsia"/>
        </w:rPr>
        <w:t>图5-2 运行开销实验结果</w:t>
      </w:r>
    </w:p>
    <w:p w14:paraId="5517269C">
      <w:pPr>
        <w:pStyle w:val="3"/>
        <w:spacing w:before="163" w:after="163"/>
      </w:pPr>
      <w:bookmarkStart w:id="57" w:name="_Toc21292"/>
      <w:r>
        <w:rPr>
          <w:rFonts w:hint="eastAsia"/>
        </w:rPr>
        <w:t>5</w:t>
      </w:r>
      <w:r>
        <w:t>.</w:t>
      </w:r>
      <w:r>
        <w:rPr>
          <w:rFonts w:hint="eastAsia"/>
        </w:rPr>
        <w:t>5</w:t>
      </w:r>
      <w:r>
        <w:t xml:space="preserve">  本章小结</w:t>
      </w:r>
      <w:bookmarkEnd w:id="57"/>
    </w:p>
    <w:p w14:paraId="74310643">
      <w:pPr>
        <w:ind w:firstLine="480"/>
      </w:pPr>
      <w:r>
        <w:rPr>
          <w:rFonts w:hint="eastAsia"/>
        </w:rPr>
        <w:t>本章围绕电力调度场景下RAG系统面临的知识库投毒风险，设计并实现了一种面向检索阶段的组合式防御框架。该框架首先提出了由检索扩展、嵌入空间异常检测与</w:t>
      </w:r>
      <w:r>
        <w:rPr>
          <w:rFonts w:hint="eastAsia"/>
          <w:lang w:eastAsia="zh-CN"/>
        </w:rPr>
        <w:t>语句级</w:t>
      </w:r>
      <w:r>
        <w:rPr>
          <w:rFonts w:hint="eastAsia"/>
        </w:rPr>
        <w:t>困惑度异常检测构成的检索护栏，实现对可疑支撑证据的前置识别、过滤与重排。然后在此基础上进一步结合输入护栏与输出护栏，构建了覆盖查询输入、证据检索与结果生成全过程的全链路护栏体系，从而形成对提示注入、毒化证据召回与不安全输出的分层协同防护。最后，通过跨数据集对比实验、参数消融实验、组件消融实验以及运行时间开销实验，验证了所提方法在不同攻击场景下能够在保持正常问答能力的同时显著提升检测准确率与输出准确率，并具备较好的稳定性与工程部署可行性。</w:t>
      </w:r>
    </w:p>
    <w:bookmarkEnd w:id="39"/>
    <w:bookmarkEnd w:id="40"/>
    <w:p w14:paraId="17CA1F25">
      <w:pPr>
        <w:ind w:firstLine="0" w:firstLineChars="0"/>
        <w:sectPr>
          <w:headerReference r:id="rId12" w:type="default"/>
          <w:headerReference r:id="rId13" w:type="even"/>
          <w:footnotePr>
            <w:numFmt w:val="decimalEnclosedCircleChinese"/>
            <w:numRestart w:val="eachPage"/>
          </w:footnotePr>
          <w:pgSz w:w="11906" w:h="16838"/>
          <w:pgMar w:top="1440" w:right="1797" w:bottom="1440" w:left="1797" w:header="850" w:footer="992" w:gutter="0"/>
          <w:cols w:space="720" w:num="1"/>
          <w:docGrid w:type="lines" w:linePitch="326" w:charSpace="0"/>
        </w:sectPr>
      </w:pPr>
    </w:p>
    <w:p w14:paraId="689AC608">
      <w:pPr>
        <w:pStyle w:val="2"/>
        <w:spacing w:after="652"/>
      </w:pPr>
      <w:bookmarkStart w:id="58" w:name="_Toc2565"/>
      <w:r>
        <w:t>第</w:t>
      </w:r>
      <w:r>
        <w:rPr>
          <w:rFonts w:hint="eastAsia"/>
        </w:rPr>
        <w:t>六</w:t>
      </w:r>
      <w:r>
        <w:t xml:space="preserve">章  </w:t>
      </w:r>
      <w:r>
        <w:rPr>
          <w:rFonts w:hint="eastAsia"/>
          <w:lang w:val="en-US" w:eastAsia="zh-CN"/>
        </w:rPr>
        <w:t>RAG攻防验证与态势感知平台</w:t>
      </w:r>
      <w:r>
        <w:rPr>
          <w:rFonts w:hint="eastAsia"/>
        </w:rPr>
        <w:t>设计与实现</w:t>
      </w:r>
      <w:bookmarkEnd w:id="58"/>
    </w:p>
    <w:p w14:paraId="12359D72">
      <w:pPr>
        <w:ind w:firstLine="480"/>
      </w:pPr>
      <w:r>
        <w:rPr>
          <w:rFonts w:hint="eastAsia"/>
        </w:rPr>
        <w:t>本文第三章围绕电力人工智能应用的工程化落地需求，</w:t>
      </w:r>
      <w:r>
        <w:rPr>
          <w:rFonts w:hint="eastAsia"/>
          <w:lang w:val="en-US" w:eastAsia="zh-CN"/>
        </w:rPr>
        <w:t>依次实现了</w:t>
      </w:r>
      <w:r>
        <w:rPr>
          <w:rFonts w:hint="eastAsia"/>
        </w:rPr>
        <w:t>AI模型训推一体可视化平台</w:t>
      </w:r>
      <w:r>
        <w:rPr>
          <w:rFonts w:hint="eastAsia"/>
          <w:lang w:val="en-US" w:eastAsia="zh-CN"/>
        </w:rPr>
        <w:t>以及电力调度RAG系统</w:t>
      </w:r>
      <w:r>
        <w:rPr>
          <w:rFonts w:hint="eastAsia"/>
        </w:rPr>
        <w:t>，</w:t>
      </w:r>
      <w:r>
        <w:rPr>
          <w:rFonts w:hint="eastAsia"/>
          <w:lang w:val="en-US" w:eastAsia="zh-CN"/>
        </w:rPr>
        <w:t>实现</w:t>
      </w:r>
      <w:r>
        <w:rPr>
          <w:rFonts w:hint="eastAsia"/>
        </w:rPr>
        <w:t>了算力资源、数据资产、模型生命周期以及RAG应用流程的统一映射与可视管理。第四章</w:t>
      </w:r>
      <w:r>
        <w:rPr>
          <w:rFonts w:hint="eastAsia"/>
          <w:lang w:val="en-US" w:eastAsia="zh-CN"/>
        </w:rPr>
        <w:t>针对</w:t>
      </w:r>
      <w:r>
        <w:rPr>
          <w:rFonts w:hint="eastAsia"/>
        </w:rPr>
        <w:t>调度决策业务</w:t>
      </w:r>
      <w:r>
        <w:rPr>
          <w:rFonts w:hint="eastAsia"/>
          <w:lang w:val="en-US" w:eastAsia="zh-CN"/>
        </w:rPr>
        <w:t>中</w:t>
      </w:r>
      <w:r>
        <w:rPr>
          <w:rFonts w:hint="eastAsia"/>
        </w:rPr>
        <w:t>RAG链路在可信性方面存在现实安全隐患，</w:t>
      </w:r>
      <w:r>
        <w:rPr>
          <w:rFonts w:hint="eastAsia"/>
          <w:lang w:val="en-US" w:eastAsia="zh-CN"/>
        </w:rPr>
        <w:t>研究</w:t>
      </w:r>
      <w:r>
        <w:rPr>
          <w:rFonts w:hint="eastAsia"/>
        </w:rPr>
        <w:t>提出基于双目标遗传算法的BOGA-RAGP攻击方法，揭示了黑盒条件下投毒语料仍可在控制语言异常的基础上联合提升检索命中能力与生成误导能力</w:t>
      </w:r>
      <w:r>
        <w:rPr>
          <w:rFonts w:hint="eastAsia"/>
          <w:lang w:eastAsia="zh-CN"/>
        </w:rPr>
        <w:t>。</w:t>
      </w:r>
      <w:r>
        <w:rPr>
          <w:rFonts w:hint="eastAsia"/>
        </w:rPr>
        <w:t>第五章进一步针对上述风险，提出了</w:t>
      </w:r>
      <w:r>
        <w:rPr>
          <w:rFonts w:hint="eastAsia"/>
          <w:lang w:eastAsia="zh-CN"/>
        </w:rPr>
        <w:t>“</w:t>
      </w:r>
      <w:r>
        <w:rPr>
          <w:rFonts w:hint="eastAsia"/>
        </w:rPr>
        <w:t>检索护栏</w:t>
      </w:r>
      <w:r>
        <w:rPr>
          <w:rFonts w:hint="eastAsia"/>
          <w:lang w:eastAsia="zh-CN"/>
        </w:rPr>
        <w:t>”</w:t>
      </w:r>
      <w:r>
        <w:rPr>
          <w:rFonts w:hint="eastAsia"/>
        </w:rPr>
        <w:t>，并融合输入护栏与输出护栏协同构成组合式防御框架，有效提升了系统对污染证据的识别、过滤与抑制能力。</w:t>
      </w:r>
    </w:p>
    <w:p w14:paraId="6ED1FA30">
      <w:pPr>
        <w:ind w:firstLine="480"/>
      </w:pPr>
      <w:r>
        <w:rPr>
          <w:rFonts w:hint="eastAsia"/>
        </w:rPr>
        <w:t>为了将上述攻防技术研究成果进行统一集成、可操作验证与展示应用，</w:t>
      </w:r>
      <w:r>
        <w:rPr>
          <w:rFonts w:hint="eastAsia"/>
          <w:lang w:val="en-US" w:eastAsia="zh-CN"/>
        </w:rPr>
        <w:t>本章</w:t>
      </w:r>
      <w:r>
        <w:rPr>
          <w:rFonts w:hint="eastAsia"/>
        </w:rPr>
        <w:t>立足于第三章构建平台，</w:t>
      </w:r>
      <w:r>
        <w:rPr>
          <w:rFonts w:hint="eastAsia"/>
          <w:lang w:val="en-US" w:eastAsia="zh-CN"/>
        </w:rPr>
        <w:t>设计并实现一个</w:t>
      </w:r>
      <w:r>
        <w:rPr>
          <w:rFonts w:hint="eastAsia"/>
        </w:rPr>
        <w:t>立足蓝方防护需求、面向红方攻击风险复现的安全验证与运行支撑平台，形成从风险复现、防御配置到效果评测、态势分析与辅助处置的闭环验证机制，为电力人工智能应用的安全研究和工程落地提供统一的平台支撑。</w:t>
      </w:r>
    </w:p>
    <w:p w14:paraId="083D4174">
      <w:pPr>
        <w:pStyle w:val="3"/>
        <w:spacing w:before="163" w:after="163"/>
      </w:pPr>
      <w:bookmarkStart w:id="59" w:name="_Toc2288"/>
      <w:r>
        <w:rPr>
          <w:rFonts w:hint="eastAsia"/>
        </w:rPr>
        <w:t>6</w:t>
      </w:r>
      <w:r>
        <w:t>.1</w:t>
      </w:r>
      <w:r>
        <w:rPr>
          <w:rFonts w:hint="eastAsia"/>
        </w:rPr>
        <w:t xml:space="preserve">  需求分析</w:t>
      </w:r>
      <w:bookmarkEnd w:id="59"/>
    </w:p>
    <w:p w14:paraId="4419C290">
      <w:pPr>
        <w:ind w:firstLine="480"/>
      </w:pPr>
      <w:r>
        <w:rPr>
          <w:rFonts w:hint="eastAsia"/>
        </w:rPr>
        <w:t>为进一步支撑后续</w:t>
      </w:r>
      <w:r>
        <w:rPr>
          <w:rFonts w:hint="eastAsia"/>
          <w:lang w:val="en-US" w:eastAsia="zh-CN"/>
        </w:rPr>
        <w:t>平台</w:t>
      </w:r>
      <w:r>
        <w:rPr>
          <w:rFonts w:hint="eastAsia"/>
        </w:rPr>
        <w:t>概要设计、模块实现与测试验证，本节从功能性需求和非功能性需求两个层面对</w:t>
      </w:r>
      <w:r>
        <w:rPr>
          <w:rFonts w:hint="eastAsia"/>
          <w:lang w:val="en-US" w:eastAsia="zh-CN"/>
        </w:rPr>
        <w:t>平台</w:t>
      </w:r>
      <w:r>
        <w:rPr>
          <w:rFonts w:hint="eastAsia"/>
        </w:rPr>
        <w:t>进行分析。其中，功能性需求主要回答</w:t>
      </w:r>
      <w:r>
        <w:rPr>
          <w:rFonts w:hint="eastAsia"/>
          <w:lang w:val="en-US" w:eastAsia="zh-CN"/>
        </w:rPr>
        <w:t>平台</w:t>
      </w:r>
      <w:r>
        <w:rPr>
          <w:rFonts w:hint="eastAsia"/>
        </w:rPr>
        <w:t>“需要具备哪些核心能力”，非功能性需求则回答</w:t>
      </w:r>
      <w:r>
        <w:rPr>
          <w:rFonts w:hint="eastAsia"/>
          <w:lang w:val="en-US" w:eastAsia="zh-CN"/>
        </w:rPr>
        <w:t>平台</w:t>
      </w:r>
      <w:r>
        <w:rPr>
          <w:rFonts w:hint="eastAsia"/>
        </w:rPr>
        <w:t>“需要达到怎样的运行水平”，二者共同构成后续</w:t>
      </w:r>
      <w:r>
        <w:rPr>
          <w:rFonts w:hint="eastAsia"/>
          <w:lang w:val="en-US" w:eastAsia="zh-CN"/>
        </w:rPr>
        <w:t>平台</w:t>
      </w:r>
      <w:r>
        <w:rPr>
          <w:rFonts w:hint="eastAsia"/>
        </w:rPr>
        <w:t>设计与实现的依据。</w:t>
      </w:r>
    </w:p>
    <w:p w14:paraId="74400975">
      <w:pPr>
        <w:pStyle w:val="4"/>
        <w:rPr>
          <w:rFonts w:hint="default" w:eastAsia="黑体"/>
          <w:lang w:val="en-US" w:eastAsia="zh-CN"/>
        </w:rPr>
      </w:pPr>
      <w:bookmarkStart w:id="60" w:name="_Toc20759"/>
      <w:bookmarkStart w:id="61" w:name="_Toc22251"/>
      <w:r>
        <w:rPr>
          <w:rFonts w:hint="eastAsia"/>
        </w:rPr>
        <w:t xml:space="preserve">6.1.1  </w:t>
      </w:r>
      <w:r>
        <w:rPr>
          <w:rFonts w:hint="eastAsia"/>
          <w:lang w:val="en-US" w:eastAsia="zh-CN"/>
        </w:rPr>
        <w:t>平台定位与业务闭环</w:t>
      </w:r>
      <w:bookmarkEnd w:id="60"/>
    </w:p>
    <w:p w14:paraId="57B7C457">
      <w:pPr>
        <w:ind w:firstLine="480"/>
        <w:rPr>
          <w:rFonts w:hint="eastAsia"/>
        </w:rPr>
      </w:pPr>
      <w:r>
        <w:rPr>
          <w:rFonts w:hint="eastAsia"/>
        </w:rPr>
        <w:t>本</w:t>
      </w:r>
      <w:r>
        <w:rPr>
          <w:rFonts w:hint="eastAsia"/>
          <w:lang w:val="en-US" w:eastAsia="zh-CN"/>
        </w:rPr>
        <w:t>章平台的</w:t>
      </w:r>
      <w:r>
        <w:rPr>
          <w:rFonts w:hint="eastAsia"/>
        </w:rPr>
        <w:t>基本定位是</w:t>
      </w:r>
      <w:r>
        <w:rPr>
          <w:rFonts w:hint="eastAsia"/>
          <w:lang w:eastAsia="zh-CN"/>
        </w:rPr>
        <w:t>“</w:t>
      </w:r>
      <w:r>
        <w:rPr>
          <w:rFonts w:hint="eastAsia"/>
        </w:rPr>
        <w:t>面向蓝方使用者的可视化安全验证与态势支撑平台</w:t>
      </w:r>
      <w:r>
        <w:rPr>
          <w:rFonts w:hint="eastAsia"/>
          <w:lang w:eastAsia="zh-CN"/>
        </w:rPr>
        <w:t>”，</w:t>
      </w:r>
      <w:r>
        <w:rPr>
          <w:rFonts w:hint="eastAsia"/>
        </w:rPr>
        <w:t>以第三章实现的电力调度RAG应用环境为基础，继承其中的知识库管理、问答交互与决策审计能力，并在此基础上叠加攻击验证、防御评测、态势分析和预案建议等功能</w:t>
      </w:r>
      <w:r>
        <w:rPr>
          <w:rFonts w:hint="eastAsia"/>
          <w:lang w:eastAsia="zh-CN"/>
        </w:rPr>
        <w:t>，</w:t>
      </w:r>
      <w:r>
        <w:rPr>
          <w:rFonts w:hint="eastAsia"/>
        </w:rPr>
        <w:t>使前文的算法研究成果能够由离线实验进一步走向统一集成和可视化应用。</w:t>
      </w:r>
    </w:p>
    <w:p w14:paraId="3AC0357E">
      <w:pPr>
        <w:ind w:firstLine="480"/>
        <w:rPr>
          <w:rFonts w:hint="eastAsia"/>
        </w:rPr>
      </w:pPr>
      <w:r>
        <w:rPr>
          <w:rFonts w:hint="eastAsia"/>
        </w:rPr>
        <w:t>如图6-1所示，平台的业务闭环可概括为“环境准备—风险复现—防御配置—态势感知—预案生成—</w:t>
      </w:r>
      <w:r>
        <w:rPr>
          <w:rFonts w:hint="eastAsia"/>
          <w:lang w:val="en-US" w:eastAsia="zh-CN"/>
        </w:rPr>
        <w:t>评测复盘</w:t>
      </w:r>
      <w:r>
        <w:rPr>
          <w:rFonts w:hint="eastAsia"/>
        </w:rPr>
        <w:t>”六个环节。在环境准备阶段，平台完成RAG应用环境、知识库资源、模型资产和日志链路的装载与初始化；在风险复现阶段，平台调用第四章提出的知识库毒化攻击方法，对目标查询或目标知识点实施攻击验证；在防御配置阶段，平台调用第五章提出的组合式防御框架，对输入、检索和输出链路进行策略部署与参数设置；在态势感知阶段，平台对攻击事件、防御触发、检索结果、生成输出和业务影响进行统一汇聚与可视化展示；在预案生成阶段，平台结合当前攻击状态、防御结果和历史案例形成辅助处置建议；最后在效果评测与复盘阶段，对全过程数据进行统计分析和回放展示，形成可比对、可追踪、可复用的验证结果。</w:t>
      </w:r>
    </w:p>
    <w:p w14:paraId="3FF41ABE">
      <w:pPr>
        <w:spacing w:line="240" w:lineRule="auto"/>
        <w:ind w:firstLine="0" w:firstLineChars="0"/>
      </w:pPr>
    </w:p>
    <w:p w14:paraId="6B80F92C">
      <w:pPr>
        <w:pStyle w:val="98"/>
      </w:pPr>
      <w:r>
        <w:rPr>
          <w:rFonts w:hint="eastAsia"/>
        </w:rPr>
        <w:t xml:space="preserve">图6-1 </w:t>
      </w:r>
      <w:r>
        <w:rPr>
          <w:rFonts w:hint="eastAsia"/>
          <w:lang w:val="en-US" w:eastAsia="zh-CN"/>
        </w:rPr>
        <w:t>平台业务闭环图</w:t>
      </w:r>
    </w:p>
    <w:p w14:paraId="5179D356">
      <w:pPr>
        <w:pStyle w:val="4"/>
      </w:pPr>
      <w:r>
        <w:rPr>
          <w:rFonts w:hint="eastAsia"/>
        </w:rPr>
        <w:t>6.1.2  功能性需求</w:t>
      </w:r>
      <w:bookmarkEnd w:id="61"/>
    </w:p>
    <w:p w14:paraId="5065B7A4">
      <w:pPr>
        <w:ind w:firstLine="480"/>
      </w:pPr>
      <w:r>
        <w:rPr>
          <w:rFonts w:hint="eastAsia"/>
        </w:rPr>
        <w:t>依据上述</w:t>
      </w:r>
      <w:r>
        <w:rPr>
          <w:rFonts w:hint="eastAsia"/>
          <w:lang w:val="en-US" w:eastAsia="zh-CN"/>
        </w:rPr>
        <w:t>业务闭环</w:t>
      </w:r>
      <w:r>
        <w:rPr>
          <w:rFonts w:hint="eastAsia"/>
        </w:rPr>
        <w:t>流程，本文所设计</w:t>
      </w:r>
      <w:r>
        <w:rPr>
          <w:rFonts w:hint="eastAsia"/>
          <w:lang w:val="en-US" w:eastAsia="zh-CN"/>
        </w:rPr>
        <w:t>平台</w:t>
      </w:r>
      <w:r>
        <w:rPr>
          <w:rFonts w:hint="eastAsia"/>
        </w:rPr>
        <w:t>应</w:t>
      </w:r>
      <w:r>
        <w:t>满足以下功能性需求</w:t>
      </w:r>
      <w:r>
        <w:rPr>
          <w:rFonts w:hint="eastAsia"/>
        </w:rPr>
        <w:t>：</w:t>
      </w:r>
    </w:p>
    <w:p w14:paraId="5B3BF5BB">
      <w:pPr>
        <w:numPr>
          <w:ilvl w:val="0"/>
          <w:numId w:val="1"/>
        </w:numPr>
        <w:ind w:firstLine="480"/>
      </w:pPr>
      <w:r>
        <w:rPr>
          <w:rFonts w:ascii="宋体" w:hAnsi="宋体" w:eastAsia="宋体" w:cs="宋体"/>
          <w:sz w:val="24"/>
          <w:szCs w:val="24"/>
        </w:rPr>
        <w:t>资源与环境管理</w:t>
      </w:r>
      <w:r>
        <w:rPr>
          <w:rFonts w:hint="eastAsia" w:ascii="宋体" w:hAnsi="宋体" w:cs="宋体"/>
          <w:sz w:val="24"/>
          <w:szCs w:val="24"/>
          <w:lang w:eastAsia="zh-CN"/>
        </w:rPr>
        <w:t>：</w:t>
      </w:r>
      <w:r>
        <w:rPr>
          <w:rFonts w:ascii="宋体" w:hAnsi="宋体" w:eastAsia="宋体" w:cs="宋体"/>
          <w:sz w:val="24"/>
          <w:szCs w:val="24"/>
        </w:rPr>
        <w:t>平台需要能够对电力调度RAG应用所依赖的知识库、数据集、模型版本、向量索引、提示模板及推理服务进行统一装载、配置、启停和恢复，并支持不同实验场景之间的快速切换。与此同时，平台应具备环境快照、版本管理和状态回滚能力，以保证不同攻击和防御测试过程具备可重复性和可恢复性。</w:t>
      </w:r>
    </w:p>
    <w:p w14:paraId="493454DC">
      <w:pPr>
        <w:numPr>
          <w:ilvl w:val="0"/>
          <w:numId w:val="1"/>
        </w:numPr>
        <w:ind w:firstLine="480"/>
      </w:pPr>
      <w:r>
        <w:rPr>
          <w:rFonts w:hint="eastAsia"/>
        </w:rPr>
        <w:t>红蓝攻防</w:t>
      </w:r>
      <w:r>
        <w:t>能力</w:t>
      </w:r>
      <w:r>
        <w:rPr>
          <w:rFonts w:hint="eastAsia"/>
        </w:rPr>
        <w:t>：平台需</w:t>
      </w:r>
      <w:r>
        <w:rPr>
          <w:rFonts w:hint="eastAsia"/>
          <w:lang w:val="en-US" w:eastAsia="zh-CN"/>
        </w:rPr>
        <w:t>要</w:t>
      </w:r>
      <w:r>
        <w:rPr>
          <w:rFonts w:hint="eastAsia"/>
        </w:rPr>
        <w:t>将第四章提出的知识库毒化攻击方法封装为可调用服务，在受控条件下对目标风险进行精准复现，使攻击路径、作用位置和误导结果能够被稳定观察与对比分析。平台</w:t>
      </w:r>
      <w:r>
        <w:rPr>
          <w:rFonts w:hint="eastAsia"/>
          <w:lang w:val="en-US" w:eastAsia="zh-CN"/>
        </w:rPr>
        <w:t>同样</w:t>
      </w:r>
      <w:r>
        <w:rPr>
          <w:rFonts w:hint="eastAsia"/>
        </w:rPr>
        <w:t>需要将第五章提出的组合式防御框架转化为可配置、可切换、可对比的防御服务，支持检索护栏、输入护栏和输出护栏的独立启用、联合部署和参数调整，并在此基础上对不同防御策略的拦截能力、正常问答保持能力和资源开销进行量化评测。</w:t>
      </w:r>
    </w:p>
    <w:p w14:paraId="5F216B74">
      <w:pPr>
        <w:numPr>
          <w:ilvl w:val="0"/>
          <w:numId w:val="1"/>
        </w:numPr>
        <w:ind w:firstLine="480"/>
      </w:pPr>
      <w:r>
        <w:rPr>
          <w:rFonts w:hint="eastAsia" w:ascii="宋体" w:hAnsi="宋体" w:cs="宋体"/>
        </w:rPr>
        <w:t>态势感知与预案生成：</w:t>
      </w:r>
      <w:r>
        <w:rPr>
          <w:rFonts w:hint="eastAsia" w:ascii="宋体" w:hAnsi="宋体" w:cs="宋体"/>
          <w:lang w:val="en-US" w:eastAsia="zh-CN"/>
        </w:rPr>
        <w:t>平台</w:t>
      </w:r>
      <w:r>
        <w:t>需构建覆盖攻防全链路的态势感知体系</w:t>
      </w:r>
      <w:r>
        <w:rPr>
          <w:rFonts w:hint="eastAsia"/>
        </w:rPr>
        <w:t>，</w:t>
      </w:r>
      <w:r>
        <w:rPr>
          <w:rFonts w:hint="eastAsia" w:ascii="宋体" w:hAnsi="宋体" w:cs="宋体"/>
        </w:rPr>
        <w:t>对关键环节进行全过程数据采集与可视化展示，支持攻击路径分析、异常关联定位和风险态势感知，并能够结合攻防过程生成相应的处置建议与预案支撑信息。用户应能够通过平台查看当前风险等级、异常来源、检索污染状态、防御命中情况及业务影响结果，进而形成对平台运行状态的整体认知。</w:t>
      </w:r>
    </w:p>
    <w:p w14:paraId="0E601B61">
      <w:pPr>
        <w:numPr>
          <w:ilvl w:val="0"/>
          <w:numId w:val="1"/>
        </w:numPr>
        <w:ind w:firstLine="480"/>
      </w:pPr>
      <w:r>
        <w:rPr>
          <w:rFonts w:hint="eastAsia"/>
          <w:lang w:val="en-US" w:eastAsia="zh-CN"/>
        </w:rPr>
        <w:t>效果评测与复盘分析</w:t>
      </w:r>
      <w:r>
        <w:rPr>
          <w:rFonts w:hint="eastAsia"/>
        </w:rPr>
        <w:t>：平台需要围绕攻击效果、防御有效性、业务影响程度和资源开销等指标对运行结果进行量化统计，并形成结构化评估报告。同时，平台还应支持全过程回放、关键步骤追踪和结果复盘，以支撑后续经验总结与结果归档。</w:t>
      </w:r>
    </w:p>
    <w:p w14:paraId="1E68F365">
      <w:pPr>
        <w:pStyle w:val="4"/>
      </w:pPr>
      <w:bookmarkStart w:id="62" w:name="_Toc30744"/>
      <w:r>
        <w:rPr>
          <w:rFonts w:hint="eastAsia"/>
        </w:rPr>
        <w:t>6.1.3  非功能性需求</w:t>
      </w:r>
      <w:bookmarkEnd w:id="62"/>
    </w:p>
    <w:p w14:paraId="4F0774B0">
      <w:pPr>
        <w:ind w:firstLine="480"/>
      </w:pPr>
      <w:r>
        <w:rPr>
          <w:rFonts w:hint="eastAsia"/>
        </w:rPr>
        <w:t>除功能性需求外，系统还需满足性能、可靠性、可扩展性与安全性等非功能性需求。</w:t>
      </w:r>
    </w:p>
    <w:p w14:paraId="7D9F6033">
      <w:pPr>
        <w:ind w:firstLine="480"/>
      </w:pPr>
      <w:r>
        <w:rPr>
          <w:rFonts w:hint="eastAsia"/>
        </w:rPr>
        <w:t>（1）性能需求：</w:t>
      </w:r>
      <w:r>
        <w:rPr>
          <w:rFonts w:hint="eastAsia"/>
          <w:lang w:val="en-US" w:eastAsia="zh-CN"/>
        </w:rPr>
        <w:t>平</w:t>
      </w:r>
      <w:r>
        <w:rPr>
          <w:rFonts w:hint="eastAsia"/>
        </w:rPr>
        <w:t>台应具备较好的交互响应与过程展示能力，以保证攻防验证过程的连续性与可观测性。对于场景切换、策略下发、日志查询等一般交互操作，平台响应时间应控制在2s以内；对于攻击告警、检索异常、防御动作触发等关键事件，态势界面更新延迟应控制在3s以内；对于一次完整的攻击执行结果展示或防御策略生效反馈，其可视化呈现时间原则上不超过5s。通过上述约束，保证平台运行过程具备较好的实时感知能力。</w:t>
      </w:r>
    </w:p>
    <w:p w14:paraId="16260766">
      <w:pPr>
        <w:ind w:firstLine="480"/>
      </w:pPr>
      <w:r>
        <w:rPr>
          <w:rFonts w:hint="eastAsia"/>
        </w:rPr>
        <w:t>（2）可靠性需求：平台应能够支持多轮次验证任务稳定运行，并具备环境恢复与异常容错能力。对于运行过程中产生的关键日志、攻击记录、防御记录和评估结果，平台应保证完整保存，避免因中断导致数据丢失；对于环境异常或任务终止等情况，平台应支持基于快照的快速恢复，环境重置时间应控制在60 s以内，从而保证后续验证能够连续开展。</w:t>
      </w:r>
    </w:p>
    <w:p w14:paraId="2BFBD96F">
      <w:pPr>
        <w:ind w:firstLine="480"/>
      </w:pPr>
      <w:r>
        <w:rPr>
          <w:rFonts w:hint="eastAsia"/>
        </w:rPr>
        <w:t>（3）可扩展性需求：平台应采用模块化设计思路，使攻击方法、防御策略、监测规则和评估指标能够独立接入与灵活替换。应尽量通过接口扩展与参数配置完成，而不对平台整体架构进行大幅修改，以保证平台具备持续演进能力，并为后续新增攻击算法、防御组件或业务场景提供接口扩展空间。</w:t>
      </w:r>
    </w:p>
    <w:p w14:paraId="607C4A03">
      <w:pPr>
        <w:ind w:firstLine="480"/>
      </w:pPr>
      <w:r>
        <w:rPr>
          <w:rFonts w:hint="eastAsia"/>
        </w:rPr>
        <w:t>（4）安全性需求：平台应与真实业务环境保持隔离运行，确保所有攻击行为均限定在受控范围内，避免验证过程对实际业务造成影响。同时，平台应具备基于角色的访问控制能力，对不同角色分配差异化权限，并对关键操作进行审计记录；对于运行中涉及的数据、知识库内容和模型配置等信息，也应采取必要的脱敏和保护措施，防止因平台运行引入新的安全风险。</w:t>
      </w:r>
    </w:p>
    <w:p w14:paraId="7BFC6CE4">
      <w:pPr>
        <w:pStyle w:val="3"/>
        <w:spacing w:before="163" w:after="163"/>
      </w:pPr>
      <w:bookmarkStart w:id="63" w:name="_Toc21514"/>
      <w:r>
        <w:rPr>
          <w:rFonts w:hint="eastAsia"/>
        </w:rPr>
        <w:t>6</w:t>
      </w:r>
      <w:r>
        <w:t>.</w:t>
      </w:r>
      <w:r>
        <w:rPr>
          <w:rFonts w:hint="eastAsia"/>
        </w:rPr>
        <w:t xml:space="preserve">2  </w:t>
      </w:r>
      <w:r>
        <w:rPr>
          <w:rFonts w:hint="eastAsia"/>
          <w:lang w:val="en-US" w:eastAsia="zh-CN"/>
        </w:rPr>
        <w:t>平台</w:t>
      </w:r>
      <w:r>
        <w:rPr>
          <w:rFonts w:hint="eastAsia"/>
        </w:rPr>
        <w:t>概要设计</w:t>
      </w:r>
      <w:bookmarkEnd w:id="63"/>
    </w:p>
    <w:p w14:paraId="6037BC1F">
      <w:pPr>
        <w:pStyle w:val="4"/>
      </w:pPr>
      <w:bookmarkStart w:id="64" w:name="_Toc23733"/>
      <w:r>
        <w:rPr>
          <w:rFonts w:hint="eastAsia"/>
        </w:rPr>
        <w:t>6.2.1  架构设计</w:t>
      </w:r>
      <w:bookmarkEnd w:id="64"/>
    </w:p>
    <w:p w14:paraId="6DEA4F10">
      <w:pPr>
        <w:ind w:firstLine="480"/>
      </w:pPr>
      <w:r>
        <w:rPr>
          <w:rFonts w:hint="eastAsia"/>
        </w:rPr>
        <w:t>本文将</w:t>
      </w:r>
      <w:r>
        <w:rPr>
          <w:rFonts w:hint="eastAsia"/>
          <w:lang w:val="en-US" w:eastAsia="zh-CN"/>
        </w:rPr>
        <w:t>平台</w:t>
      </w:r>
      <w:r>
        <w:rPr>
          <w:rFonts w:hint="eastAsia"/>
        </w:rPr>
        <w:t>总体架构设计为由资源层、数据层、逻辑层、管控层以及交互层构成的五层架构，如图6-2所示。</w:t>
      </w:r>
    </w:p>
    <w:p w14:paraId="395CF10A">
      <w:pPr>
        <w:spacing w:line="240" w:lineRule="auto"/>
        <w:ind w:firstLine="0" w:firstLineChars="0"/>
      </w:pPr>
      <w:r>
        <w:rPr>
          <w:rFonts w:hint="eastAsia"/>
        </w:rPr>
        <w:drawing>
          <wp:inline distT="0" distB="0" distL="114300" distR="114300">
            <wp:extent cx="5233035" cy="3420745"/>
            <wp:effectExtent l="0" t="0" r="9525" b="8255"/>
            <wp:docPr id="17" name="图片 17" descr="F:/BUPT/LLM/graduation design/论文图/fig6-2.pngfig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BUPT/LLM/graduation design/论文图/fig6-2.pngfig6-2"/>
                    <pic:cNvPicPr>
                      <a:picLocks noChangeAspect="1"/>
                    </pic:cNvPicPr>
                  </pic:nvPicPr>
                  <pic:blipFill>
                    <a:blip r:embed="rId40"/>
                    <a:srcRect l="9" r="9"/>
                    <a:stretch>
                      <a:fillRect/>
                    </a:stretch>
                  </pic:blipFill>
                  <pic:spPr>
                    <a:xfrm>
                      <a:off x="0" y="0"/>
                      <a:ext cx="5233035" cy="3420745"/>
                    </a:xfrm>
                    <a:prstGeom prst="rect">
                      <a:avLst/>
                    </a:prstGeom>
                  </pic:spPr>
                </pic:pic>
              </a:graphicData>
            </a:graphic>
          </wp:inline>
        </w:drawing>
      </w:r>
    </w:p>
    <w:p w14:paraId="612E8100">
      <w:pPr>
        <w:pStyle w:val="98"/>
        <w:rPr>
          <w:rFonts w:hint="eastAsia" w:eastAsia="楷体"/>
          <w:lang w:val="en-US" w:eastAsia="zh-CN"/>
        </w:rPr>
      </w:pPr>
      <w:r>
        <w:rPr>
          <w:rFonts w:hint="eastAsia"/>
        </w:rPr>
        <w:t xml:space="preserve">图6-2 </w:t>
      </w:r>
      <w:r>
        <w:rPr>
          <w:rFonts w:hint="eastAsia"/>
          <w:lang w:val="en-US" w:eastAsia="zh-CN"/>
        </w:rPr>
        <w:t>平台</w:t>
      </w:r>
      <w:r>
        <w:rPr>
          <w:rFonts w:hint="eastAsia"/>
        </w:rPr>
        <w:t>总体架构</w:t>
      </w:r>
      <w:r>
        <w:rPr>
          <w:rFonts w:hint="eastAsia"/>
          <w:lang w:val="en-US" w:eastAsia="zh-CN"/>
        </w:rPr>
        <w:t>图</w:t>
      </w:r>
    </w:p>
    <w:p w14:paraId="1BFC5979">
      <w:pPr>
        <w:ind w:firstLine="480"/>
      </w:pPr>
      <w:r>
        <w:rPr>
          <w:rFonts w:hint="eastAsia"/>
        </w:rPr>
        <w:t>资源层是平台运行的底层基础，主要包括算力资源、存储资源、网络资源以及容器化与虚拟化环境等基础设施能力。该层为模型服务、知识库服务、日志服务以及各类验证任务提供必要的运行环境与资源保障，也是平台中不同业务实例得以部署、启动、切换与回收的基础支撑。</w:t>
      </w:r>
    </w:p>
    <w:p w14:paraId="569138CA">
      <w:pPr>
        <w:ind w:firstLine="480"/>
      </w:pPr>
      <w:r>
        <w:rPr>
          <w:rFonts w:hint="eastAsia"/>
        </w:rPr>
        <w:t>数据层负责对平台中的核心数据对象及其映射关系进行组织与管理，主要包括数据资产、知识资产、数据管理、知识库构建、数字孪生映射和业务场景映射等内容。该层在继承第三章数据与知识管理能力的基础上，进一步面向平台验证场景，对业务数据、知识片段、模型状态、运行记录和孪生对象进行统一汇聚与管理，实现从底层资源到上层业务场景的数字化映射与状态承载，为后续风险复现、防御配置、态势分析和结果评估提供可靠的数据基础。</w:t>
      </w:r>
    </w:p>
    <w:p w14:paraId="238E22C5">
      <w:pPr>
        <w:ind w:firstLine="480"/>
      </w:pPr>
      <w:r>
        <w:rPr>
          <w:rFonts w:hint="eastAsia"/>
        </w:rPr>
        <w:t>逻辑层是平台的核心能力实现层，负责承载主要业务逻辑与安全验证功能。其中，攻击验证模块负责完成目标配置、样本生成、风险复现与执行监控；防御评测模块负责承载检索护栏、输入/输出护栏、阻断处置与效果评测等能力；态势感知模块负责对关键事件进行采集、汇聚、关联分析与风险评估；预案生成模块则基于案例匹配、规则检索和建议生成，为后续处置提供辅助支持。通过逻辑层的统一组织，平台能够将第四章与第五章提出的攻击、防御方法以及态势分析能力转化为可执行、可联动、可验证的工程化功能。</w:t>
      </w:r>
    </w:p>
    <w:p w14:paraId="559A8ED7">
      <w:pPr>
        <w:ind w:firstLine="480"/>
      </w:pPr>
      <w:r>
        <w:rPr>
          <w:rFonts w:hint="eastAsia"/>
        </w:rPr>
        <w:t>管控层负责对整个平台的运行过程进行组织、控制与保障，主要包括任务编排、评估引擎、资源调度以及审计日志等功能。该层既承担流程编排、资源协调和过程控制等管理职责，又负责对攻击结果、防御结果、系统状态和关键指标进行统一评估与记录。通过管控层的设置，平台能够实现从任务执行到过程监管、再到结果评估的闭环控制。</w:t>
      </w:r>
    </w:p>
    <w:p w14:paraId="6DAC901A">
      <w:pPr>
        <w:ind w:firstLine="480"/>
      </w:pPr>
      <w:r>
        <w:rPr>
          <w:rFonts w:hint="eastAsia"/>
        </w:rPr>
        <w:t>交互层是平台面向用户的统一展示与操作入口，主要以可视化验证与分析界面的形式提供相应功能支撑。该层将下层输出的环境状态、攻击过程、防御结果、态势信息和评估结论进行可视化呈现，并支持用户完成场景配置、过程监控、态势查看、告警展示、结果分析和复盘回放等操作，将复杂的验证过程以直观、清晰的方式呈现出来。</w:t>
      </w:r>
    </w:p>
    <w:p w14:paraId="74B37DC3">
      <w:pPr>
        <w:ind w:firstLine="480"/>
      </w:pPr>
      <w:r>
        <w:rPr>
          <w:rFonts w:hint="eastAsia"/>
        </w:rPr>
        <w:t>综上，资源层与数据层主要继承并扩展第三章平台能力，构成整个平台的基础运行底座；逻辑层与管控层集中体现风险复现、防御评测、态势分析与过程控制等核心能力；交互层面向用户提供统一的可视化操作入口，最终自下而上形成一个集资源承载、数据支撑、能力执行、过程管控与结果展示于一体的完整平台架构，为本章平台的风险验证、态势感知和效果评估提供架构基础。</w:t>
      </w:r>
    </w:p>
    <w:p w14:paraId="67DA42D4">
      <w:pPr>
        <w:pStyle w:val="4"/>
      </w:pPr>
      <w:bookmarkStart w:id="65" w:name="_Toc7261"/>
      <w:r>
        <w:rPr>
          <w:rFonts w:hint="eastAsia"/>
        </w:rPr>
        <w:t>6.2.2  功能模块设计</w:t>
      </w:r>
      <w:bookmarkEnd w:id="65"/>
    </w:p>
    <w:p w14:paraId="6806A13C">
      <w:pPr>
        <w:ind w:firstLine="480"/>
      </w:pPr>
      <w:r>
        <w:rPr>
          <w:rFonts w:hint="eastAsia"/>
        </w:rPr>
        <w:t>依照上述总体架构，本文将平台功能划分为资源与环境管理、攻击验证与风险复现、防御配置与效果评测、态势感知与预案生成、效果评测与复盘分析五个核心模块。各模块既相对独立，又通过统一的数据链路与控制流程形成完整闭环，共同支撑平台从风险复现、防御配置到态势展示、结果评估的全过程运行。</w:t>
      </w:r>
    </w:p>
    <w:p w14:paraId="72E08C7B">
      <w:pPr>
        <w:ind w:firstLine="480"/>
        <w:rPr>
          <w:rFonts w:hint="eastAsia"/>
        </w:rPr>
      </w:pPr>
      <w:r>
        <w:rPr>
          <w:rFonts w:hint="eastAsia"/>
        </w:rPr>
        <w:t>资源与环境管理模块是平台运行的基础，主要负责对电力调度RAG应用所依赖的知识库、数据集、模型版本、向量索引、提示模板和推理服务进行统一装载、配置、启停与恢复，并提供环境快照、版本切换、状态回滚和场景切换等功能，为后续攻击验证、防御部署和过程分析提供高保真、可重复、可恢复的运行环境。</w:t>
      </w:r>
    </w:p>
    <w:p w14:paraId="4D34858F">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攻击验证与风险复现模块对应第四章研究成果的工程化实现，主要负责将知识库毒化攻击方法封装为可执行组件，支持攻击目标配置、毒化文本生成、知识注入、执行触发与结果记录等功能，用于在受控条件下对目标风险进行复现与验证。通过该模块，平台能够对知识库投毒攻击路径、作用位置与误导结果进行可视化展示和可重复验证。</w:t>
      </w:r>
    </w:p>
    <w:p w14:paraId="53972DB9">
      <w:pPr>
        <w:bidi w:val="0"/>
        <w:rPr>
          <w:rFonts w:hint="eastAsia"/>
        </w:rPr>
      </w:pPr>
      <w:r>
        <w:rPr>
          <w:rFonts w:hint="eastAsia"/>
        </w:rPr>
        <w:t>防御配置与效果评测模块对应第五章研究成果的系统化实现，主要负责将组合式防御框架转化为可配置、可切换、可对比的防御服务，支持检索护栏、输入护栏和输出护栏的独立启用、联合部署与参数调整，并对不同策略下的拦截效果、正常问答保持能力和资源开销进行统一管理，为防御策略优化提供依据。</w:t>
      </w:r>
    </w:p>
    <w:p w14:paraId="7F616A9B">
      <w:pPr>
        <w:ind w:firstLine="480"/>
        <w:rPr>
          <w:rFonts w:hint="eastAsia"/>
        </w:rPr>
      </w:pPr>
      <w:r>
        <w:rPr>
          <w:rFonts w:hint="eastAsia"/>
        </w:rPr>
        <w:t>态势感知与预案生成模块主要负责对攻防全过程中的关键事件、运行状态和业务结果进行统一采集、关联分析和可视化展示，并在此基础上实现攻击路径分析、异常关联定位、风险等级评估和业务影响展示。同时，模块结合历史案例、规则模板和当前运行状态生成相应的处置建议与预案支撑信息，为人工研判和策略调整提供辅助参考。</w:t>
      </w:r>
    </w:p>
    <w:p w14:paraId="286B78B7">
      <w:pPr>
        <w:ind w:firstLine="480"/>
      </w:pPr>
      <w:r>
        <w:rPr>
          <w:rFonts w:hint="eastAsia"/>
        </w:rPr>
        <w:t>效果评测与复盘分析模块主要负责对平台运行结果进行统一评估、报告输出和过程回放。该模块围绕攻击效果、防御有效性、业务影响程度和资源开销等指标进行量化统计，形成结构化评估结果，并支持对关键步骤、重要事件和状态变化过程进行追踪与回放，实现全过程记录、结果复盘和报告生成。</w:t>
      </w:r>
    </w:p>
    <w:p w14:paraId="7E0AD837">
      <w:pPr>
        <w:pStyle w:val="3"/>
        <w:spacing w:before="163" w:after="163"/>
      </w:pPr>
      <w:bookmarkStart w:id="66" w:name="_Toc728"/>
      <w:r>
        <w:rPr>
          <w:rFonts w:hint="eastAsia"/>
        </w:rPr>
        <w:t>6</w:t>
      </w:r>
      <w:r>
        <w:t>.</w:t>
      </w:r>
      <w:r>
        <w:rPr>
          <w:rFonts w:hint="eastAsia"/>
        </w:rPr>
        <w:t xml:space="preserve">3  </w:t>
      </w:r>
      <w:r>
        <w:rPr>
          <w:rFonts w:hint="eastAsia"/>
          <w:lang w:val="en-US" w:eastAsia="zh-CN"/>
        </w:rPr>
        <w:t>平台</w:t>
      </w:r>
      <w:r>
        <w:rPr>
          <w:rFonts w:hint="eastAsia"/>
        </w:rPr>
        <w:t>详细设计与实现</w:t>
      </w:r>
      <w:bookmarkEnd w:id="66"/>
    </w:p>
    <w:p w14:paraId="7BBFA756">
      <w:pPr>
        <w:ind w:firstLine="480"/>
      </w:pPr>
      <w:r>
        <w:rPr>
          <w:rFonts w:hint="eastAsia"/>
        </w:rPr>
        <w:t>本文</w:t>
      </w:r>
      <w:r>
        <w:rPr>
          <w:rFonts w:hint="eastAsia"/>
          <w:lang w:val="en-US" w:eastAsia="zh-CN"/>
        </w:rPr>
        <w:t>平台</w:t>
      </w:r>
      <w:r>
        <w:rPr>
          <w:rFonts w:hint="eastAsia"/>
        </w:rPr>
        <w:t>整体采用前后端分离的工程化实现方式，前端采用Vue3框架构建，结合Element Plus完成场景配置、策略管理、任务控制和表单交互页面，利用ECharts实现资源态势、统计指标和评估结果的图表展示。后端采用FastAPI构建统一的RESTful接口服务，并通过Uvicorn完成服务部署。此外，</w:t>
      </w:r>
      <w:r>
        <w:rPr>
          <w:rFonts w:hint="eastAsia"/>
          <w:lang w:val="en-US" w:eastAsia="zh-CN"/>
        </w:rPr>
        <w:t>平台</w:t>
      </w:r>
      <w:r>
        <w:rPr>
          <w:rFonts w:hint="eastAsia"/>
        </w:rPr>
        <w:t>以MySQL实现</w:t>
      </w:r>
      <w:r>
        <w:rPr>
          <w:rFonts w:hint="eastAsia"/>
          <w:lang w:val="en-US" w:eastAsia="zh-CN"/>
        </w:rPr>
        <w:t>任务信息</w:t>
      </w:r>
      <w:r>
        <w:rPr>
          <w:rFonts w:hint="eastAsia"/>
        </w:rPr>
        <w:t>、策略配置、攻击防御日志等结构化数据的持久化存储，以Redis缓存运行态、告警信息和阶段性中间结果，并通过WebSocket将关键状态变化实时推送至前端界面。</w:t>
      </w:r>
    </w:p>
    <w:p w14:paraId="54436375">
      <w:pPr>
        <w:ind w:firstLine="480"/>
        <w:rPr>
          <w:rFonts w:hint="eastAsia" w:eastAsia="宋体"/>
          <w:lang w:eastAsia="zh-CN"/>
        </w:rPr>
      </w:pPr>
      <w:r>
        <w:rPr>
          <w:rFonts w:hint="eastAsia"/>
        </w:rPr>
        <w:t>接下来，本节面向具体功能模块，围绕模块职责、核心组成、交互流程与实现方法，对平台核心功能进行详细设计与实现</w:t>
      </w:r>
      <w:r>
        <w:rPr>
          <w:rFonts w:hint="eastAsia"/>
          <w:lang w:eastAsia="zh-CN"/>
        </w:rPr>
        <w:t>。</w:t>
      </w:r>
    </w:p>
    <w:p w14:paraId="647CCC9A">
      <w:pPr>
        <w:pStyle w:val="4"/>
      </w:pPr>
      <w:bookmarkStart w:id="67" w:name="_Toc1985"/>
      <w:r>
        <w:rPr>
          <w:rFonts w:hint="eastAsia"/>
        </w:rPr>
        <w:t xml:space="preserve">6.3.1  </w:t>
      </w:r>
      <w:r>
        <w:rPr>
          <w:rFonts w:hint="eastAsia"/>
          <w:lang w:val="en-US" w:eastAsia="zh-CN"/>
        </w:rPr>
        <w:t>资源与</w:t>
      </w:r>
      <w:r>
        <w:rPr>
          <w:rFonts w:hint="eastAsia"/>
        </w:rPr>
        <w:t>环境管理</w:t>
      </w:r>
      <w:bookmarkEnd w:id="67"/>
    </w:p>
    <w:p w14:paraId="2354AC5B">
      <w:pPr>
        <w:ind w:firstLine="480"/>
      </w:pPr>
      <w:r>
        <w:rPr>
          <w:rFonts w:hint="eastAsia"/>
        </w:rPr>
        <w:t>资源与环境管理模块是整个平台运行的基础，主要负责对电力调度RAG应用、知识库、模型服务以及底层算力资源进行统一装载、配置、启停与恢复，为后续风险复现、防御配置和效果评测提供高保真、可重复的运行环境。通过该模块，平台可将不同验证场景抽象为标准化环境实例，从而支撑多轮次任务的快速切换与稳定复现。</w:t>
      </w:r>
    </w:p>
    <w:p w14:paraId="0674DA09">
      <w:pPr>
        <w:ind w:firstLine="480"/>
      </w:pPr>
      <w:r>
        <w:rPr>
          <w:rFonts w:hint="eastAsia"/>
        </w:rPr>
        <w:t>该模块的核心类图如图6-4所示，类图主要包括EnvironmentController、AssetRegistry、ResourceMonitor、SnapshotManager和TwinSyncService五个核心类。其中，EnvironmentController负责接收环境初始化、切换与回滚请求；AssetRegistry负责维护知识库版本、模型版本和服务配置等环境元数据；ResourceMonitor负责采集检索服务、生成服务及CPU、GPU、内存等资源状态；SnapshotManager负责保存和恢复环境快照；TwinSyncService负责将环境状态同步至数字孪生可视平台。整体类图结构较为简洁，能够反映环境管理模块“控制—采集—恢复—同步”的基本实现逻辑。</w:t>
      </w:r>
    </w:p>
    <w:p w14:paraId="49F0B496">
      <w:pPr>
        <w:ind w:firstLine="480"/>
      </w:pPr>
      <w:r>
        <w:rPr>
          <w:rFonts w:hint="eastAsia"/>
        </w:rPr>
        <w:t>该模块时序图如图6-5所示。当用户在场景配置页面选择验证模板并提交初始化请求后，前端页面调用后端FastAPI接口，EnvironmentController根据场景编号从AssetRegistry中读取对应的知识库版本、模型参数和默认策略配置，随后完成知识库挂载、向量索引绑定和模型装载。环境启动完成后，ResourceMonitor对关键服务和底层资源进行健康检查，并由TwinSyncService通过WebSocket将状态变化实时推送到可视化界面；当演练结束或环境异常时，EnvironmentController调用SnapshotManager执行环境回滚与恢复。</w:t>
      </w:r>
    </w:p>
    <w:p w14:paraId="67E2830F">
      <w:pPr>
        <w:ind w:firstLine="480"/>
      </w:pPr>
      <w:r>
        <w:rPr>
          <w:rFonts w:hint="eastAsia"/>
        </w:rPr>
        <w:t>该模块的场景配置和环境状态界面如图6-6所示，</w:t>
      </w:r>
      <w:r>
        <w:rPr>
          <w:rFonts w:hint="eastAsia"/>
          <w:lang w:val="en-US" w:eastAsia="zh-CN"/>
        </w:rPr>
        <w:t>可</w:t>
      </w:r>
      <w:r>
        <w:rPr>
          <w:rFonts w:hint="eastAsia"/>
        </w:rPr>
        <w:t>完成</w:t>
      </w:r>
      <w:r>
        <w:rPr>
          <w:rFonts w:hint="eastAsia"/>
          <w:lang w:val="en-US" w:eastAsia="zh-CN"/>
        </w:rPr>
        <w:t>场景</w:t>
      </w:r>
      <w:r>
        <w:rPr>
          <w:rFonts w:hint="eastAsia"/>
        </w:rPr>
        <w:t>选择与参数配置</w:t>
      </w:r>
      <w:r>
        <w:rPr>
          <w:rFonts w:hint="eastAsia"/>
          <w:lang w:eastAsia="zh-CN"/>
        </w:rPr>
        <w:t>、</w:t>
      </w:r>
      <w:r>
        <w:rPr>
          <w:rFonts w:hint="eastAsia"/>
        </w:rPr>
        <w:t>展示环境实例、服务状态及资源占用情况</w:t>
      </w:r>
      <w:r>
        <w:t>。</w:t>
      </w:r>
    </w:p>
    <w:p w14:paraId="20F227F6">
      <w:pPr>
        <w:ind w:left="0" w:leftChars="0" w:firstLine="0" w:firstLineChars="0"/>
      </w:pPr>
    </w:p>
    <w:p w14:paraId="22616758">
      <w:pPr>
        <w:pStyle w:val="4"/>
        <w:rPr>
          <w:rFonts w:hint="default" w:eastAsia="黑体"/>
          <w:lang w:val="en-US" w:eastAsia="zh-CN"/>
        </w:rPr>
      </w:pPr>
      <w:bookmarkStart w:id="68" w:name="_Toc5610"/>
      <w:r>
        <w:rPr>
          <w:rFonts w:hint="eastAsia"/>
        </w:rPr>
        <w:t xml:space="preserve">6.3.2  </w:t>
      </w:r>
      <w:r>
        <w:rPr>
          <w:rFonts w:hint="eastAsia"/>
          <w:lang w:val="en-US" w:eastAsia="zh-CN"/>
        </w:rPr>
        <w:t>攻击验证与风险复现</w:t>
      </w:r>
      <w:bookmarkEnd w:id="68"/>
    </w:p>
    <w:p w14:paraId="18E8EF56">
      <w:pPr>
        <w:ind w:firstLine="480"/>
      </w:pPr>
      <w:r>
        <w:rPr>
          <w:rFonts w:hint="eastAsia"/>
        </w:rPr>
        <w:t>攻击验证与风险复现模块对应第四章研究成果的工程化实现，其核心功能在于将知识库投毒攻击方法封装为可执行、可配置、可记录的验证流程。该模块能够完成攻击任务创建、目标配置、毒化文本生成、知识注入、攻击触发以及结果判定等全过程操作，从而支撑不同场景下的风险复现与效果验证。</w:t>
      </w:r>
    </w:p>
    <w:p w14:paraId="051D7387">
      <w:pPr>
        <w:ind w:firstLine="480"/>
      </w:pPr>
      <w:r>
        <w:t>该模块的核心类图如图6-</w:t>
      </w:r>
      <w:r>
        <w:rPr>
          <w:rFonts w:hint="eastAsia"/>
          <w:lang w:val="en-US" w:eastAsia="zh-CN"/>
        </w:rPr>
        <w:t>7</w:t>
      </w:r>
      <w:r>
        <w:t>所示，主要包括AttackController、AttackTask、PoisonGenerator、KnowledgeInjector和AttackEvaluator五个核心类。其中，AttackController负责攻击任务的创建、调度与生命周期管理；AttackTask负责维护目标问题、误导方向、注入数量和攻击强度等任务参数；PoisonGenerator封装第四章提出的BOGA-RAGP算法，用于生成毒化文档；KnowledgeInjector负责调用知识入库接口并触发向量索引更新；AttackEvaluator负责在攻击执行后完成结果判定与日志记录。通过上述类之间的协同，可较为完整地表达红方攻击模块“生成—注入—验证”的实现链路。</w:t>
      </w:r>
    </w:p>
    <w:p w14:paraId="4241350A">
      <w:pPr>
        <w:ind w:firstLine="480"/>
      </w:pPr>
      <w:r>
        <w:t>该模块的交互图如图6-</w:t>
      </w:r>
      <w:r>
        <w:rPr>
          <w:rFonts w:hint="eastAsia"/>
          <w:lang w:val="en-US" w:eastAsia="zh-CN"/>
        </w:rPr>
        <w:t>8</w:t>
      </w:r>
      <w:r>
        <w:t>所示。</w:t>
      </w:r>
      <w:r>
        <w:rPr>
          <w:rFonts w:hint="eastAsia"/>
        </w:rPr>
        <w:t>用户首先在攻击任务配置界面中填写目标主题、攻击强度和注入策略，前端提交请求后由</w:t>
      </w:r>
      <w:r>
        <w:t>AttackController创建攻击任务并驱动PoisonGenerator生成毒化文本；随后KnowledgeInjector将毒化内容写入知识库并完成索引刷新，AttackEvaluator再自动发起目标查询，对回答内容、召回位置和误导程度进行综合判定，最终将攻击结果写入MySQL。</w:t>
      </w:r>
      <w:r>
        <w:rPr>
          <w:rFonts w:hint="eastAsia"/>
          <w:lang w:val="en-US" w:eastAsia="zh-CN"/>
        </w:rPr>
        <w:t>该</w:t>
      </w:r>
      <w:r>
        <w:t>模块采用</w:t>
      </w:r>
      <w:r>
        <w:rPr>
          <w:rFonts w:hint="eastAsia"/>
          <w:lang w:eastAsia="zh-CN"/>
        </w:rPr>
        <w:t>“</w:t>
      </w:r>
      <w:r>
        <w:t>异步执行+注入后验证+全过程留痕</w:t>
      </w:r>
      <w:r>
        <w:rPr>
          <w:rFonts w:hint="eastAsia"/>
          <w:lang w:eastAsia="zh-CN"/>
        </w:rPr>
        <w:t>”</w:t>
      </w:r>
      <w:r>
        <w:t>的实现方式，既保证了攻击链条的完整性，也增强了攻击任务的可复盘性。</w:t>
      </w:r>
    </w:p>
    <w:p w14:paraId="1AC29BDB">
      <w:pPr>
        <w:ind w:firstLine="480"/>
      </w:pPr>
      <w:r>
        <w:t>攻击</w:t>
      </w:r>
      <w:r>
        <w:rPr>
          <w:rFonts w:hint="eastAsia"/>
          <w:lang w:val="en-US" w:eastAsia="zh-CN"/>
        </w:rPr>
        <w:t>验证与风险复现</w:t>
      </w:r>
      <w:r>
        <w:t>界面分别如图6-</w:t>
      </w:r>
      <w:r>
        <w:rPr>
          <w:rFonts w:hint="eastAsia"/>
          <w:lang w:val="en-US" w:eastAsia="zh-CN"/>
        </w:rPr>
        <w:t>9</w:t>
      </w:r>
      <w:r>
        <w:t>所示，</w:t>
      </w:r>
      <w:r>
        <w:rPr>
          <w:rFonts w:hint="eastAsia"/>
          <w:lang w:val="en-US" w:eastAsia="zh-CN"/>
        </w:rPr>
        <w:t>可</w:t>
      </w:r>
      <w:r>
        <w:t>完成攻击参数配置</w:t>
      </w:r>
      <w:r>
        <w:rPr>
          <w:rFonts w:hint="eastAsia"/>
          <w:lang w:eastAsia="zh-CN"/>
        </w:rPr>
        <w:t>、</w:t>
      </w:r>
      <w:r>
        <w:t>展示生成的毒化内容及其注入状态</w:t>
      </w:r>
      <w:r>
        <w:rPr>
          <w:rFonts w:hint="eastAsia"/>
        </w:rPr>
        <w:t>。</w:t>
      </w:r>
    </w:p>
    <w:p w14:paraId="42971877">
      <w:pPr>
        <w:pStyle w:val="4"/>
        <w:rPr>
          <w:rFonts w:hint="default" w:eastAsia="黑体"/>
          <w:lang w:val="en-US" w:eastAsia="zh-CN"/>
        </w:rPr>
      </w:pPr>
      <w:bookmarkStart w:id="69" w:name="_Toc749"/>
      <w:r>
        <w:rPr>
          <w:rFonts w:hint="eastAsia"/>
        </w:rPr>
        <w:t xml:space="preserve">6.3.3  </w:t>
      </w:r>
      <w:r>
        <w:rPr>
          <w:rFonts w:hint="eastAsia"/>
          <w:lang w:val="en-US" w:eastAsia="zh-CN"/>
        </w:rPr>
        <w:t>防御配置与效果评测</w:t>
      </w:r>
      <w:bookmarkEnd w:id="69"/>
    </w:p>
    <w:p w14:paraId="25A33716">
      <w:pPr>
        <w:ind w:firstLine="480"/>
      </w:pPr>
      <w:r>
        <w:rPr>
          <w:rFonts w:hint="eastAsia"/>
        </w:rPr>
        <w:t>防御配置与效果评测模块是平台中负责安全防护与性能验证的核心模块。该模块将输入护栏、检索护栏和输出护栏嵌入同一条RAG查询链路中，对查询输入、候选证据和最终生成结果进行分层防护，并对不同防御策略的执行效果进行统一评测，从而实现对知识库投毒攻击的检测、过滤与抑制。</w:t>
      </w:r>
    </w:p>
    <w:p w14:paraId="02285119">
      <w:pPr>
        <w:ind w:firstLine="480"/>
      </w:pPr>
      <w:r>
        <w:rPr>
          <w:rFonts w:hint="eastAsia"/>
        </w:rPr>
        <w:t>该模块的核心类图如图6-</w:t>
      </w:r>
      <w:r>
        <w:rPr>
          <w:rFonts w:hint="eastAsia"/>
          <w:lang w:val="en-US" w:eastAsia="zh-CN"/>
        </w:rPr>
        <w:t>10</w:t>
      </w:r>
      <w:r>
        <w:rPr>
          <w:rFonts w:hint="eastAsia"/>
        </w:rPr>
        <w:t>所示，主要包括DefenseCoordinator、InputGuard、RetrievalGuard、OutputGuard和StrategyManager五个核心类。其中，DefenseCoordinator负责组织一次查询在各护栏中的执行顺序；InputGuard负责完成提示注入、异常查询和高风险输入识别；RetrievalGuard封装检索扩展、嵌入空间异常检测和</w:t>
      </w:r>
      <w:r>
        <w:rPr>
          <w:rFonts w:hint="eastAsia"/>
          <w:lang w:eastAsia="zh-CN"/>
        </w:rPr>
        <w:t>语句级</w:t>
      </w:r>
      <w:r>
        <w:rPr>
          <w:rFonts w:hint="eastAsia"/>
        </w:rPr>
        <w:t>困惑度异常检测等方法，对候选证据进行过滤与重排；OutputGuard负责对生成答案执行证据一致性校验和业务规则约束；StrategyManager负责维护防御模板、阈值参数及响应策略。</w:t>
      </w:r>
    </w:p>
    <w:p w14:paraId="46FEB43E">
      <w:pPr>
        <w:ind w:firstLine="480"/>
      </w:pPr>
      <w:r>
        <w:t>该模块的交互图如图6-</w:t>
      </w:r>
      <w:r>
        <w:rPr>
          <w:rFonts w:hint="eastAsia"/>
          <w:lang w:val="en-US" w:eastAsia="zh-CN"/>
        </w:rPr>
        <w:t>11</w:t>
      </w:r>
      <w:r>
        <w:t>所示。当用户提交查询后，DefenseCoordinator首先调用InputGuard对输入内容进行风险检测；若输入通过校验，则进入检索阶段，由RetrievalGuard对召回证据进行</w:t>
      </w:r>
      <w:r>
        <w:rPr>
          <w:rFonts w:hint="eastAsia"/>
          <w:lang w:val="en-US" w:eastAsia="zh-CN"/>
        </w:rPr>
        <w:t>扩展</w:t>
      </w:r>
      <w:r>
        <w:t>检索、异常筛除与可信重排；随后生成服务依据过滤后的证据生成回答，并由OutputGuard完成一致性校验与规则约束；最后，StrategyManager根据检测结果执行拦截、重试、替换回答或告警上报等动作，并将执行日志写入MySQL、运行状态写入Redis。该模块保证了不同护栏能够在同一路径内协同工作，同时也支持策略独立启停与参数调节。</w:t>
      </w:r>
    </w:p>
    <w:p w14:paraId="7C9A7FEB">
      <w:pPr>
        <w:ind w:firstLine="480"/>
      </w:pPr>
      <w:r>
        <w:t>防御策略配置界面和证据审查界面分别如图6-</w:t>
      </w:r>
      <w:r>
        <w:rPr>
          <w:rFonts w:hint="eastAsia"/>
          <w:lang w:val="en-US" w:eastAsia="zh-CN"/>
        </w:rPr>
        <w:t>12</w:t>
      </w:r>
      <w:r>
        <w:t>所示，</w:t>
      </w:r>
      <w:r>
        <w:rPr>
          <w:rFonts w:hint="eastAsia"/>
          <w:lang w:val="en-US" w:eastAsia="zh-CN"/>
        </w:rPr>
        <w:t>可</w:t>
      </w:r>
      <w:r>
        <w:t>设置护栏启停和阈值参数</w:t>
      </w:r>
      <w:r>
        <w:rPr>
          <w:rFonts w:hint="eastAsia"/>
          <w:lang w:eastAsia="zh-CN"/>
        </w:rPr>
        <w:t>、</w:t>
      </w:r>
      <w:r>
        <w:t>查看证据过滤结果及防御判定依据。</w:t>
      </w:r>
    </w:p>
    <w:p w14:paraId="48F99259">
      <w:pPr>
        <w:pStyle w:val="4"/>
      </w:pPr>
      <w:bookmarkStart w:id="70" w:name="_Toc27353"/>
      <w:r>
        <w:rPr>
          <w:rFonts w:hint="eastAsia"/>
        </w:rPr>
        <w:t>6.3.4  态势感知与预案生成</w:t>
      </w:r>
      <w:bookmarkEnd w:id="70"/>
    </w:p>
    <w:p w14:paraId="1E10E491">
      <w:pPr>
        <w:ind w:firstLine="480"/>
      </w:pPr>
      <w:r>
        <w:rPr>
          <w:rFonts w:hint="eastAsia"/>
        </w:rPr>
        <w:t>态势感知与预案生成模块是整个平台的分析中枢。该模块对验证全过程中的多源事件进行统一采集、关联分析、风险评估和处置建议生成，使平台具备从日志展示到态势研判、再到预案辅助的能力。</w:t>
      </w:r>
    </w:p>
    <w:p w14:paraId="166F6298">
      <w:pPr>
        <w:ind w:firstLine="480"/>
      </w:pPr>
      <w:r>
        <w:rPr>
          <w:rFonts w:hint="eastAsia"/>
        </w:rPr>
        <w:t>该模块的核心类图如图6-</w:t>
      </w:r>
      <w:r>
        <w:rPr>
          <w:rFonts w:hint="eastAsia"/>
          <w:lang w:val="en-US" w:eastAsia="zh-CN"/>
        </w:rPr>
        <w:t>13</w:t>
      </w:r>
      <w:r>
        <w:rPr>
          <w:rFonts w:hint="eastAsia"/>
        </w:rPr>
        <w:t>所示，主要包括EventCollector、EventNormalizer、CorrelationEngine、RiskEvaluator和PlanGenerator五个核心类。其中，EventCollector负责从知识入库、检索服务、生成服务、防御服务和资源监控链路持续采集原始事件；EventNormalizer负责统一时间戳、任务编号、对象标识和事件类型；CorrelationEngine负责将离散事件关联为完整的攻击链和响应链；RiskEvaluator负责根据影响范围、严重程度和业务敏感等级计算风险水平；PlanGenerator则结合规则模板与历史案例生成处置建议。</w:t>
      </w:r>
    </w:p>
    <w:p w14:paraId="14A7D274">
      <w:pPr>
        <w:ind w:firstLine="480"/>
      </w:pPr>
      <w:r>
        <w:rPr>
          <w:rFonts w:hint="eastAsia"/>
        </w:rPr>
        <w:t>该模块的交互流程如图6-</w:t>
      </w:r>
      <w:r>
        <w:rPr>
          <w:rFonts w:hint="eastAsia"/>
          <w:lang w:val="en-US" w:eastAsia="zh-CN"/>
        </w:rPr>
        <w:t>14</w:t>
      </w:r>
      <w:r>
        <w:rPr>
          <w:rFonts w:hint="eastAsia"/>
        </w:rPr>
        <w:t>所示。平台首先对运行过程中产生的多源日志和状态信息进行汇聚，随后由CorrelationEngine按任务编号和时间顺序将毒化文档注入</w:t>
      </w:r>
      <w:r>
        <w:rPr>
          <w:rFonts w:hint="eastAsia"/>
          <w:lang w:eastAsia="zh-CN"/>
        </w:rPr>
        <w:t>、</w:t>
      </w:r>
      <w:r>
        <w:rPr>
          <w:rFonts w:hint="eastAsia"/>
        </w:rPr>
        <w:t>异常召回</w:t>
      </w:r>
      <w:r>
        <w:rPr>
          <w:rFonts w:hint="eastAsia"/>
          <w:lang w:eastAsia="zh-CN"/>
        </w:rPr>
        <w:t>、</w:t>
      </w:r>
      <w:r>
        <w:rPr>
          <w:rFonts w:hint="eastAsia"/>
        </w:rPr>
        <w:t>防御触发等关键事件串联为同一条攻击链或响应链</w:t>
      </w:r>
      <w:r>
        <w:rPr>
          <w:rFonts w:hint="eastAsia"/>
          <w:lang w:eastAsia="zh-CN"/>
        </w:rPr>
        <w:t>。</w:t>
      </w:r>
      <w:r>
        <w:rPr>
          <w:rFonts w:hint="eastAsia"/>
        </w:rPr>
        <w:t>在此基础上，RiskEvaluator计算当前风险等级，PlanGenerator结合案例库和预案模板生成处置建议，并通过WebSocket将分析结果推送到态势展示页面与预案推荐页面，最终实现从多源数据展示到风险研判、再到预案辅助的</w:t>
      </w:r>
      <w:r>
        <w:rPr>
          <w:rFonts w:hint="eastAsia"/>
          <w:lang w:val="en-US" w:eastAsia="zh-CN"/>
        </w:rPr>
        <w:t>完整</w:t>
      </w:r>
      <w:r>
        <w:rPr>
          <w:rFonts w:hint="eastAsia"/>
        </w:rPr>
        <w:t>闭环。</w:t>
      </w:r>
    </w:p>
    <w:p w14:paraId="52C23E20">
      <w:pPr>
        <w:ind w:firstLine="480"/>
      </w:pPr>
      <w:r>
        <w:t>态势总览界面和预案生成界面分别如图6-</w:t>
      </w:r>
      <w:r>
        <w:rPr>
          <w:rFonts w:hint="eastAsia"/>
          <w:lang w:val="en-US" w:eastAsia="zh-CN"/>
        </w:rPr>
        <w:t>15</w:t>
      </w:r>
      <w:r>
        <w:t>所示，</w:t>
      </w:r>
      <w:r>
        <w:rPr>
          <w:rFonts w:hint="eastAsia"/>
          <w:lang w:val="en-US" w:eastAsia="zh-CN"/>
        </w:rPr>
        <w:t>可</w:t>
      </w:r>
      <w:r>
        <w:t>展示攻击链路、风险分布和资源状态</w:t>
      </w:r>
      <w:r>
        <w:rPr>
          <w:rFonts w:hint="eastAsia"/>
          <w:lang w:eastAsia="zh-CN"/>
        </w:rPr>
        <w:t>、</w:t>
      </w:r>
      <w:r>
        <w:t>推荐处置策略及其触发依据。</w:t>
      </w:r>
    </w:p>
    <w:p w14:paraId="306AFDFE">
      <w:pPr>
        <w:pStyle w:val="4"/>
        <w:rPr>
          <w:rFonts w:hint="eastAsia" w:eastAsia="黑体"/>
          <w:lang w:val="en-US" w:eastAsia="zh-CN"/>
        </w:rPr>
      </w:pPr>
      <w:bookmarkStart w:id="71" w:name="_Toc1514"/>
      <w:r>
        <w:rPr>
          <w:rFonts w:hint="eastAsia"/>
        </w:rPr>
        <w:t xml:space="preserve">6.3.5  </w:t>
      </w:r>
      <w:r>
        <w:rPr>
          <w:rFonts w:hint="eastAsia"/>
          <w:lang w:val="en-US" w:eastAsia="zh-CN"/>
        </w:rPr>
        <w:t>效果评测与复盘分析</w:t>
      </w:r>
      <w:bookmarkEnd w:id="71"/>
    </w:p>
    <w:p w14:paraId="2BF500D3">
      <w:pPr>
        <w:ind w:firstLine="480"/>
      </w:pPr>
      <w:r>
        <w:rPr>
          <w:rFonts w:hint="eastAsia"/>
        </w:rPr>
        <w:t>效果评测与复盘分析模块负责将前述资源管理、攻击验证、防御执行和态势分析等能力组织为一套可统计、可评估、可回放的完整验证流程。该模块的核心作用不在于传统意义上的“导调”，而在于对全过程结果进行量化评估、时间轴重构和复盘展示，使平台真正形成闭环。</w:t>
      </w:r>
    </w:p>
    <w:p w14:paraId="02BD9740">
      <w:pPr>
        <w:ind w:firstLine="480"/>
        <w:rPr>
          <w:rFonts w:hint="eastAsia"/>
        </w:rPr>
      </w:pPr>
      <w:r>
        <w:rPr>
          <w:rFonts w:hint="eastAsia"/>
        </w:rPr>
        <w:t>该模块的核心类图如图6-</w:t>
      </w:r>
      <w:r>
        <w:rPr>
          <w:rFonts w:hint="eastAsia"/>
          <w:lang w:val="en-US" w:eastAsia="zh-CN"/>
        </w:rPr>
        <w:t>16</w:t>
      </w:r>
      <w:r>
        <w:rPr>
          <w:rFonts w:hint="eastAsia"/>
        </w:rPr>
        <w:t>所示，主要包括TaskController、ProcessScheduler、MetricCalculator、ReportGenerator和ReplayManager五个核心类。其中，TaskController负责验证任务的创建、启动、暂停、恢复和结束；ProcessScheduler负责按照预设流程顺序调用环境管理、攻击、防御和态势分析等服务；MetricCalculator负责汇总攻击日志、防御日志、态势事件和资源状态，计算攻击成功率、防御有效性、业务影响程度、响应时延和资源开销等指标；ReportGenerator负责生成结构化评估报告；ReplayManager负责按时间顺序组织关键事件并生成回放时间轴。通过上述核心类的协同，可以较为完整地支撑结果评估与复盘分析的实现需求。</w:t>
      </w:r>
    </w:p>
    <w:p w14:paraId="274CC27B">
      <w:pPr>
        <w:ind w:firstLine="480"/>
      </w:pPr>
      <w:r>
        <w:rPr>
          <w:rFonts w:hint="eastAsia"/>
        </w:rPr>
        <w:t>该模块的交互流程如图6-</w:t>
      </w:r>
      <w:r>
        <w:rPr>
          <w:rFonts w:hint="eastAsia"/>
          <w:lang w:val="en-US" w:eastAsia="zh-CN"/>
        </w:rPr>
        <w:t>17</w:t>
      </w:r>
      <w:r>
        <w:rPr>
          <w:rFonts w:hint="eastAsia"/>
        </w:rPr>
        <w:t>所示。用户首先在任务编排页面中创建验证任务并配置场景参数，TaskController接收请求后调用ProcessScheduler生成并执行任务流程，依次驱动环境初始化、攻击执行、防御响应和态势分析；在运行过程中，平台持续记录关键事件、统计指标和状态变化；任务结束后，MetricCalculator自动计算各项结果指标，ReportGenerator输出量化评估报告，ReplayManager则将关键过程重构为可回放时间轴。这样，平台不仅能够呈现一次任务的执行结果，还能够清晰展示风险形成、检测拦截与结果变化的全过程。</w:t>
      </w:r>
    </w:p>
    <w:p w14:paraId="6566FD05">
      <w:pPr>
        <w:ind w:firstLine="480"/>
      </w:pPr>
      <w:r>
        <w:rPr>
          <w:rFonts w:hint="eastAsia"/>
          <w:lang w:val="en-US" w:eastAsia="zh-CN"/>
        </w:rPr>
        <w:t>该</w:t>
      </w:r>
      <w:r>
        <w:rPr>
          <w:rFonts w:hint="eastAsia"/>
        </w:rPr>
        <w:t>模块的任务监控界面和评估复盘界面分别如图</w:t>
      </w:r>
      <w:r>
        <w:t>6-</w:t>
      </w:r>
      <w:r>
        <w:rPr>
          <w:rFonts w:hint="eastAsia"/>
          <w:lang w:val="en-US" w:eastAsia="zh-CN"/>
        </w:rPr>
        <w:t>18</w:t>
      </w:r>
      <w:r>
        <w:t>所示，</w:t>
      </w:r>
      <w:r>
        <w:rPr>
          <w:rFonts w:hint="eastAsia"/>
        </w:rPr>
        <w:t>前者展示任务执行状态与过程节点，后者展示核心评估指标、统计结果及回放信息。</w:t>
      </w:r>
    </w:p>
    <w:p w14:paraId="6981B6FC">
      <w:pPr>
        <w:pStyle w:val="3"/>
        <w:spacing w:before="163" w:after="163"/>
      </w:pPr>
      <w:bookmarkStart w:id="72" w:name="_Toc23851"/>
      <w:r>
        <w:rPr>
          <w:rFonts w:hint="eastAsia"/>
        </w:rPr>
        <w:t>6</w:t>
      </w:r>
      <w:r>
        <w:t>.</w:t>
      </w:r>
      <w:r>
        <w:rPr>
          <w:rFonts w:hint="eastAsia"/>
        </w:rPr>
        <w:t xml:space="preserve">4  </w:t>
      </w:r>
      <w:r>
        <w:rPr>
          <w:rFonts w:hint="eastAsia"/>
          <w:lang w:val="en-US" w:eastAsia="zh-CN"/>
        </w:rPr>
        <w:t>平台</w:t>
      </w:r>
      <w:r>
        <w:rPr>
          <w:rFonts w:hint="eastAsia"/>
        </w:rPr>
        <w:t>部署与测试</w:t>
      </w:r>
      <w:bookmarkEnd w:id="72"/>
    </w:p>
    <w:p w14:paraId="34B5FA35">
      <w:pPr>
        <w:ind w:firstLine="480"/>
      </w:pPr>
      <w:r>
        <w:rPr>
          <w:rFonts w:hint="eastAsia"/>
        </w:rPr>
        <w:t>为验证所设计平台的可部署性、功能完整性与运行稳定性，本节从平台测试环境、功能测试以及性能测试三个方面对系统进行说明。本文平台面向电力人工智能应用中的RAG安全验证场景，既要保证风险复现、防御配置、态势分析和评估复盘等核心能力能够在统一环境中协同运行，又要满足验证过程对实时性、可靠性和可恢复性的要求，</w:t>
      </w:r>
      <w:r>
        <w:rPr>
          <w:rFonts w:hint="eastAsia"/>
          <w:lang w:val="en-US" w:eastAsia="zh-CN"/>
        </w:rPr>
        <w:t>因此</w:t>
      </w:r>
      <w:r>
        <w:rPr>
          <w:rFonts w:hint="eastAsia"/>
        </w:rPr>
        <w:t>有必要对其工程部署方式和实际运行效果进行进一步验证。</w:t>
      </w:r>
    </w:p>
    <w:p w14:paraId="329744BC">
      <w:pPr>
        <w:pStyle w:val="4"/>
      </w:pPr>
      <w:bookmarkStart w:id="73" w:name="_Toc15161"/>
      <w:r>
        <w:rPr>
          <w:rFonts w:hint="eastAsia"/>
        </w:rPr>
        <w:t xml:space="preserve">6.4.1  </w:t>
      </w:r>
      <w:r>
        <w:rPr>
          <w:rFonts w:hint="eastAsia"/>
          <w:lang w:val="en-US" w:eastAsia="zh-CN"/>
        </w:rPr>
        <w:t>平台</w:t>
      </w:r>
      <w:r>
        <w:rPr>
          <w:rFonts w:hint="eastAsia"/>
        </w:rPr>
        <w:t>测试环境</w:t>
      </w:r>
      <w:bookmarkEnd w:id="73"/>
    </w:p>
    <w:p w14:paraId="703C1D1D">
      <w:pPr>
        <w:ind w:firstLine="480"/>
      </w:pPr>
      <w:r>
        <w:rPr>
          <w:rFonts w:hint="eastAsia"/>
        </w:rPr>
        <w:t>本</w:t>
      </w:r>
      <w:r>
        <w:rPr>
          <w:rFonts w:hint="eastAsia"/>
          <w:lang w:val="en-US" w:eastAsia="zh-CN"/>
        </w:rPr>
        <w:t>平台</w:t>
      </w:r>
      <w:r>
        <w:rPr>
          <w:rFonts w:hint="eastAsia"/>
        </w:rPr>
        <w:t>采用的部署和测试环境如表6-1所示：</w:t>
      </w:r>
    </w:p>
    <w:p w14:paraId="12BF05DC">
      <w:pPr>
        <w:pStyle w:val="9"/>
      </w:pPr>
      <w:r>
        <w:rPr>
          <w:rFonts w:hint="eastAsia"/>
        </w:rPr>
        <w:t>表6-1 资源名称与配置使用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04F1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single" w:color="auto" w:sz="12" w:space="0"/>
              <w:left w:val="nil"/>
              <w:bottom w:val="single" w:color="auto" w:sz="4" w:space="0"/>
              <w:right w:val="nil"/>
            </w:tcBorders>
            <w:vAlign w:val="center"/>
          </w:tcPr>
          <w:p w14:paraId="526687E9">
            <w:pPr>
              <w:pStyle w:val="94"/>
            </w:pPr>
            <w:r>
              <w:rPr>
                <w:rFonts w:hint="eastAsia"/>
              </w:rPr>
              <w:t>资源名称</w:t>
            </w:r>
          </w:p>
        </w:tc>
        <w:tc>
          <w:tcPr>
            <w:tcW w:w="4264" w:type="dxa"/>
            <w:tcBorders>
              <w:top w:val="single" w:color="auto" w:sz="12" w:space="0"/>
              <w:left w:val="nil"/>
              <w:bottom w:val="single" w:color="auto" w:sz="4" w:space="0"/>
              <w:right w:val="nil"/>
            </w:tcBorders>
            <w:vAlign w:val="center"/>
          </w:tcPr>
          <w:p w14:paraId="3E6C402B">
            <w:pPr>
              <w:pStyle w:val="94"/>
            </w:pPr>
            <w:r>
              <w:rPr>
                <w:rFonts w:hint="eastAsia"/>
              </w:rPr>
              <w:t>配置</w:t>
            </w:r>
          </w:p>
        </w:tc>
      </w:tr>
      <w:tr w14:paraId="60CC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single" w:color="auto" w:sz="4" w:space="0"/>
              <w:left w:val="nil"/>
              <w:bottom w:val="nil"/>
              <w:right w:val="nil"/>
            </w:tcBorders>
            <w:vAlign w:val="center"/>
          </w:tcPr>
          <w:p w14:paraId="4A82B3CE">
            <w:pPr>
              <w:pStyle w:val="90"/>
              <w:widowControl w:val="0"/>
            </w:pPr>
            <w:r>
              <w:rPr>
                <w:rFonts w:hint="eastAsia"/>
              </w:rPr>
              <w:t>服务器GPU</w:t>
            </w:r>
          </w:p>
        </w:tc>
        <w:tc>
          <w:tcPr>
            <w:tcW w:w="4264" w:type="dxa"/>
            <w:tcBorders>
              <w:top w:val="single" w:color="auto" w:sz="4" w:space="0"/>
              <w:left w:val="nil"/>
              <w:bottom w:val="nil"/>
              <w:right w:val="nil"/>
            </w:tcBorders>
            <w:vAlign w:val="center"/>
          </w:tcPr>
          <w:p w14:paraId="1CD90CE3">
            <w:pPr>
              <w:pStyle w:val="90"/>
              <w:widowControl w:val="0"/>
            </w:pPr>
            <w:r>
              <w:rPr>
                <w:rFonts w:hint="eastAsia"/>
              </w:rPr>
              <w:t>NVIDIA GeForce RTX 4090</w:t>
            </w:r>
          </w:p>
        </w:tc>
      </w:tr>
      <w:tr w14:paraId="2675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790AE74D">
            <w:pPr>
              <w:pStyle w:val="90"/>
              <w:widowControl w:val="0"/>
            </w:pPr>
            <w:r>
              <w:rPr>
                <w:rFonts w:hint="eastAsia"/>
              </w:rPr>
              <w:t>服务器CPU</w:t>
            </w:r>
          </w:p>
        </w:tc>
        <w:tc>
          <w:tcPr>
            <w:tcW w:w="4264" w:type="dxa"/>
            <w:tcBorders>
              <w:top w:val="nil"/>
              <w:left w:val="nil"/>
              <w:bottom w:val="nil"/>
              <w:right w:val="nil"/>
            </w:tcBorders>
            <w:vAlign w:val="center"/>
          </w:tcPr>
          <w:p w14:paraId="18827B52">
            <w:pPr>
              <w:pStyle w:val="90"/>
              <w:widowControl w:val="0"/>
            </w:pPr>
            <w:r>
              <w:rPr>
                <w:rFonts w:hint="eastAsia"/>
              </w:rPr>
              <w:t>Intel(R) Xeon(R) Platinum 8352V CPU @ 2.10GHz</w:t>
            </w:r>
          </w:p>
        </w:tc>
      </w:tr>
      <w:tr w14:paraId="5CD30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26A1F5CF">
            <w:pPr>
              <w:pStyle w:val="90"/>
              <w:widowControl w:val="0"/>
            </w:pPr>
            <w:r>
              <w:rPr>
                <w:rFonts w:hint="eastAsia"/>
              </w:rPr>
              <w:t>服务器操作系统</w:t>
            </w:r>
          </w:p>
        </w:tc>
        <w:tc>
          <w:tcPr>
            <w:tcW w:w="4264" w:type="dxa"/>
            <w:tcBorders>
              <w:top w:val="nil"/>
              <w:left w:val="nil"/>
              <w:bottom w:val="nil"/>
              <w:right w:val="nil"/>
            </w:tcBorders>
            <w:vAlign w:val="center"/>
          </w:tcPr>
          <w:p w14:paraId="340D3398">
            <w:pPr>
              <w:pStyle w:val="90"/>
              <w:widowControl w:val="0"/>
            </w:pPr>
            <w:r>
              <w:rPr>
                <w:rFonts w:hint="eastAsia"/>
              </w:rPr>
              <w:t>Ubuntu20.04</w:t>
            </w:r>
          </w:p>
        </w:tc>
      </w:tr>
      <w:tr w14:paraId="2AC7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383CDEF3">
            <w:pPr>
              <w:pStyle w:val="90"/>
              <w:widowControl w:val="0"/>
            </w:pPr>
            <w:r>
              <w:rPr>
                <w:rFonts w:hint="eastAsia"/>
              </w:rPr>
              <w:t>客户端GPU</w:t>
            </w:r>
          </w:p>
        </w:tc>
        <w:tc>
          <w:tcPr>
            <w:tcW w:w="4264" w:type="dxa"/>
            <w:tcBorders>
              <w:top w:val="nil"/>
              <w:left w:val="nil"/>
              <w:bottom w:val="nil"/>
              <w:right w:val="nil"/>
            </w:tcBorders>
            <w:vAlign w:val="center"/>
          </w:tcPr>
          <w:p w14:paraId="1F53233E">
            <w:pPr>
              <w:pStyle w:val="90"/>
              <w:widowControl w:val="0"/>
            </w:pPr>
            <w:r>
              <w:rPr>
                <w:rFonts w:hint="eastAsia"/>
              </w:rPr>
              <w:t>NVIDIA GeForce RTX 1650</w:t>
            </w:r>
          </w:p>
        </w:tc>
      </w:tr>
      <w:tr w14:paraId="4310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3F9E758E">
            <w:pPr>
              <w:pStyle w:val="90"/>
              <w:widowControl w:val="0"/>
            </w:pPr>
            <w:r>
              <w:rPr>
                <w:rFonts w:hint="eastAsia"/>
              </w:rPr>
              <w:t>客户端CPU</w:t>
            </w:r>
          </w:p>
        </w:tc>
        <w:tc>
          <w:tcPr>
            <w:tcW w:w="4264" w:type="dxa"/>
            <w:tcBorders>
              <w:top w:val="nil"/>
              <w:left w:val="nil"/>
              <w:bottom w:val="nil"/>
              <w:right w:val="nil"/>
            </w:tcBorders>
            <w:vAlign w:val="center"/>
          </w:tcPr>
          <w:p w14:paraId="6C4C2419">
            <w:pPr>
              <w:pStyle w:val="90"/>
              <w:widowControl w:val="0"/>
            </w:pPr>
            <w:r>
              <w:t>Intel(R) Core(TM) i5-9300H CPU@ 2.40GHz</w:t>
            </w:r>
          </w:p>
        </w:tc>
      </w:tr>
      <w:tr w14:paraId="30D2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nil"/>
              <w:right w:val="nil"/>
            </w:tcBorders>
            <w:vAlign w:val="center"/>
          </w:tcPr>
          <w:p w14:paraId="1742AD23">
            <w:pPr>
              <w:pStyle w:val="90"/>
              <w:widowControl w:val="0"/>
            </w:pPr>
            <w:r>
              <w:rPr>
                <w:rFonts w:hint="eastAsia"/>
              </w:rPr>
              <w:t>操作系统</w:t>
            </w:r>
          </w:p>
        </w:tc>
        <w:tc>
          <w:tcPr>
            <w:tcW w:w="4264" w:type="dxa"/>
            <w:tcBorders>
              <w:top w:val="nil"/>
              <w:left w:val="nil"/>
              <w:bottom w:val="nil"/>
              <w:right w:val="nil"/>
            </w:tcBorders>
            <w:vAlign w:val="center"/>
          </w:tcPr>
          <w:p w14:paraId="733AB569">
            <w:pPr>
              <w:pStyle w:val="90"/>
              <w:widowControl w:val="0"/>
            </w:pPr>
            <w:r>
              <w:rPr>
                <w:rFonts w:hint="eastAsia"/>
              </w:rPr>
              <w:t>Windows11</w:t>
            </w:r>
          </w:p>
        </w:tc>
      </w:tr>
      <w:tr w14:paraId="21557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nil"/>
              <w:left w:val="nil"/>
              <w:bottom w:val="single" w:color="auto" w:sz="12" w:space="0"/>
              <w:right w:val="nil"/>
            </w:tcBorders>
            <w:vAlign w:val="center"/>
          </w:tcPr>
          <w:p w14:paraId="2F2A335B">
            <w:pPr>
              <w:pStyle w:val="90"/>
              <w:widowControl w:val="0"/>
            </w:pPr>
            <w:r>
              <w:rPr>
                <w:rFonts w:hint="eastAsia"/>
              </w:rPr>
              <w:t>浏览器</w:t>
            </w:r>
          </w:p>
        </w:tc>
        <w:tc>
          <w:tcPr>
            <w:tcW w:w="4264" w:type="dxa"/>
            <w:tcBorders>
              <w:top w:val="nil"/>
              <w:left w:val="nil"/>
              <w:bottom w:val="single" w:color="auto" w:sz="12" w:space="0"/>
              <w:right w:val="nil"/>
            </w:tcBorders>
            <w:vAlign w:val="center"/>
          </w:tcPr>
          <w:p w14:paraId="3A2249AC">
            <w:pPr>
              <w:pStyle w:val="90"/>
              <w:widowControl w:val="0"/>
            </w:pPr>
            <w:r>
              <w:rPr>
                <w:rFonts w:hint="eastAsia"/>
              </w:rPr>
              <w:t>Chrome</w:t>
            </w:r>
          </w:p>
        </w:tc>
      </w:tr>
    </w:tbl>
    <w:p w14:paraId="126EA298">
      <w:pPr>
        <w:pStyle w:val="4"/>
      </w:pPr>
      <w:bookmarkStart w:id="74" w:name="_Toc7698"/>
      <w:r>
        <w:rPr>
          <w:rFonts w:hint="eastAsia"/>
        </w:rPr>
        <w:t>6.4.2  功能测试</w:t>
      </w:r>
      <w:bookmarkEnd w:id="74"/>
    </w:p>
    <w:p w14:paraId="7971F695">
      <w:pPr>
        <w:ind w:firstLine="480"/>
      </w:pPr>
      <w:r>
        <w:rPr>
          <w:rFonts w:hint="eastAsia"/>
        </w:rPr>
        <w:t>为验证平台各核心模块能够按照设计要求稳定运行，本文对资源与环境管理、攻击验证与风险复现、防御配置与效果评测、态势感知与预案生成、效果评测与复盘分析五个核心功能进行逐项测试，</w:t>
      </w:r>
      <w:r>
        <w:rPr>
          <w:rFonts w:hint="eastAsia"/>
          <w:lang w:val="en-US" w:eastAsia="zh-CN"/>
        </w:rPr>
        <w:t>如表6-2至6-6所示</w:t>
      </w:r>
      <w:r>
        <w:rPr>
          <w:rFonts w:hint="eastAsia"/>
        </w:rPr>
        <w:t>。</w:t>
      </w:r>
    </w:p>
    <w:p w14:paraId="31FE2554">
      <w:pPr>
        <w:pStyle w:val="9"/>
      </w:pPr>
      <w:r>
        <w:rPr>
          <w:rFonts w:hint="eastAsia"/>
        </w:rPr>
        <w:t xml:space="preserve">表6-2 </w:t>
      </w:r>
      <w:r>
        <w:rPr>
          <w:rFonts w:hint="eastAsia"/>
          <w:lang w:val="en-US" w:eastAsia="zh-CN"/>
        </w:rPr>
        <w:t>资源与环境管理</w:t>
      </w:r>
      <w:r>
        <w:rPr>
          <w:rFonts w:hint="eastAsia"/>
        </w:rPr>
        <w:t>功能测试</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3FA5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8" w:type="dxa"/>
          </w:tcPr>
          <w:p w14:paraId="1FDA7523">
            <w:pPr>
              <w:ind w:firstLine="0" w:firstLineChars="0"/>
              <w:rPr>
                <w:rFonts w:hint="default" w:eastAsia="宋体"/>
                <w:sz w:val="21"/>
                <w:szCs w:val="21"/>
                <w:lang w:val="en-US" w:eastAsia="zh-CN"/>
              </w:rPr>
            </w:pPr>
            <w:r>
              <w:rPr>
                <w:rFonts w:hint="eastAsia"/>
                <w:b/>
                <w:bCs/>
                <w:sz w:val="21"/>
                <w:szCs w:val="21"/>
              </w:rPr>
              <w:t>测试名称：</w:t>
            </w:r>
            <w:r>
              <w:rPr>
                <w:rFonts w:hint="eastAsia"/>
                <w:b w:val="0"/>
                <w:bCs w:val="0"/>
                <w:sz w:val="21"/>
                <w:szCs w:val="21"/>
                <w:lang w:val="en-US" w:eastAsia="zh-CN"/>
              </w:rPr>
              <w:t>资源与环境管理</w:t>
            </w:r>
          </w:p>
        </w:tc>
      </w:tr>
      <w:tr w14:paraId="45E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69F744D">
            <w:pPr>
              <w:ind w:firstLine="0" w:firstLineChars="0"/>
              <w:rPr>
                <w:b/>
                <w:bCs/>
                <w:sz w:val="21"/>
                <w:szCs w:val="21"/>
              </w:rPr>
            </w:pPr>
            <w:r>
              <w:rPr>
                <w:rFonts w:hint="eastAsia"/>
                <w:b/>
                <w:bCs/>
                <w:sz w:val="21"/>
                <w:szCs w:val="21"/>
              </w:rPr>
              <w:t>测试步骤：</w:t>
            </w:r>
          </w:p>
          <w:p w14:paraId="59178FC6">
            <w:pPr>
              <w:ind w:firstLine="0" w:firstLineChars="0"/>
              <w:rPr>
                <w:rFonts w:hint="eastAsia" w:ascii="宋体" w:hAnsi="宋体" w:cs="宋体"/>
                <w:sz w:val="21"/>
                <w:szCs w:val="21"/>
              </w:rPr>
            </w:pPr>
            <w:r>
              <w:rPr>
                <w:rFonts w:ascii="宋体" w:hAnsi="宋体" w:cs="宋体"/>
                <w:sz w:val="21"/>
                <w:szCs w:val="21"/>
              </w:rPr>
              <w:t>进入场景配置页面，选择</w:t>
            </w:r>
            <w:r>
              <w:rPr>
                <w:rFonts w:hint="eastAsia" w:ascii="宋体" w:hAnsi="宋体" w:cs="宋体"/>
                <w:sz w:val="21"/>
                <w:szCs w:val="21"/>
              </w:rPr>
              <w:t>配置信息与知识库，提交初始化请求。</w:t>
            </w:r>
          </w:p>
        </w:tc>
      </w:tr>
      <w:tr w14:paraId="5F71E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4B5F198B">
            <w:pPr>
              <w:ind w:firstLine="0" w:firstLineChars="0"/>
              <w:rPr>
                <w:sz w:val="21"/>
                <w:szCs w:val="21"/>
              </w:rPr>
            </w:pPr>
            <w:r>
              <w:rPr>
                <w:rFonts w:hint="eastAsia"/>
                <w:b/>
                <w:bCs/>
                <w:sz w:val="21"/>
                <w:szCs w:val="21"/>
              </w:rPr>
              <w:t>预期结果：</w:t>
            </w:r>
            <w:r>
              <w:rPr>
                <w:rFonts w:hint="eastAsia"/>
                <w:b w:val="0"/>
                <w:bCs w:val="0"/>
                <w:sz w:val="21"/>
                <w:szCs w:val="21"/>
              </w:rPr>
              <w:t>平台能够根据所选配置完成知识库挂载与环境初始化，</w:t>
            </w:r>
            <w:r>
              <w:rPr>
                <w:rFonts w:hint="eastAsia"/>
                <w:sz w:val="21"/>
                <w:szCs w:val="21"/>
              </w:rPr>
              <w:t>环境状态正确。</w:t>
            </w:r>
          </w:p>
        </w:tc>
      </w:tr>
      <w:tr w14:paraId="2170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5BEEA12">
            <w:pPr>
              <w:ind w:firstLine="0" w:firstLineChars="0"/>
              <w:rPr>
                <w:rFonts w:hint="default" w:eastAsia="宋体"/>
                <w:sz w:val="21"/>
                <w:szCs w:val="21"/>
                <w:lang w:val="en-US" w:eastAsia="zh-CN"/>
              </w:rPr>
            </w:pPr>
            <w:r>
              <w:rPr>
                <w:rFonts w:hint="eastAsia"/>
                <w:b/>
                <w:bCs/>
                <w:sz w:val="21"/>
                <w:szCs w:val="21"/>
              </w:rPr>
              <w:t>测试结果：</w:t>
            </w:r>
            <w:r>
              <w:rPr>
                <w:rFonts w:hint="eastAsia"/>
                <w:b w:val="0"/>
                <w:bCs w:val="0"/>
                <w:sz w:val="21"/>
                <w:szCs w:val="21"/>
                <w:lang w:val="en-US" w:eastAsia="zh-CN"/>
              </w:rPr>
              <w:t>平台</w:t>
            </w:r>
            <w:r>
              <w:rPr>
                <w:rFonts w:hint="eastAsia"/>
                <w:sz w:val="21"/>
                <w:szCs w:val="21"/>
              </w:rPr>
              <w:t>完成环境初始化</w:t>
            </w:r>
            <w:r>
              <w:rPr>
                <w:rFonts w:hint="eastAsia"/>
                <w:sz w:val="21"/>
                <w:szCs w:val="21"/>
                <w:lang w:eastAsia="zh-CN"/>
              </w:rPr>
              <w:t>，</w:t>
            </w:r>
            <w:r>
              <w:rPr>
                <w:rFonts w:hint="eastAsia"/>
                <w:sz w:val="21"/>
                <w:szCs w:val="21"/>
                <w:lang w:val="en-US" w:eastAsia="zh-CN"/>
              </w:rPr>
              <w:t>知识库与模型服务装载正常。</w:t>
            </w:r>
          </w:p>
        </w:tc>
      </w:tr>
      <w:tr w14:paraId="7C02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06EE27B">
            <w:pPr>
              <w:ind w:firstLine="0" w:firstLineChars="0"/>
              <w:rPr>
                <w:sz w:val="21"/>
                <w:szCs w:val="21"/>
              </w:rPr>
            </w:pPr>
            <w:r>
              <w:rPr>
                <w:rFonts w:hint="eastAsia"/>
                <w:b/>
                <w:bCs/>
                <w:sz w:val="21"/>
                <w:szCs w:val="21"/>
              </w:rPr>
              <w:t>是否通过：</w:t>
            </w:r>
            <w:r>
              <w:rPr>
                <w:rFonts w:hint="eastAsia"/>
                <w:sz w:val="21"/>
                <w:szCs w:val="21"/>
              </w:rPr>
              <w:t>测试通过</w:t>
            </w:r>
          </w:p>
        </w:tc>
      </w:tr>
    </w:tbl>
    <w:p w14:paraId="6155A21F">
      <w:pPr>
        <w:pStyle w:val="9"/>
      </w:pPr>
      <w:r>
        <w:rPr>
          <w:rFonts w:hint="eastAsia"/>
        </w:rPr>
        <w:t xml:space="preserve">表6-3 </w:t>
      </w:r>
      <w:r>
        <w:rPr>
          <w:rFonts w:hint="eastAsia"/>
          <w:lang w:val="en-US" w:eastAsia="zh-CN"/>
        </w:rPr>
        <w:t>攻击验证与风险复现</w:t>
      </w:r>
      <w:r>
        <w:rPr>
          <w:rFonts w:hint="eastAsia"/>
        </w:rPr>
        <w:t>功能测试</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7D21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278B4E3">
            <w:pPr>
              <w:ind w:firstLine="0" w:firstLineChars="0"/>
              <w:rPr>
                <w:sz w:val="21"/>
                <w:szCs w:val="21"/>
              </w:rPr>
            </w:pPr>
            <w:r>
              <w:rPr>
                <w:rFonts w:hint="eastAsia"/>
                <w:b/>
                <w:bCs/>
                <w:sz w:val="21"/>
                <w:szCs w:val="21"/>
              </w:rPr>
              <w:t>测试名称：</w:t>
            </w:r>
            <w:r>
              <w:rPr>
                <w:rFonts w:hint="eastAsia"/>
                <w:b w:val="0"/>
                <w:bCs w:val="0"/>
                <w:sz w:val="21"/>
                <w:szCs w:val="21"/>
              </w:rPr>
              <w:t>攻击验证与风险复现</w:t>
            </w:r>
          </w:p>
        </w:tc>
      </w:tr>
      <w:tr w14:paraId="54B3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8CFB93A">
            <w:pPr>
              <w:ind w:firstLine="0" w:firstLineChars="0"/>
              <w:rPr>
                <w:b/>
                <w:bCs/>
                <w:sz w:val="21"/>
                <w:szCs w:val="21"/>
              </w:rPr>
            </w:pPr>
            <w:r>
              <w:rPr>
                <w:rFonts w:hint="eastAsia"/>
                <w:b/>
                <w:bCs/>
                <w:sz w:val="21"/>
                <w:szCs w:val="21"/>
              </w:rPr>
              <w:t>测试步骤：</w:t>
            </w:r>
          </w:p>
          <w:p w14:paraId="6281076A">
            <w:pPr>
              <w:ind w:firstLine="0" w:firstLineChars="0"/>
              <w:rPr>
                <w:rFonts w:hint="eastAsia" w:ascii="宋体" w:hAnsi="宋体" w:eastAsia="宋体" w:cs="宋体"/>
                <w:sz w:val="21"/>
                <w:szCs w:val="21"/>
                <w:lang w:eastAsia="zh-CN"/>
              </w:rPr>
            </w:pPr>
            <w:r>
              <w:rPr>
                <w:rFonts w:ascii="宋体" w:hAnsi="宋体" w:cs="宋体"/>
                <w:sz w:val="21"/>
                <w:szCs w:val="21"/>
              </w:rPr>
              <w:t>进入</w:t>
            </w:r>
            <w:r>
              <w:rPr>
                <w:rFonts w:hint="eastAsia" w:ascii="宋体" w:hAnsi="宋体" w:cs="宋体"/>
                <w:sz w:val="21"/>
                <w:szCs w:val="21"/>
              </w:rPr>
              <w:t>攻击配置</w:t>
            </w:r>
            <w:r>
              <w:rPr>
                <w:rFonts w:ascii="宋体" w:hAnsi="宋体" w:cs="宋体"/>
                <w:sz w:val="21"/>
                <w:szCs w:val="21"/>
              </w:rPr>
              <w:t>页面，</w:t>
            </w:r>
            <w:r>
              <w:rPr>
                <w:rFonts w:hint="eastAsia" w:ascii="宋体" w:hAnsi="宋体" w:cs="宋体"/>
                <w:sz w:val="21"/>
                <w:szCs w:val="21"/>
              </w:rPr>
              <w:t>输入目标问题及对抗内容、注入数量</w:t>
            </w:r>
            <w:r>
              <w:rPr>
                <w:rFonts w:hint="eastAsia" w:ascii="宋体" w:hAnsi="宋体" w:cs="宋体"/>
                <w:sz w:val="21"/>
                <w:szCs w:val="21"/>
                <w:lang w:eastAsia="zh-CN"/>
              </w:rPr>
              <w:t>；</w:t>
            </w:r>
          </w:p>
          <w:p w14:paraId="432C7685">
            <w:pPr>
              <w:ind w:firstLine="0" w:firstLineChars="0"/>
              <w:rPr>
                <w:rFonts w:hint="eastAsia" w:ascii="宋体" w:hAnsi="宋体" w:eastAsia="宋体" w:cs="宋体"/>
                <w:sz w:val="21"/>
                <w:szCs w:val="21"/>
                <w:lang w:eastAsia="zh-CN"/>
              </w:rPr>
            </w:pPr>
            <w:r>
              <w:rPr>
                <w:rFonts w:hint="eastAsia" w:ascii="宋体" w:hAnsi="宋体" w:cs="宋体"/>
                <w:sz w:val="21"/>
                <w:szCs w:val="21"/>
              </w:rPr>
              <w:t>提交并生成对抗段落</w:t>
            </w:r>
            <w:r>
              <w:rPr>
                <w:rFonts w:hint="eastAsia" w:ascii="宋体" w:hAnsi="宋体" w:cs="宋体"/>
                <w:sz w:val="21"/>
                <w:szCs w:val="21"/>
                <w:lang w:eastAsia="zh-CN"/>
              </w:rPr>
              <w:t>；</w:t>
            </w:r>
          </w:p>
          <w:p w14:paraId="42D1DFE0">
            <w:pPr>
              <w:ind w:firstLine="0" w:firstLineChars="0"/>
              <w:rPr>
                <w:rFonts w:hint="eastAsia" w:ascii="宋体" w:hAnsi="宋体" w:cs="宋体"/>
                <w:sz w:val="21"/>
                <w:szCs w:val="21"/>
              </w:rPr>
            </w:pPr>
            <w:r>
              <w:rPr>
                <w:rFonts w:hint="eastAsia" w:ascii="宋体" w:hAnsi="宋体" w:cs="宋体"/>
                <w:sz w:val="21"/>
                <w:szCs w:val="21"/>
              </w:rPr>
              <w:t>预览对抗段落后确认注入。</w:t>
            </w:r>
          </w:p>
        </w:tc>
      </w:tr>
      <w:tr w14:paraId="328C2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A5E1EA2">
            <w:pPr>
              <w:ind w:firstLine="0" w:firstLineChars="0"/>
              <w:rPr>
                <w:sz w:val="21"/>
                <w:szCs w:val="21"/>
              </w:rPr>
            </w:pPr>
            <w:r>
              <w:rPr>
                <w:rFonts w:hint="eastAsia"/>
                <w:b/>
                <w:bCs/>
                <w:sz w:val="21"/>
                <w:szCs w:val="21"/>
              </w:rPr>
              <w:t>预期结果：</w:t>
            </w:r>
            <w:r>
              <w:rPr>
                <w:rFonts w:hint="eastAsia"/>
                <w:b/>
                <w:bCs/>
                <w:sz w:val="21"/>
                <w:szCs w:val="21"/>
                <w:lang w:val="en-US" w:eastAsia="zh-CN"/>
              </w:rPr>
              <w:t>平台</w:t>
            </w:r>
            <w:r>
              <w:rPr>
                <w:rFonts w:hint="eastAsia"/>
                <w:sz w:val="21"/>
                <w:szCs w:val="21"/>
              </w:rPr>
              <w:t>能够成功生成相应对抗段落并存入知识库。</w:t>
            </w:r>
          </w:p>
        </w:tc>
      </w:tr>
      <w:tr w14:paraId="7370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12F52D0">
            <w:pPr>
              <w:ind w:firstLine="0" w:firstLineChars="0"/>
              <w:rPr>
                <w:sz w:val="21"/>
                <w:szCs w:val="21"/>
              </w:rPr>
            </w:pPr>
            <w:r>
              <w:rPr>
                <w:rFonts w:hint="eastAsia"/>
                <w:b/>
                <w:bCs/>
                <w:sz w:val="21"/>
                <w:szCs w:val="21"/>
              </w:rPr>
              <w:t>测试结果：</w:t>
            </w:r>
            <w:r>
              <w:rPr>
                <w:rFonts w:hint="eastAsia"/>
                <w:b/>
                <w:bCs/>
                <w:sz w:val="21"/>
                <w:szCs w:val="21"/>
                <w:lang w:val="en-US" w:eastAsia="zh-CN"/>
              </w:rPr>
              <w:t>平台</w:t>
            </w:r>
            <w:r>
              <w:rPr>
                <w:rFonts w:hint="eastAsia"/>
                <w:sz w:val="21"/>
                <w:szCs w:val="21"/>
              </w:rPr>
              <w:t>完成攻击任务创建，按预期生成对抗段落</w:t>
            </w:r>
            <w:r>
              <w:rPr>
                <w:rFonts w:hint="eastAsia"/>
                <w:sz w:val="21"/>
                <w:szCs w:val="21"/>
                <w:lang w:val="en-US" w:eastAsia="zh-CN"/>
              </w:rPr>
              <w:t>并完成注入</w:t>
            </w:r>
            <w:r>
              <w:rPr>
                <w:rFonts w:hint="eastAsia"/>
                <w:sz w:val="21"/>
                <w:szCs w:val="21"/>
              </w:rPr>
              <w:t>。</w:t>
            </w:r>
          </w:p>
        </w:tc>
      </w:tr>
      <w:tr w14:paraId="688AE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8B8974B">
            <w:pPr>
              <w:ind w:firstLine="0" w:firstLineChars="0"/>
              <w:rPr>
                <w:sz w:val="21"/>
                <w:szCs w:val="21"/>
              </w:rPr>
            </w:pPr>
            <w:r>
              <w:rPr>
                <w:rFonts w:hint="eastAsia"/>
                <w:b/>
                <w:bCs/>
                <w:sz w:val="21"/>
                <w:szCs w:val="21"/>
              </w:rPr>
              <w:t>是否通过：</w:t>
            </w:r>
            <w:r>
              <w:rPr>
                <w:rFonts w:hint="eastAsia"/>
                <w:sz w:val="21"/>
                <w:szCs w:val="21"/>
              </w:rPr>
              <w:t>测试通过</w:t>
            </w:r>
          </w:p>
        </w:tc>
      </w:tr>
    </w:tbl>
    <w:p w14:paraId="047F70D5">
      <w:pPr>
        <w:pStyle w:val="9"/>
      </w:pPr>
      <w:r>
        <w:rPr>
          <w:rFonts w:hint="eastAsia"/>
        </w:rPr>
        <w:t xml:space="preserve">表6-4 </w:t>
      </w:r>
      <w:r>
        <w:rPr>
          <w:rFonts w:hint="eastAsia"/>
          <w:lang w:val="en-US" w:eastAsia="zh-CN"/>
        </w:rPr>
        <w:t>防御配置与效果评测</w:t>
      </w:r>
      <w:r>
        <w:rPr>
          <w:rFonts w:hint="eastAsia"/>
        </w:rPr>
        <w:t>功能测试</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7FCF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B73422B">
            <w:pPr>
              <w:ind w:firstLine="0" w:firstLineChars="0"/>
              <w:rPr>
                <w:rFonts w:hint="default" w:eastAsia="宋体"/>
                <w:sz w:val="21"/>
                <w:szCs w:val="21"/>
                <w:lang w:val="en-US" w:eastAsia="zh-CN"/>
              </w:rPr>
            </w:pPr>
            <w:r>
              <w:rPr>
                <w:rFonts w:hint="eastAsia"/>
                <w:b/>
                <w:bCs/>
                <w:sz w:val="21"/>
                <w:szCs w:val="21"/>
              </w:rPr>
              <w:t>测试名称：</w:t>
            </w:r>
            <w:r>
              <w:rPr>
                <w:rFonts w:hint="eastAsia"/>
                <w:b w:val="0"/>
                <w:bCs w:val="0"/>
                <w:sz w:val="21"/>
                <w:szCs w:val="21"/>
                <w:lang w:val="en-US" w:eastAsia="zh-CN"/>
              </w:rPr>
              <w:t>防御配置与效果评测</w:t>
            </w:r>
          </w:p>
        </w:tc>
      </w:tr>
      <w:tr w14:paraId="6541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FA4F3B7">
            <w:pPr>
              <w:ind w:firstLine="0" w:firstLineChars="0"/>
              <w:rPr>
                <w:b/>
                <w:bCs/>
                <w:sz w:val="21"/>
                <w:szCs w:val="21"/>
              </w:rPr>
            </w:pPr>
            <w:r>
              <w:rPr>
                <w:rFonts w:hint="eastAsia"/>
                <w:b/>
                <w:bCs/>
                <w:sz w:val="21"/>
                <w:szCs w:val="21"/>
              </w:rPr>
              <w:t>测试步骤：</w:t>
            </w:r>
          </w:p>
          <w:p w14:paraId="7B72F14A">
            <w:pPr>
              <w:ind w:firstLine="0" w:firstLineChars="0"/>
              <w:rPr>
                <w:rFonts w:hint="eastAsia" w:ascii="宋体" w:hAnsi="宋体" w:eastAsia="宋体" w:cs="宋体"/>
                <w:sz w:val="21"/>
                <w:szCs w:val="21"/>
                <w:lang w:eastAsia="zh-CN"/>
              </w:rPr>
            </w:pPr>
            <w:r>
              <w:rPr>
                <w:rFonts w:hint="eastAsia" w:ascii="宋体" w:hAnsi="宋体" w:cs="宋体"/>
                <w:sz w:val="21"/>
                <w:szCs w:val="21"/>
              </w:rPr>
              <w:t>进入防御配置页面，启用</w:t>
            </w:r>
            <w:r>
              <w:rPr>
                <w:rFonts w:ascii="宋体" w:hAnsi="宋体" w:cs="宋体"/>
                <w:sz w:val="21"/>
                <w:szCs w:val="21"/>
              </w:rPr>
              <w:t>输入护栏、检索护栏和输出护栏</w:t>
            </w:r>
            <w:r>
              <w:rPr>
                <w:rFonts w:hint="eastAsia" w:ascii="宋体" w:hAnsi="宋体" w:cs="宋体"/>
                <w:sz w:val="21"/>
                <w:szCs w:val="21"/>
                <w:lang w:eastAsia="zh-CN"/>
              </w:rPr>
              <w:t>；</w:t>
            </w:r>
          </w:p>
          <w:p w14:paraId="4704C54A">
            <w:pPr>
              <w:ind w:firstLine="0" w:firstLineChars="0"/>
              <w:rPr>
                <w:rFonts w:hint="eastAsia" w:ascii="宋体" w:hAnsi="宋体" w:cs="宋体"/>
                <w:sz w:val="21"/>
                <w:szCs w:val="21"/>
              </w:rPr>
            </w:pPr>
            <w:r>
              <w:rPr>
                <w:rFonts w:hint="eastAsia" w:ascii="宋体" w:hAnsi="宋体" w:cs="宋体"/>
                <w:sz w:val="21"/>
                <w:szCs w:val="21"/>
              </w:rPr>
              <w:t>设置检索扩展比例、异常检测阈值与输出约束规则。</w:t>
            </w:r>
          </w:p>
        </w:tc>
      </w:tr>
      <w:tr w14:paraId="4F42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FA6EA8A">
            <w:pPr>
              <w:ind w:firstLine="0" w:firstLineChars="0"/>
              <w:rPr>
                <w:sz w:val="21"/>
                <w:szCs w:val="21"/>
              </w:rPr>
            </w:pPr>
            <w:r>
              <w:rPr>
                <w:rFonts w:hint="eastAsia"/>
                <w:b/>
                <w:bCs/>
                <w:sz w:val="21"/>
                <w:szCs w:val="21"/>
              </w:rPr>
              <w:t>预期结果：</w:t>
            </w:r>
            <w:r>
              <w:rPr>
                <w:rFonts w:hint="eastAsia"/>
                <w:b w:val="0"/>
                <w:bCs w:val="0"/>
                <w:sz w:val="21"/>
                <w:szCs w:val="21"/>
                <w:lang w:val="en-US" w:eastAsia="zh-CN"/>
              </w:rPr>
              <w:t>平台</w:t>
            </w:r>
            <w:r>
              <w:rPr>
                <w:rFonts w:hint="eastAsia"/>
                <w:sz w:val="21"/>
                <w:szCs w:val="21"/>
              </w:rPr>
              <w:t>能够根据配置对输入、检索候选以及输出</w:t>
            </w:r>
            <w:r>
              <w:rPr>
                <w:rFonts w:hint="eastAsia"/>
                <w:sz w:val="21"/>
                <w:szCs w:val="21"/>
                <w:lang w:val="en-US" w:eastAsia="zh-CN"/>
              </w:rPr>
              <w:t>完成</w:t>
            </w:r>
            <w:r>
              <w:rPr>
                <w:rFonts w:hint="eastAsia"/>
                <w:sz w:val="21"/>
                <w:szCs w:val="21"/>
              </w:rPr>
              <w:t>检测</w:t>
            </w:r>
            <w:r>
              <w:rPr>
                <w:rFonts w:hint="eastAsia"/>
                <w:sz w:val="21"/>
                <w:szCs w:val="21"/>
                <w:lang w:val="en-US" w:eastAsia="zh-CN"/>
              </w:rPr>
              <w:t>与过滤</w:t>
            </w:r>
            <w:r>
              <w:rPr>
                <w:rFonts w:hint="eastAsia"/>
                <w:sz w:val="21"/>
                <w:szCs w:val="21"/>
              </w:rPr>
              <w:t>。</w:t>
            </w:r>
          </w:p>
        </w:tc>
      </w:tr>
      <w:tr w14:paraId="70E9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F399AB6">
            <w:pPr>
              <w:ind w:firstLine="0" w:firstLineChars="0"/>
              <w:rPr>
                <w:sz w:val="21"/>
                <w:szCs w:val="21"/>
              </w:rPr>
            </w:pPr>
            <w:r>
              <w:rPr>
                <w:rFonts w:hint="eastAsia"/>
                <w:b/>
                <w:bCs/>
                <w:sz w:val="21"/>
                <w:szCs w:val="21"/>
              </w:rPr>
              <w:t>测试结果：</w:t>
            </w:r>
            <w:r>
              <w:rPr>
                <w:rFonts w:hint="eastAsia"/>
                <w:b w:val="0"/>
                <w:bCs w:val="0"/>
                <w:sz w:val="21"/>
                <w:szCs w:val="21"/>
                <w:lang w:val="en-US" w:eastAsia="zh-CN"/>
              </w:rPr>
              <w:t>平台</w:t>
            </w:r>
            <w:r>
              <w:rPr>
                <w:rFonts w:hint="eastAsia"/>
                <w:sz w:val="21"/>
                <w:szCs w:val="21"/>
              </w:rPr>
              <w:t>实现异常检测与过滤，完成防御任务</w:t>
            </w:r>
            <w:r>
              <w:rPr>
                <w:rFonts w:hint="eastAsia"/>
                <w:sz w:val="21"/>
                <w:szCs w:val="21"/>
                <w:lang w:val="en-US" w:eastAsia="zh-CN"/>
              </w:rPr>
              <w:t>并输出结果</w:t>
            </w:r>
            <w:r>
              <w:rPr>
                <w:rFonts w:hint="eastAsia"/>
                <w:sz w:val="21"/>
                <w:szCs w:val="21"/>
              </w:rPr>
              <w:t>。</w:t>
            </w:r>
          </w:p>
        </w:tc>
      </w:tr>
      <w:tr w14:paraId="08C6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8" w:type="dxa"/>
          </w:tcPr>
          <w:p w14:paraId="7E73C133">
            <w:pPr>
              <w:ind w:firstLine="0" w:firstLineChars="0"/>
              <w:rPr>
                <w:sz w:val="21"/>
                <w:szCs w:val="21"/>
              </w:rPr>
            </w:pPr>
            <w:r>
              <w:rPr>
                <w:rFonts w:hint="eastAsia"/>
                <w:b/>
                <w:bCs/>
                <w:sz w:val="21"/>
                <w:szCs w:val="21"/>
              </w:rPr>
              <w:t>是否通过：</w:t>
            </w:r>
            <w:r>
              <w:rPr>
                <w:rFonts w:hint="eastAsia"/>
                <w:sz w:val="21"/>
                <w:szCs w:val="21"/>
              </w:rPr>
              <w:t>测试通过</w:t>
            </w:r>
          </w:p>
        </w:tc>
      </w:tr>
    </w:tbl>
    <w:p w14:paraId="7BDB1686">
      <w:pPr>
        <w:pStyle w:val="9"/>
      </w:pPr>
      <w:r>
        <w:rPr>
          <w:rFonts w:hint="eastAsia"/>
        </w:rPr>
        <w:t>表6-5 态势感知与预案生成功能测试</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55E8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2643B2A">
            <w:pPr>
              <w:ind w:firstLine="0" w:firstLineChars="0"/>
              <w:rPr>
                <w:sz w:val="21"/>
                <w:szCs w:val="21"/>
              </w:rPr>
            </w:pPr>
            <w:r>
              <w:rPr>
                <w:rFonts w:hint="eastAsia"/>
                <w:b/>
                <w:bCs/>
                <w:sz w:val="21"/>
                <w:szCs w:val="21"/>
              </w:rPr>
              <w:t>测试名称：</w:t>
            </w:r>
            <w:r>
              <w:rPr>
                <w:rFonts w:hint="eastAsia"/>
                <w:sz w:val="21"/>
                <w:szCs w:val="21"/>
              </w:rPr>
              <w:t>态势感知与预案生成</w:t>
            </w:r>
          </w:p>
        </w:tc>
      </w:tr>
      <w:tr w14:paraId="30EB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673AEFF">
            <w:pPr>
              <w:ind w:firstLine="0" w:firstLineChars="0"/>
              <w:rPr>
                <w:b/>
                <w:bCs/>
                <w:sz w:val="21"/>
                <w:szCs w:val="21"/>
              </w:rPr>
            </w:pPr>
            <w:r>
              <w:rPr>
                <w:rFonts w:hint="eastAsia"/>
                <w:b/>
                <w:bCs/>
                <w:sz w:val="21"/>
                <w:szCs w:val="21"/>
              </w:rPr>
              <w:t>测试步骤：</w:t>
            </w:r>
          </w:p>
          <w:p w14:paraId="3AB1D4AD">
            <w:pPr>
              <w:ind w:firstLine="0" w:firstLineChars="0"/>
              <w:rPr>
                <w:rFonts w:hint="eastAsia" w:ascii="宋体" w:hAnsi="宋体" w:eastAsia="宋体" w:cs="宋体"/>
                <w:sz w:val="21"/>
                <w:szCs w:val="21"/>
                <w:lang w:eastAsia="zh-CN"/>
              </w:rPr>
            </w:pPr>
            <w:r>
              <w:rPr>
                <w:rFonts w:hint="eastAsia" w:ascii="宋体" w:hAnsi="宋体" w:cs="宋体"/>
                <w:sz w:val="21"/>
                <w:szCs w:val="21"/>
              </w:rPr>
              <w:t>查看知识入库日志、检索命中记录以及资源状态</w:t>
            </w:r>
            <w:r>
              <w:rPr>
                <w:rFonts w:hint="eastAsia" w:ascii="宋体" w:hAnsi="宋体" w:cs="宋体"/>
                <w:sz w:val="21"/>
                <w:szCs w:val="21"/>
                <w:lang w:eastAsia="zh-CN"/>
              </w:rPr>
              <w:t>；</w:t>
            </w:r>
          </w:p>
          <w:p w14:paraId="3E7BFE99">
            <w:pPr>
              <w:ind w:firstLine="0" w:firstLineChars="0"/>
              <w:rPr>
                <w:rFonts w:hint="eastAsia" w:ascii="宋体" w:hAnsi="宋体" w:cs="宋体"/>
                <w:sz w:val="21"/>
                <w:szCs w:val="21"/>
              </w:rPr>
            </w:pPr>
            <w:r>
              <w:rPr>
                <w:rFonts w:hint="eastAsia" w:ascii="宋体" w:hAnsi="宋体" w:cs="宋体"/>
                <w:sz w:val="21"/>
                <w:szCs w:val="21"/>
              </w:rPr>
              <w:t>进入预案生成页面，查看推荐处置建议。</w:t>
            </w:r>
          </w:p>
        </w:tc>
      </w:tr>
      <w:tr w14:paraId="753D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CE667A2">
            <w:pPr>
              <w:ind w:firstLine="0" w:firstLineChars="0"/>
              <w:rPr>
                <w:sz w:val="21"/>
                <w:szCs w:val="21"/>
              </w:rPr>
            </w:pPr>
            <w:r>
              <w:rPr>
                <w:rFonts w:hint="eastAsia"/>
                <w:b/>
                <w:bCs/>
                <w:sz w:val="21"/>
                <w:szCs w:val="21"/>
              </w:rPr>
              <w:t>预期结果：</w:t>
            </w:r>
            <w:r>
              <w:rPr>
                <w:rFonts w:hint="eastAsia"/>
                <w:b w:val="0"/>
                <w:bCs w:val="0"/>
                <w:sz w:val="21"/>
                <w:szCs w:val="21"/>
              </w:rPr>
              <w:t>平台能够对验证过程中的关键事件进行整体分析，并给出相应处置建议。</w:t>
            </w:r>
          </w:p>
        </w:tc>
      </w:tr>
      <w:tr w14:paraId="590E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B5712B3">
            <w:pPr>
              <w:ind w:firstLine="0" w:firstLineChars="0"/>
              <w:rPr>
                <w:sz w:val="21"/>
                <w:szCs w:val="21"/>
              </w:rPr>
            </w:pPr>
            <w:r>
              <w:rPr>
                <w:rFonts w:hint="eastAsia"/>
                <w:b/>
                <w:bCs/>
                <w:sz w:val="21"/>
                <w:szCs w:val="21"/>
              </w:rPr>
              <w:t>测试结果：</w:t>
            </w:r>
            <w:r>
              <w:rPr>
                <w:rFonts w:hint="eastAsia"/>
                <w:b w:val="0"/>
                <w:bCs w:val="0"/>
                <w:sz w:val="21"/>
                <w:szCs w:val="21"/>
              </w:rPr>
              <w:t>平台可展示态势信息、风险分析结果及预案建议。</w:t>
            </w:r>
          </w:p>
        </w:tc>
      </w:tr>
      <w:tr w14:paraId="0391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8" w:type="dxa"/>
          </w:tcPr>
          <w:p w14:paraId="514F48DF">
            <w:pPr>
              <w:ind w:firstLine="0" w:firstLineChars="0"/>
              <w:rPr>
                <w:sz w:val="21"/>
                <w:szCs w:val="21"/>
              </w:rPr>
            </w:pPr>
            <w:r>
              <w:rPr>
                <w:rFonts w:hint="eastAsia"/>
                <w:b/>
                <w:bCs/>
                <w:sz w:val="21"/>
                <w:szCs w:val="21"/>
              </w:rPr>
              <w:t>是否通过：</w:t>
            </w:r>
            <w:r>
              <w:rPr>
                <w:rFonts w:hint="eastAsia"/>
                <w:sz w:val="21"/>
                <w:szCs w:val="21"/>
              </w:rPr>
              <w:t>测试通过</w:t>
            </w:r>
          </w:p>
        </w:tc>
      </w:tr>
    </w:tbl>
    <w:p w14:paraId="4EACB2D2">
      <w:pPr>
        <w:pStyle w:val="9"/>
      </w:pPr>
      <w:r>
        <w:rPr>
          <w:rFonts w:hint="eastAsia"/>
        </w:rPr>
        <w:t>表6-</w:t>
      </w:r>
      <w:r>
        <w:rPr>
          <w:rFonts w:hint="eastAsia"/>
          <w:lang w:val="en-US" w:eastAsia="zh-CN"/>
        </w:rPr>
        <w:t>6</w:t>
      </w:r>
      <w:r>
        <w:rPr>
          <w:rFonts w:hint="eastAsia"/>
        </w:rPr>
        <w:t xml:space="preserve"> </w:t>
      </w:r>
      <w:r>
        <w:rPr>
          <w:rFonts w:hint="eastAsia"/>
          <w:lang w:val="en-US" w:eastAsia="zh-CN"/>
        </w:rPr>
        <w:t>效果评测与复盘分析</w:t>
      </w:r>
      <w:r>
        <w:rPr>
          <w:rFonts w:hint="eastAsia"/>
        </w:rPr>
        <w:t>功能测试</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32B5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6A290A03">
            <w:pPr>
              <w:ind w:firstLine="0" w:firstLineChars="0"/>
              <w:rPr>
                <w:rFonts w:hint="default" w:eastAsia="宋体"/>
                <w:sz w:val="21"/>
                <w:szCs w:val="21"/>
                <w:lang w:val="en-US" w:eastAsia="zh-CN"/>
              </w:rPr>
            </w:pPr>
            <w:r>
              <w:rPr>
                <w:rFonts w:hint="eastAsia"/>
                <w:b/>
                <w:bCs/>
                <w:sz w:val="21"/>
                <w:szCs w:val="21"/>
              </w:rPr>
              <w:t>测试名称：</w:t>
            </w:r>
            <w:r>
              <w:rPr>
                <w:rFonts w:hint="eastAsia"/>
                <w:sz w:val="21"/>
                <w:szCs w:val="21"/>
                <w:lang w:val="en-US" w:eastAsia="zh-CN"/>
              </w:rPr>
              <w:t>效果评测与复盘分析</w:t>
            </w:r>
          </w:p>
        </w:tc>
      </w:tr>
      <w:tr w14:paraId="23D5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3801CCEB">
            <w:pPr>
              <w:ind w:firstLine="0" w:firstLineChars="0"/>
              <w:rPr>
                <w:b/>
                <w:bCs/>
                <w:sz w:val="21"/>
                <w:szCs w:val="21"/>
              </w:rPr>
            </w:pPr>
            <w:r>
              <w:rPr>
                <w:rFonts w:hint="eastAsia"/>
                <w:b/>
                <w:bCs/>
                <w:sz w:val="21"/>
                <w:szCs w:val="21"/>
              </w:rPr>
              <w:t>测试步骤：</w:t>
            </w:r>
          </w:p>
          <w:p w14:paraId="3A7AC9C2">
            <w:pPr>
              <w:ind w:firstLine="0" w:firstLineChars="0"/>
              <w:rPr>
                <w:rFonts w:hint="default" w:ascii="宋体" w:hAnsi="宋体" w:cs="宋体"/>
                <w:sz w:val="21"/>
                <w:szCs w:val="21"/>
                <w:lang w:val="en-US" w:eastAsia="zh-CN"/>
              </w:rPr>
            </w:pPr>
            <w:r>
              <w:rPr>
                <w:rFonts w:hint="eastAsia" w:ascii="宋体" w:hAnsi="宋体" w:cs="宋体"/>
                <w:sz w:val="21"/>
                <w:szCs w:val="21"/>
                <w:lang w:val="en-US" w:eastAsia="zh-CN"/>
              </w:rPr>
              <w:t>进入任务编排页面创建验证任务并执行；</w:t>
            </w:r>
          </w:p>
          <w:p w14:paraId="69CC93E8">
            <w:pPr>
              <w:ind w:firstLine="0" w:firstLineChars="0"/>
              <w:rPr>
                <w:rFonts w:hint="eastAsia" w:ascii="宋体" w:hAnsi="宋体" w:cs="宋体"/>
                <w:sz w:val="21"/>
                <w:szCs w:val="21"/>
              </w:rPr>
            </w:pPr>
            <w:r>
              <w:rPr>
                <w:rFonts w:hint="eastAsia" w:ascii="宋体" w:hAnsi="宋体" w:cs="宋体"/>
                <w:sz w:val="21"/>
                <w:szCs w:val="21"/>
                <w:lang w:val="en-US" w:eastAsia="zh-CN"/>
              </w:rPr>
              <w:t>查看评估报告、关键指标统计及回放</w:t>
            </w:r>
            <w:r>
              <w:rPr>
                <w:rFonts w:hint="eastAsia" w:ascii="宋体" w:hAnsi="宋体" w:cs="宋体"/>
                <w:sz w:val="21"/>
                <w:szCs w:val="21"/>
                <w:lang w:eastAsia="zh-CN"/>
              </w:rPr>
              <w:t>。</w:t>
            </w:r>
          </w:p>
        </w:tc>
      </w:tr>
      <w:tr w14:paraId="75CC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17FB4FC">
            <w:pPr>
              <w:ind w:firstLine="0" w:firstLineChars="0"/>
              <w:rPr>
                <w:sz w:val="21"/>
                <w:szCs w:val="21"/>
              </w:rPr>
            </w:pPr>
            <w:r>
              <w:rPr>
                <w:rFonts w:hint="eastAsia"/>
                <w:b/>
                <w:bCs/>
                <w:sz w:val="21"/>
                <w:szCs w:val="21"/>
              </w:rPr>
              <w:t>预期结果：</w:t>
            </w:r>
            <w:r>
              <w:rPr>
                <w:rFonts w:hint="eastAsia"/>
                <w:b w:val="0"/>
                <w:bCs w:val="0"/>
                <w:sz w:val="21"/>
                <w:szCs w:val="21"/>
              </w:rPr>
              <w:t>平台能够对</w:t>
            </w:r>
            <w:r>
              <w:rPr>
                <w:rFonts w:hint="eastAsia"/>
                <w:b w:val="0"/>
                <w:bCs w:val="0"/>
                <w:sz w:val="21"/>
                <w:szCs w:val="21"/>
                <w:lang w:val="en-US" w:eastAsia="zh-CN"/>
              </w:rPr>
              <w:t>攻防效果、资源开销进行评估</w:t>
            </w:r>
            <w:r>
              <w:rPr>
                <w:rFonts w:hint="eastAsia"/>
                <w:b w:val="0"/>
                <w:bCs w:val="0"/>
                <w:sz w:val="21"/>
                <w:szCs w:val="21"/>
              </w:rPr>
              <w:t>，并</w:t>
            </w:r>
            <w:r>
              <w:rPr>
                <w:rFonts w:hint="eastAsia"/>
                <w:b w:val="0"/>
                <w:bCs w:val="0"/>
                <w:sz w:val="21"/>
                <w:szCs w:val="21"/>
                <w:lang w:val="en-US" w:eastAsia="zh-CN"/>
              </w:rPr>
              <w:t>支持演练过程回放</w:t>
            </w:r>
            <w:r>
              <w:rPr>
                <w:rFonts w:hint="eastAsia"/>
                <w:b w:val="0"/>
                <w:bCs w:val="0"/>
                <w:sz w:val="21"/>
                <w:szCs w:val="21"/>
              </w:rPr>
              <w:t>。</w:t>
            </w:r>
          </w:p>
        </w:tc>
      </w:tr>
      <w:tr w14:paraId="17E3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0267385D">
            <w:pPr>
              <w:ind w:firstLine="0" w:firstLineChars="0"/>
              <w:rPr>
                <w:rFonts w:hint="eastAsia" w:eastAsia="宋体"/>
                <w:sz w:val="21"/>
                <w:szCs w:val="21"/>
                <w:lang w:eastAsia="zh-CN"/>
              </w:rPr>
            </w:pPr>
            <w:r>
              <w:rPr>
                <w:rFonts w:hint="eastAsia"/>
                <w:b/>
                <w:bCs/>
                <w:sz w:val="21"/>
                <w:szCs w:val="21"/>
              </w:rPr>
              <w:t>测试结果：</w:t>
            </w:r>
            <w:r>
              <w:rPr>
                <w:rFonts w:hint="eastAsia"/>
                <w:b w:val="0"/>
                <w:bCs w:val="0"/>
                <w:sz w:val="21"/>
                <w:szCs w:val="21"/>
              </w:rPr>
              <w:t>平台可自动生成评估报告，展示核心指标统计结果，并支持关键过程时间轴回放</w:t>
            </w:r>
            <w:r>
              <w:rPr>
                <w:rFonts w:hint="eastAsia"/>
                <w:b w:val="0"/>
                <w:bCs w:val="0"/>
                <w:sz w:val="21"/>
                <w:szCs w:val="21"/>
                <w:lang w:eastAsia="zh-CN"/>
              </w:rPr>
              <w:t>。</w:t>
            </w:r>
          </w:p>
        </w:tc>
      </w:tr>
      <w:tr w14:paraId="554B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8" w:type="dxa"/>
          </w:tcPr>
          <w:p w14:paraId="5EBB9FFA">
            <w:pPr>
              <w:ind w:firstLine="0" w:firstLineChars="0"/>
              <w:rPr>
                <w:sz w:val="21"/>
                <w:szCs w:val="21"/>
              </w:rPr>
            </w:pPr>
            <w:r>
              <w:rPr>
                <w:rFonts w:hint="eastAsia"/>
                <w:b/>
                <w:bCs/>
                <w:sz w:val="21"/>
                <w:szCs w:val="21"/>
              </w:rPr>
              <w:t>是否通过：</w:t>
            </w:r>
            <w:r>
              <w:rPr>
                <w:rFonts w:hint="eastAsia"/>
                <w:sz w:val="21"/>
                <w:szCs w:val="21"/>
              </w:rPr>
              <w:t>测试通过</w:t>
            </w:r>
          </w:p>
        </w:tc>
      </w:tr>
    </w:tbl>
    <w:p w14:paraId="79C6DFB8">
      <w:pPr>
        <w:pStyle w:val="4"/>
      </w:pPr>
      <w:bookmarkStart w:id="75" w:name="_Toc17713"/>
      <w:r>
        <w:rPr>
          <w:rFonts w:hint="eastAsia"/>
        </w:rPr>
        <w:t>6.4.3  性能测试</w:t>
      </w:r>
      <w:bookmarkEnd w:id="75"/>
    </w:p>
    <w:p w14:paraId="5AF3357A">
      <w:pPr>
        <w:ind w:firstLine="480"/>
      </w:pPr>
      <w:r>
        <w:rPr>
          <w:rFonts w:hint="eastAsia"/>
        </w:rPr>
        <w:t>为验证平台在实际验证过程中的响应效率与运行稳定性，本文从核心业务链路平均响应时间和系统资源占用情况两个方面开展性能测试。测试过程中，对环境配置与场景切换、攻击任务执行、防御任务执行、态势分析与预案生成、评估报告生成等典型操作分别重复执行20次，并取平均值作为最终结果；同时选取完整验证链路持续运行场景，对服务器内存、显存和硬盘占用情况进行监测，统计其平均值与峰值。</w:t>
      </w:r>
    </w:p>
    <w:p w14:paraId="48FBA8C6">
      <w:pPr>
        <w:ind w:firstLine="480"/>
      </w:pPr>
      <w:r>
        <w:rPr>
          <w:rFonts w:hint="eastAsia"/>
        </w:rPr>
        <w:t>由表6-7可知，平台在核心业务链路上的平均响应时间均满足前述性能需求。其中环境配置与场景切换控制在2s以内，态势分析与预案生成控制在</w:t>
      </w:r>
      <w:r>
        <w:rPr>
          <w:rFonts w:hint="eastAsia"/>
          <w:lang w:val="en-US" w:eastAsia="zh-CN"/>
        </w:rPr>
        <w:t>3</w:t>
      </w:r>
      <w:r>
        <w:rPr>
          <w:rFonts w:hint="eastAsia"/>
        </w:rPr>
        <w:t>s以内，攻击、防御和报告生成等复杂操作均控制在5s以内，说明平台能够较好支撑验证过程中的实时交互与结果反馈。</w:t>
      </w:r>
    </w:p>
    <w:p w14:paraId="3FBEAE46">
      <w:pPr>
        <w:pStyle w:val="9"/>
      </w:pPr>
      <w:r>
        <w:rPr>
          <w:rFonts w:hint="eastAsia"/>
        </w:rPr>
        <w:t>表6-</w:t>
      </w:r>
      <w:r>
        <w:rPr>
          <w:rFonts w:hint="eastAsia"/>
          <w:lang w:val="en-US" w:eastAsia="zh-CN"/>
        </w:rPr>
        <w:t>7</w:t>
      </w:r>
      <w:r>
        <w:rPr>
          <w:rFonts w:hint="eastAsia"/>
        </w:rPr>
        <w:t xml:space="preserve"> 核心业务链路性能测试结果</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54"/>
        <w:gridCol w:w="1568"/>
        <w:gridCol w:w="1568"/>
        <w:gridCol w:w="1568"/>
      </w:tblGrid>
      <w:tr w14:paraId="16AFE4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Borders>
              <w:bottom w:val="single" w:color="auto" w:sz="6" w:space="0"/>
            </w:tcBorders>
          </w:tcPr>
          <w:p w14:paraId="02E8952A">
            <w:pPr>
              <w:pStyle w:val="90"/>
            </w:pPr>
            <w:r>
              <w:rPr>
                <w:rFonts w:hint="eastAsia"/>
              </w:rPr>
              <w:t>测试内容</w:t>
            </w:r>
          </w:p>
        </w:tc>
        <w:tc>
          <w:tcPr>
            <w:tcW w:w="1568" w:type="dxa"/>
            <w:tcBorders>
              <w:bottom w:val="single" w:color="auto" w:sz="6" w:space="0"/>
            </w:tcBorders>
          </w:tcPr>
          <w:p w14:paraId="7065953E">
            <w:pPr>
              <w:pStyle w:val="90"/>
            </w:pPr>
            <w:r>
              <w:rPr>
                <w:rFonts w:hint="eastAsia"/>
              </w:rPr>
              <w:t>性能要求</w:t>
            </w:r>
          </w:p>
        </w:tc>
        <w:tc>
          <w:tcPr>
            <w:tcW w:w="1568" w:type="dxa"/>
            <w:tcBorders>
              <w:bottom w:val="single" w:color="auto" w:sz="6" w:space="0"/>
            </w:tcBorders>
          </w:tcPr>
          <w:p w14:paraId="5BE741B1">
            <w:pPr>
              <w:pStyle w:val="90"/>
            </w:pPr>
            <w:r>
              <w:rPr>
                <w:rFonts w:hint="eastAsia"/>
              </w:rPr>
              <w:t>平均耗时</w:t>
            </w:r>
          </w:p>
        </w:tc>
        <w:tc>
          <w:tcPr>
            <w:tcW w:w="1568" w:type="dxa"/>
            <w:tcBorders>
              <w:bottom w:val="single" w:color="auto" w:sz="6" w:space="0"/>
            </w:tcBorders>
          </w:tcPr>
          <w:p w14:paraId="24248AA6">
            <w:pPr>
              <w:pStyle w:val="90"/>
            </w:pPr>
            <w:r>
              <w:rPr>
                <w:rFonts w:hint="eastAsia"/>
              </w:rPr>
              <w:t>测试结论</w:t>
            </w:r>
          </w:p>
        </w:tc>
      </w:tr>
      <w:tr w14:paraId="55B3A1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Borders>
              <w:top w:val="single" w:color="auto" w:sz="6" w:space="0"/>
            </w:tcBorders>
          </w:tcPr>
          <w:p w14:paraId="41362683">
            <w:pPr>
              <w:pStyle w:val="90"/>
            </w:pPr>
            <w:r>
              <w:rPr>
                <w:rFonts w:hint="eastAsia"/>
              </w:rPr>
              <w:t>环境配置与场景切换</w:t>
            </w:r>
          </w:p>
        </w:tc>
        <w:tc>
          <w:tcPr>
            <w:tcW w:w="1568" w:type="dxa"/>
            <w:tcBorders>
              <w:top w:val="single" w:color="auto" w:sz="6" w:space="0"/>
            </w:tcBorders>
          </w:tcPr>
          <w:p w14:paraId="3C8B8845">
            <w:pPr>
              <w:pStyle w:val="90"/>
            </w:pPr>
            <w:r>
              <w:rPr>
                <w:rFonts w:hint="eastAsia" w:ascii="Arial" w:hAnsi="Arial" w:cs="Arial"/>
              </w:rPr>
              <w:t>≤</w:t>
            </w:r>
            <w:r>
              <w:t>2 s</w:t>
            </w:r>
          </w:p>
        </w:tc>
        <w:tc>
          <w:tcPr>
            <w:tcW w:w="1568" w:type="dxa"/>
            <w:tcBorders>
              <w:top w:val="single" w:color="auto" w:sz="6" w:space="0"/>
            </w:tcBorders>
          </w:tcPr>
          <w:p w14:paraId="7751019E">
            <w:pPr>
              <w:pStyle w:val="90"/>
            </w:pPr>
            <w:r>
              <w:rPr>
                <w:rFonts w:hint="eastAsia"/>
              </w:rPr>
              <w:t>1.36s</w:t>
            </w:r>
          </w:p>
        </w:tc>
        <w:tc>
          <w:tcPr>
            <w:tcW w:w="1568" w:type="dxa"/>
            <w:tcBorders>
              <w:top w:val="single" w:color="auto" w:sz="6" w:space="0"/>
            </w:tcBorders>
          </w:tcPr>
          <w:p w14:paraId="646FE2F4">
            <w:pPr>
              <w:pStyle w:val="90"/>
            </w:pPr>
            <w:r>
              <w:rPr>
                <w:rFonts w:hint="eastAsia"/>
              </w:rPr>
              <w:t>满足要求</w:t>
            </w:r>
          </w:p>
        </w:tc>
      </w:tr>
      <w:tr w14:paraId="539E0F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72D468D5">
            <w:pPr>
              <w:pStyle w:val="90"/>
            </w:pPr>
            <w:r>
              <w:rPr>
                <w:rFonts w:hint="eastAsia"/>
              </w:rPr>
              <w:t>攻击任务执行</w:t>
            </w:r>
          </w:p>
        </w:tc>
        <w:tc>
          <w:tcPr>
            <w:tcW w:w="1568" w:type="dxa"/>
          </w:tcPr>
          <w:p w14:paraId="6954469D">
            <w:pPr>
              <w:pStyle w:val="90"/>
            </w:pPr>
            <w:r>
              <w:rPr>
                <w:rFonts w:hint="eastAsia" w:ascii="Arial" w:hAnsi="Arial" w:cs="Arial"/>
              </w:rPr>
              <w:t>≤</w:t>
            </w:r>
            <w:r>
              <w:rPr>
                <w:rFonts w:hint="eastAsia"/>
              </w:rPr>
              <w:t>5</w:t>
            </w:r>
            <w:r>
              <w:t xml:space="preserve"> s</w:t>
            </w:r>
          </w:p>
        </w:tc>
        <w:tc>
          <w:tcPr>
            <w:tcW w:w="1568" w:type="dxa"/>
          </w:tcPr>
          <w:p w14:paraId="2C73261F">
            <w:pPr>
              <w:pStyle w:val="90"/>
            </w:pPr>
            <w:r>
              <w:rPr>
                <w:rFonts w:hint="eastAsia"/>
              </w:rPr>
              <w:t>4.23s</w:t>
            </w:r>
          </w:p>
        </w:tc>
        <w:tc>
          <w:tcPr>
            <w:tcW w:w="1568" w:type="dxa"/>
          </w:tcPr>
          <w:p w14:paraId="6BF8CF1E">
            <w:pPr>
              <w:pStyle w:val="90"/>
            </w:pPr>
            <w:r>
              <w:rPr>
                <w:rFonts w:hint="eastAsia"/>
              </w:rPr>
              <w:t>满足要求</w:t>
            </w:r>
          </w:p>
        </w:tc>
      </w:tr>
      <w:tr w14:paraId="07379A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39C50D16">
            <w:pPr>
              <w:pStyle w:val="90"/>
            </w:pPr>
            <w:r>
              <w:rPr>
                <w:rFonts w:hint="eastAsia"/>
              </w:rPr>
              <w:t>防御任务执行</w:t>
            </w:r>
          </w:p>
        </w:tc>
        <w:tc>
          <w:tcPr>
            <w:tcW w:w="1568" w:type="dxa"/>
          </w:tcPr>
          <w:p w14:paraId="5CB720EE">
            <w:pPr>
              <w:pStyle w:val="90"/>
            </w:pPr>
            <w:r>
              <w:rPr>
                <w:rFonts w:hint="eastAsia" w:ascii="Arial" w:hAnsi="Arial" w:cs="Arial"/>
              </w:rPr>
              <w:t>≤</w:t>
            </w:r>
            <w:r>
              <w:rPr>
                <w:rFonts w:hint="eastAsia"/>
              </w:rPr>
              <w:t>5</w:t>
            </w:r>
            <w:r>
              <w:t xml:space="preserve"> s</w:t>
            </w:r>
          </w:p>
        </w:tc>
        <w:tc>
          <w:tcPr>
            <w:tcW w:w="1568" w:type="dxa"/>
          </w:tcPr>
          <w:p w14:paraId="32056253">
            <w:pPr>
              <w:pStyle w:val="90"/>
            </w:pPr>
            <w:r>
              <w:rPr>
                <w:rFonts w:hint="eastAsia"/>
              </w:rPr>
              <w:t>2.81s</w:t>
            </w:r>
          </w:p>
        </w:tc>
        <w:tc>
          <w:tcPr>
            <w:tcW w:w="1568" w:type="dxa"/>
          </w:tcPr>
          <w:p w14:paraId="1726B4FB">
            <w:pPr>
              <w:pStyle w:val="90"/>
            </w:pPr>
            <w:r>
              <w:rPr>
                <w:rFonts w:hint="eastAsia"/>
              </w:rPr>
              <w:t>满足要求</w:t>
            </w:r>
          </w:p>
        </w:tc>
      </w:tr>
      <w:tr w14:paraId="7CE834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6832DEC6">
            <w:pPr>
              <w:pStyle w:val="90"/>
              <w:rPr>
                <w:rFonts w:hint="default" w:eastAsia="宋体"/>
                <w:lang w:val="en-US" w:eastAsia="zh-CN"/>
              </w:rPr>
            </w:pPr>
            <w:r>
              <w:rPr>
                <w:rFonts w:hint="eastAsia"/>
                <w:lang w:val="en-US" w:eastAsia="zh-CN"/>
              </w:rPr>
              <w:t>态势感知与预案生成</w:t>
            </w:r>
          </w:p>
        </w:tc>
        <w:tc>
          <w:tcPr>
            <w:tcW w:w="1568" w:type="dxa"/>
          </w:tcPr>
          <w:p w14:paraId="3971CDB6">
            <w:pPr>
              <w:pStyle w:val="90"/>
            </w:pPr>
            <w:r>
              <w:rPr>
                <w:rFonts w:hint="eastAsia" w:ascii="Arial" w:hAnsi="Arial" w:cs="Arial"/>
              </w:rPr>
              <w:t>≤</w:t>
            </w:r>
            <w:r>
              <w:rPr>
                <w:rFonts w:hint="eastAsia"/>
              </w:rPr>
              <w:t>3</w:t>
            </w:r>
            <w:r>
              <w:t xml:space="preserve"> s</w:t>
            </w:r>
          </w:p>
        </w:tc>
        <w:tc>
          <w:tcPr>
            <w:tcW w:w="1568" w:type="dxa"/>
          </w:tcPr>
          <w:p w14:paraId="049FE41B">
            <w:pPr>
              <w:pStyle w:val="90"/>
            </w:pPr>
            <w:r>
              <w:rPr>
                <w:rFonts w:hint="eastAsia"/>
              </w:rPr>
              <w:t>2.17s</w:t>
            </w:r>
          </w:p>
        </w:tc>
        <w:tc>
          <w:tcPr>
            <w:tcW w:w="1568" w:type="dxa"/>
          </w:tcPr>
          <w:p w14:paraId="30959062">
            <w:pPr>
              <w:pStyle w:val="90"/>
            </w:pPr>
            <w:r>
              <w:rPr>
                <w:rFonts w:hint="eastAsia"/>
              </w:rPr>
              <w:t>满足要求</w:t>
            </w:r>
          </w:p>
        </w:tc>
      </w:tr>
      <w:tr w14:paraId="0C8B50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1D08D53D">
            <w:pPr>
              <w:pStyle w:val="90"/>
            </w:pPr>
            <w:r>
              <w:rPr>
                <w:rFonts w:hint="eastAsia"/>
              </w:rPr>
              <w:t>评估报告生成</w:t>
            </w:r>
          </w:p>
        </w:tc>
        <w:tc>
          <w:tcPr>
            <w:tcW w:w="1568" w:type="dxa"/>
          </w:tcPr>
          <w:p w14:paraId="02651309">
            <w:pPr>
              <w:pStyle w:val="90"/>
            </w:pPr>
            <w:r>
              <w:rPr>
                <w:rFonts w:hint="eastAsia" w:ascii="Arial" w:hAnsi="Arial" w:cs="Arial"/>
              </w:rPr>
              <w:t>≤</w:t>
            </w:r>
            <w:r>
              <w:rPr>
                <w:rFonts w:hint="eastAsia"/>
              </w:rPr>
              <w:t>5</w:t>
            </w:r>
            <w:r>
              <w:t xml:space="preserve"> s</w:t>
            </w:r>
          </w:p>
        </w:tc>
        <w:tc>
          <w:tcPr>
            <w:tcW w:w="1568" w:type="dxa"/>
          </w:tcPr>
          <w:p w14:paraId="4C10184E">
            <w:pPr>
              <w:pStyle w:val="90"/>
            </w:pPr>
            <w:r>
              <w:rPr>
                <w:rFonts w:hint="eastAsia"/>
              </w:rPr>
              <w:t>4.58s</w:t>
            </w:r>
          </w:p>
        </w:tc>
        <w:tc>
          <w:tcPr>
            <w:tcW w:w="1568" w:type="dxa"/>
          </w:tcPr>
          <w:p w14:paraId="7625950B">
            <w:pPr>
              <w:pStyle w:val="90"/>
            </w:pPr>
            <w:r>
              <w:rPr>
                <w:rFonts w:hint="eastAsia"/>
              </w:rPr>
              <w:t>满足要求</w:t>
            </w:r>
          </w:p>
        </w:tc>
      </w:tr>
    </w:tbl>
    <w:p w14:paraId="55337FD0">
      <w:pPr>
        <w:ind w:firstLine="480"/>
      </w:pPr>
      <w:r>
        <w:rPr>
          <w:rFonts w:hint="eastAsia"/>
        </w:rPr>
        <w:t>由表6-</w:t>
      </w:r>
      <w:r>
        <w:rPr>
          <w:rFonts w:hint="eastAsia"/>
          <w:lang w:val="en-US" w:eastAsia="zh-CN"/>
        </w:rPr>
        <w:t>8</w:t>
      </w:r>
      <w:r>
        <w:rPr>
          <w:rFonts w:hint="eastAsia"/>
        </w:rPr>
        <w:t>可知，在完整演练链路持续运行条件下，服务器内存、显存和硬盘占用均保持在较稳定范围内，未出现资源耗尽或明显波动现象。</w:t>
      </w:r>
      <w:r>
        <w:rPr>
          <w:rFonts w:hint="eastAsia"/>
          <w:lang w:val="en-US" w:eastAsia="zh-CN"/>
        </w:rPr>
        <w:t>这</w:t>
      </w:r>
      <w:r>
        <w:rPr>
          <w:rFonts w:hint="eastAsia"/>
        </w:rPr>
        <w:t>说明当前部署环境能够满足系统各功能模块协同运行需求，具备一定的连续演练能力和工程部署可行性。</w:t>
      </w:r>
    </w:p>
    <w:p w14:paraId="57D412D2">
      <w:pPr>
        <w:pStyle w:val="9"/>
      </w:pPr>
      <w:r>
        <w:rPr>
          <w:rFonts w:hint="eastAsia"/>
        </w:rPr>
        <w:t>表6-</w:t>
      </w:r>
      <w:r>
        <w:rPr>
          <w:rFonts w:hint="eastAsia"/>
          <w:lang w:val="en-US" w:eastAsia="zh-CN"/>
        </w:rPr>
        <w:t>8</w:t>
      </w:r>
      <w:r>
        <w:rPr>
          <w:rFonts w:hint="eastAsia"/>
        </w:rPr>
        <w:t xml:space="preserve"> </w:t>
      </w:r>
      <w:r>
        <w:rPr>
          <w:rFonts w:hint="eastAsia"/>
          <w:lang w:val="en-US" w:eastAsia="zh-CN"/>
        </w:rPr>
        <w:t>平台</w:t>
      </w:r>
      <w:r>
        <w:rPr>
          <w:rFonts w:hint="eastAsia"/>
        </w:rPr>
        <w:t>资源占用情况</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54"/>
        <w:gridCol w:w="1568"/>
        <w:gridCol w:w="1568"/>
        <w:gridCol w:w="1568"/>
      </w:tblGrid>
      <w:tr w14:paraId="6AB7D3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Borders>
              <w:bottom w:val="single" w:color="auto" w:sz="6" w:space="0"/>
            </w:tcBorders>
          </w:tcPr>
          <w:p w14:paraId="10F203D4">
            <w:pPr>
              <w:pStyle w:val="90"/>
            </w:pPr>
            <w:r>
              <w:rPr>
                <w:rFonts w:hint="eastAsia"/>
              </w:rPr>
              <w:t>测试内容</w:t>
            </w:r>
          </w:p>
        </w:tc>
        <w:tc>
          <w:tcPr>
            <w:tcW w:w="1568" w:type="dxa"/>
            <w:tcBorders>
              <w:bottom w:val="single" w:color="auto" w:sz="6" w:space="0"/>
            </w:tcBorders>
          </w:tcPr>
          <w:p w14:paraId="0FDD3720">
            <w:pPr>
              <w:pStyle w:val="90"/>
            </w:pPr>
            <w:r>
              <w:rPr>
                <w:rFonts w:hint="eastAsia"/>
              </w:rPr>
              <w:t>平均值</w:t>
            </w:r>
          </w:p>
        </w:tc>
        <w:tc>
          <w:tcPr>
            <w:tcW w:w="1568" w:type="dxa"/>
            <w:tcBorders>
              <w:bottom w:val="single" w:color="auto" w:sz="6" w:space="0"/>
            </w:tcBorders>
          </w:tcPr>
          <w:p w14:paraId="0DC9E11B">
            <w:pPr>
              <w:pStyle w:val="90"/>
            </w:pPr>
            <w:r>
              <w:rPr>
                <w:rFonts w:hint="eastAsia"/>
              </w:rPr>
              <w:t>峰值</w:t>
            </w:r>
          </w:p>
        </w:tc>
        <w:tc>
          <w:tcPr>
            <w:tcW w:w="1568" w:type="dxa"/>
            <w:tcBorders>
              <w:bottom w:val="single" w:color="auto" w:sz="6" w:space="0"/>
            </w:tcBorders>
          </w:tcPr>
          <w:p w14:paraId="2F35A4FD">
            <w:pPr>
              <w:pStyle w:val="90"/>
            </w:pPr>
            <w:r>
              <w:rPr>
                <w:rFonts w:hint="eastAsia"/>
              </w:rPr>
              <w:t>测试结论</w:t>
            </w:r>
          </w:p>
        </w:tc>
      </w:tr>
      <w:tr w14:paraId="764904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Borders>
              <w:top w:val="single" w:color="auto" w:sz="6" w:space="0"/>
            </w:tcBorders>
          </w:tcPr>
          <w:p w14:paraId="7A662051">
            <w:pPr>
              <w:pStyle w:val="90"/>
            </w:pPr>
            <w:r>
              <w:rPr>
                <w:rFonts w:hint="eastAsia"/>
              </w:rPr>
              <w:t>服务器内存占用</w:t>
            </w:r>
          </w:p>
        </w:tc>
        <w:tc>
          <w:tcPr>
            <w:tcW w:w="1568" w:type="dxa"/>
            <w:tcBorders>
              <w:top w:val="single" w:color="auto" w:sz="6" w:space="0"/>
            </w:tcBorders>
          </w:tcPr>
          <w:p w14:paraId="24FD4D6D">
            <w:pPr>
              <w:pStyle w:val="90"/>
            </w:pPr>
            <w:r>
              <w:rPr>
                <w:rFonts w:hint="eastAsia"/>
              </w:rPr>
              <w:t>6.24GB</w:t>
            </w:r>
          </w:p>
        </w:tc>
        <w:tc>
          <w:tcPr>
            <w:tcW w:w="1568" w:type="dxa"/>
            <w:tcBorders>
              <w:top w:val="single" w:color="auto" w:sz="6" w:space="0"/>
            </w:tcBorders>
          </w:tcPr>
          <w:p w14:paraId="7E3FFDBC">
            <w:pPr>
              <w:pStyle w:val="90"/>
            </w:pPr>
            <w:r>
              <w:rPr>
                <w:rFonts w:hint="eastAsia"/>
              </w:rPr>
              <w:t>8.41GB</w:t>
            </w:r>
          </w:p>
        </w:tc>
        <w:tc>
          <w:tcPr>
            <w:tcW w:w="1568" w:type="dxa"/>
            <w:tcBorders>
              <w:top w:val="single" w:color="auto" w:sz="6" w:space="0"/>
            </w:tcBorders>
          </w:tcPr>
          <w:p w14:paraId="7CF651CF">
            <w:pPr>
              <w:pStyle w:val="90"/>
            </w:pPr>
            <w:r>
              <w:rPr>
                <w:rFonts w:hint="eastAsia"/>
              </w:rPr>
              <w:t>满足要求</w:t>
            </w:r>
          </w:p>
        </w:tc>
      </w:tr>
      <w:tr w14:paraId="7B776D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41E71DB4">
            <w:pPr>
              <w:pStyle w:val="90"/>
            </w:pPr>
            <w:r>
              <w:rPr>
                <w:rFonts w:hint="eastAsia"/>
              </w:rPr>
              <w:t>服务器显存占用</w:t>
            </w:r>
          </w:p>
        </w:tc>
        <w:tc>
          <w:tcPr>
            <w:tcW w:w="1568" w:type="dxa"/>
          </w:tcPr>
          <w:p w14:paraId="3B87E832">
            <w:pPr>
              <w:pStyle w:val="90"/>
            </w:pPr>
            <w:r>
              <w:rPr>
                <w:rFonts w:hint="eastAsia"/>
              </w:rPr>
              <w:t>7.53GB</w:t>
            </w:r>
          </w:p>
        </w:tc>
        <w:tc>
          <w:tcPr>
            <w:tcW w:w="1568" w:type="dxa"/>
          </w:tcPr>
          <w:p w14:paraId="2C559C2D">
            <w:pPr>
              <w:pStyle w:val="90"/>
            </w:pPr>
            <w:r>
              <w:rPr>
                <w:rFonts w:hint="eastAsia"/>
              </w:rPr>
              <w:t>10.87GB</w:t>
            </w:r>
          </w:p>
        </w:tc>
        <w:tc>
          <w:tcPr>
            <w:tcW w:w="1568" w:type="dxa"/>
          </w:tcPr>
          <w:p w14:paraId="0E2FB916">
            <w:pPr>
              <w:pStyle w:val="90"/>
            </w:pPr>
            <w:r>
              <w:rPr>
                <w:rFonts w:hint="eastAsia"/>
              </w:rPr>
              <w:t>满足要求</w:t>
            </w:r>
          </w:p>
        </w:tc>
      </w:tr>
      <w:tr w14:paraId="4EF971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2154" w:type="dxa"/>
          </w:tcPr>
          <w:p w14:paraId="1C3220EC">
            <w:pPr>
              <w:pStyle w:val="90"/>
            </w:pPr>
            <w:r>
              <w:rPr>
                <w:rFonts w:hint="eastAsia"/>
              </w:rPr>
              <w:t>硬盘</w:t>
            </w:r>
          </w:p>
        </w:tc>
        <w:tc>
          <w:tcPr>
            <w:tcW w:w="1568" w:type="dxa"/>
          </w:tcPr>
          <w:p w14:paraId="11967962">
            <w:pPr>
              <w:pStyle w:val="90"/>
            </w:pPr>
            <w:r>
              <w:rPr>
                <w:rFonts w:hint="eastAsia"/>
              </w:rPr>
              <w:t>42.8%</w:t>
            </w:r>
          </w:p>
        </w:tc>
        <w:tc>
          <w:tcPr>
            <w:tcW w:w="1568" w:type="dxa"/>
          </w:tcPr>
          <w:p w14:paraId="4FEF6750">
            <w:pPr>
              <w:pStyle w:val="90"/>
            </w:pPr>
            <w:r>
              <w:rPr>
                <w:rFonts w:hint="eastAsia"/>
              </w:rPr>
              <w:t>45.1%</w:t>
            </w:r>
          </w:p>
        </w:tc>
        <w:tc>
          <w:tcPr>
            <w:tcW w:w="1568" w:type="dxa"/>
          </w:tcPr>
          <w:p w14:paraId="5ED4770C">
            <w:pPr>
              <w:pStyle w:val="90"/>
            </w:pPr>
            <w:r>
              <w:rPr>
                <w:rFonts w:hint="eastAsia"/>
              </w:rPr>
              <w:t>满足要求</w:t>
            </w:r>
          </w:p>
        </w:tc>
      </w:tr>
    </w:tbl>
    <w:p w14:paraId="6DACBF42">
      <w:pPr>
        <w:bidi w:val="0"/>
        <w:rPr>
          <w:rFonts w:hint="eastAsia"/>
        </w:rPr>
      </w:pPr>
      <w:r>
        <w:rPr>
          <w:rFonts w:hint="eastAsia"/>
        </w:rPr>
        <w:t>综合功能测试与性能测试结果可知，本文所设计平台在当前部署环境下能够稳定完成</w:t>
      </w:r>
      <w:r>
        <w:rPr>
          <w:rFonts w:hint="eastAsia"/>
          <w:lang w:val="en-US" w:eastAsia="zh-CN"/>
        </w:rPr>
        <w:t>核心功能</w:t>
      </w:r>
      <w:r>
        <w:rPr>
          <w:rFonts w:hint="eastAsia"/>
        </w:rPr>
        <w:t>任务，整体具备较好的可用性、稳定性与响应效率，可为电力人工智能应用中的RAG知识库投毒风险验证提供工程支撑。</w:t>
      </w:r>
    </w:p>
    <w:p w14:paraId="6B31C219">
      <w:pPr>
        <w:pStyle w:val="3"/>
        <w:spacing w:before="163" w:after="163"/>
      </w:pPr>
      <w:bookmarkStart w:id="76" w:name="_Toc19653"/>
      <w:r>
        <w:rPr>
          <w:rFonts w:hint="eastAsia"/>
        </w:rPr>
        <w:t>6.5  本章小结</w:t>
      </w:r>
      <w:bookmarkEnd w:id="76"/>
    </w:p>
    <w:p w14:paraId="6042ED97">
      <w:pPr>
        <w:ind w:firstLine="480"/>
      </w:pPr>
      <w:r>
        <w:t>本章</w:t>
      </w:r>
      <w:r>
        <w:rPr>
          <w:rFonts w:hint="eastAsia"/>
        </w:rPr>
        <w:t>设计并实现了</w:t>
      </w:r>
      <w:r>
        <w:rPr>
          <w:rFonts w:hint="eastAsia"/>
          <w:lang w:val="en-US" w:eastAsia="zh-CN"/>
        </w:rPr>
        <w:t>面向电力场景的</w:t>
      </w:r>
      <w:r>
        <w:rPr>
          <w:rFonts w:hint="eastAsia"/>
        </w:rPr>
        <w:t>RAG攻防验证与态势感知平台</w:t>
      </w:r>
      <w:r>
        <w:t>。</w:t>
      </w:r>
      <w:r>
        <w:rPr>
          <w:rFonts w:hint="eastAsia"/>
        </w:rPr>
        <w:t>首先</w:t>
      </w:r>
      <w:r>
        <w:t>在前述</w:t>
      </w:r>
      <w:r>
        <w:rPr>
          <w:rFonts w:hint="eastAsia"/>
          <w:lang w:val="en-US" w:eastAsia="zh-CN"/>
        </w:rPr>
        <w:t>平台研发与</w:t>
      </w:r>
      <w:r>
        <w:t>攻防方法研究成果的基础上，完成了系统的需求分析、总体架构设计以及功能模块划分。其次，结合前后端分离的</w:t>
      </w:r>
      <w:r>
        <w:rPr>
          <w:rFonts w:hint="eastAsia"/>
          <w:lang w:val="en-US" w:eastAsia="zh-CN"/>
        </w:rPr>
        <w:t>工程化</w:t>
      </w:r>
      <w:r>
        <w:t>实现方案，</w:t>
      </w:r>
      <w:r>
        <w:rPr>
          <w:rFonts w:hint="eastAsia"/>
        </w:rPr>
        <w:t>完成了对各模块功能的详细设计与实现</w:t>
      </w:r>
      <w:r>
        <w:t>。最后，通过系统部署、功能测试与性能测试对平台进行了验证。测试结果表明，该系统能够较好地满足预期设计要求，具备较好的可用性、稳定性和响应效率，可为电力</w:t>
      </w:r>
      <w:r>
        <w:rPr>
          <w:rFonts w:hint="eastAsia"/>
          <w:lang w:val="en-US" w:eastAsia="zh-CN"/>
        </w:rPr>
        <w:t>场景下RAG知识库投毒攻击防御验证、态势分析、</w:t>
      </w:r>
      <w:r>
        <w:t>效果评估</w:t>
      </w:r>
      <w:r>
        <w:rPr>
          <w:rFonts w:hint="eastAsia"/>
          <w:lang w:val="en-US" w:eastAsia="zh-CN"/>
        </w:rPr>
        <w:t>等</w:t>
      </w:r>
      <w:r>
        <w:t>提供支撑。</w:t>
      </w:r>
    </w:p>
    <w:p w14:paraId="6666B66F">
      <w:pPr>
        <w:ind w:firstLine="480"/>
      </w:pPr>
    </w:p>
    <w:p w14:paraId="6B40FF40">
      <w:pPr>
        <w:ind w:firstLine="480"/>
        <w:sectPr>
          <w:headerReference r:id="rId14" w:type="default"/>
          <w:footnotePr>
            <w:numFmt w:val="decimalEnclosedCircleChinese"/>
            <w:numRestart w:val="eachPage"/>
          </w:footnotePr>
          <w:pgSz w:w="11906" w:h="16838"/>
          <w:pgMar w:top="1440" w:right="1797" w:bottom="1440" w:left="1797" w:header="850" w:footer="992" w:gutter="0"/>
          <w:cols w:space="720" w:num="1"/>
          <w:docGrid w:type="lines" w:linePitch="326" w:charSpace="0"/>
        </w:sectPr>
      </w:pPr>
    </w:p>
    <w:p w14:paraId="59EF7089">
      <w:pPr>
        <w:ind w:left="0" w:leftChars="0" w:firstLine="0" w:firstLineChars="0"/>
      </w:pPr>
    </w:p>
    <w:sectPr>
      <w:headerReference r:id="rId15" w:type="default"/>
      <w:headerReference r:id="rId16" w:type="even"/>
      <w:footerReference r:id="rId17" w:type="even"/>
      <w:footnotePr>
        <w:numFmt w:val="decimalEnclosedCircleChinese"/>
        <w:numRestart w:val="eachPage"/>
      </w:footnotePr>
      <w:pgSz w:w="11906" w:h="16838"/>
      <w:pgMar w:top="1440" w:right="1797" w:bottom="1440" w:left="1797" w:header="850" w:footer="992" w:gutter="0"/>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903FDC2-4084-4850-AB1A-D74572810A78}"/>
  </w:font>
  <w:font w:name="黑体">
    <w:panose1 w:val="02010609060101010101"/>
    <w:charset w:val="86"/>
    <w:family w:val="auto"/>
    <w:pitch w:val="default"/>
    <w:sig w:usb0="800002BF" w:usb1="38CF7CFA" w:usb2="00000016" w:usb3="00000000" w:csb0="00040001" w:csb1="00000000"/>
    <w:embedRegular r:id="rId2" w:fontKey="{6833131A-E61F-4820-B000-2A1F2850806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3" w:fontKey="{41167DF1-8BAD-45B7-97D8-60B043EF1319}"/>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embedRegular r:id="rId4" w:fontKey="{EAB09BAD-AACD-4160-9884-B091D830854B}"/>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28C8C">
    <w:pPr>
      <w:ind w:firstLine="48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-45085</wp:posOffset>
              </wp:positionV>
              <wp:extent cx="447675" cy="175895"/>
              <wp:effectExtent l="0" t="0" r="0" b="0"/>
              <wp:wrapNone/>
              <wp:docPr id="9" name="文本框 8"/>
              <wp:cNvGraphicFramePr/>
              <a:graphic xmlns:a="http://schemas.openxmlformats.org/drawingml/2006/main">
                <a:graphicData uri="http://schemas.microsoft.com/office/word/2010/wordprocessingShape">
                  <wps:wsp>
                    <wps:cNvSpPr txBox="1"/>
                    <wps:spPr>
                      <a:xfrm>
                        <a:off x="0" y="0"/>
                        <a:ext cx="447675" cy="175895"/>
                      </a:xfrm>
                      <a:prstGeom prst="rect">
                        <a:avLst/>
                      </a:prstGeom>
                      <a:noFill/>
                      <a:ln>
                        <a:noFill/>
                      </a:ln>
                    </wps:spPr>
                    <wps:txbx>
                      <w:txbxContent>
                        <w:p w14:paraId="6FF0DD44">
                          <w:pPr>
                            <w:pStyle w:val="21"/>
                          </w:pPr>
                          <w:r>
                            <w:fldChar w:fldCharType="begin"/>
                          </w:r>
                          <w:r>
                            <w:instrText xml:space="preserve"> PAGE  \* MERGEFORMAT </w:instrText>
                          </w:r>
                          <w:r>
                            <w:fldChar w:fldCharType="separate"/>
                          </w:r>
                          <w:r>
                            <w:t>11</w:t>
                          </w:r>
                          <w:r>
                            <w:fldChar w:fldCharType="end"/>
                          </w:r>
                        </w:p>
                      </w:txbxContent>
                    </wps:txbx>
                    <wps:bodyPr wrap="square" lIns="0" tIns="0" rIns="0" bIns="0"/>
                  </wps:wsp>
                </a:graphicData>
              </a:graphic>
            </wp:anchor>
          </w:drawing>
        </mc:Choice>
        <mc:Fallback>
          <w:pict>
            <v:shape id="文本框 8" o:spid="_x0000_s1026" o:spt="202" type="#_x0000_t202" style="position:absolute;left:0pt;margin-top:-3.55pt;height:13.85pt;width:35.25pt;mso-position-horizontal:center;mso-position-horizontal-relative:margin;z-index:251659264;mso-width-relative:page;mso-height-relative:page;" filled="f" stroked="f" coordsize="21600,21600" o:gfxdata="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U8VF71QAAAAUBAAAPAAAAAAAAAAEAIAAAACIAAABkcnMvZG93bnJldi54bWxQSwEC&#10;FAAUAAAACACHTuJAForHK74BAABzAwAADgAAAAAAAAABACAAAAAkAQAAZHJzL2Uyb0RvYy54bWxQ&#10;SwUGAAAAAAYABgBZAQAAVAUAAAAA&#10;">
              <v:fill on="f" focussize="0,0"/>
              <v:stroke on="f"/>
              <v:imagedata o:title=""/>
              <o:lock v:ext="edit" aspectratio="f"/>
              <v:textbox inset="0mm,0mm,0mm,0mm">
                <w:txbxContent>
                  <w:p w14:paraId="6FF0DD44">
                    <w:pPr>
                      <w:pStyle w:val="21"/>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2A490">
    <w:pPr>
      <w:pStyle w:val="21"/>
      <w:jc w:val="both"/>
      <w:rPr>
        <w:bCs/>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-45085</wp:posOffset>
              </wp:positionV>
              <wp:extent cx="334645" cy="161925"/>
              <wp:effectExtent l="0" t="0" r="0" b="0"/>
              <wp:wrapNone/>
              <wp:docPr id="6"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7606EDEA">
                          <w:pPr>
                            <w:pStyle w:val="21"/>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61312;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N1c8dUAAAAFAQAADwAAAAAAAAABACAAAAAiAAAAZHJzL2Rvd25yZXYu&#10;eG1sUEsBAhQAFAAAAAgAh07iQNHk7hPFAQAAgAMAAA4AAAAAAAAAAQAgAAAAJAEAAGRycy9lMm9E&#10;b2MueG1sUEsFBgAAAAAGAAYAWQEAAFsFAAAAAA==&#10;">
              <v:fill on="f" focussize="0,0"/>
              <v:stroke on="f"/>
              <v:imagedata o:title=""/>
              <o:lock v:ext="edit" aspectratio="f"/>
              <v:textbox inset="0mm,0mm,0mm,0mm">
                <w:txbxContent>
                  <w:p w14:paraId="7606EDEA">
                    <w:pPr>
                      <w:pStyle w:val="21"/>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C2D5F">
    <w:pPr>
      <w:pStyle w:val="21"/>
      <w:jc w:val="both"/>
      <w:rPr>
        <w:bCs/>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-45085</wp:posOffset>
              </wp:positionV>
              <wp:extent cx="334645" cy="161925"/>
              <wp:effectExtent l="0" t="0" r="0" b="0"/>
              <wp:wrapNone/>
              <wp:docPr id="4"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36B9EB20">
                          <w:pPr>
                            <w:pStyle w:val="21"/>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60288;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N1c8dUAAAAFAQAADwAAAAAAAAABACAAAAAiAAAAZHJzL2Rvd25yZXYu&#10;eG1sUEsBAhQAFAAAAAgAh07iQBAjrTbFAQAAgAMAAA4AAAAAAAAAAQAgAAAAJAEAAGRycy9lMm9E&#10;b2MueG1sUEsFBgAAAAAGAAYAWQEAAFsFAAAAAA==&#10;">
              <v:fill on="f" focussize="0,0"/>
              <v:stroke on="f"/>
              <v:imagedata o:title=""/>
              <o:lock v:ext="edit" aspectratio="f"/>
              <v:textbox inset="0mm,0mm,0mm,0mm">
                <w:txbxContent>
                  <w:p w14:paraId="36B9EB20">
                    <w:pPr>
                      <w:pStyle w:val="21"/>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4B545">
    <w:pPr>
      <w:pStyle w:val="22"/>
    </w:pPr>
    <w:r>
      <w:rPr>
        <w:rFonts w:hint="eastAsia"/>
      </w:rPr>
      <w:t>第二章  相关理论及背景知识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BB5DD">
    <w:pPr>
      <w:pStyle w:val="22"/>
      <w:pBdr>
        <w:bottom w:val="single" w:color="auto" w:sz="4" w:space="1"/>
      </w:pBdr>
      <w:rPr>
        <w:szCs w:val="21"/>
      </w:rPr>
    </w:pPr>
    <w:r>
      <w:rPr>
        <w:rFonts w:hint="eastAsia" w:hAnsi="宋体"/>
      </w:rPr>
      <w:t>北京邮电大学硕士学位论文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3B3CC">
    <w:pPr>
      <w:pStyle w:val="22"/>
    </w:pPr>
    <w:r>
      <w:rPr>
        <w:rFonts w:hint="eastAsia"/>
      </w:rPr>
      <w:t>第三章  面向电力场景可信训推与RAG安全研究的孪生可视平台研发</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6D4C9">
    <w:pPr>
      <w:pStyle w:val="22"/>
      <w:pBdr>
        <w:bottom w:val="single" w:color="auto" w:sz="4" w:space="1"/>
      </w:pBdr>
      <w:rPr>
        <w:szCs w:val="21"/>
      </w:rPr>
    </w:pPr>
    <w:r>
      <w:rPr>
        <w:rFonts w:hint="eastAsia" w:hAnsi="宋体"/>
      </w:rPr>
      <w:t>北京邮电大学硕士学位论文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05A5E">
    <w:pPr>
      <w:pStyle w:val="22"/>
    </w:pPr>
    <w:r>
      <w:rPr>
        <w:rFonts w:hint="eastAsia"/>
      </w:rPr>
      <w:t>第四章  基于遗传算法的RAG系统知识库毒化攻击方法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637B9">
    <w:pPr>
      <w:pStyle w:val="22"/>
    </w:pPr>
    <w:r>
      <w:rPr>
        <w:rFonts w:hint="eastAsia"/>
      </w:rPr>
      <w:t>第五章  面向电力场景RAG系统知识库毒化防御研究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7C68C">
    <w:pPr>
      <w:pStyle w:val="22"/>
      <w:pBdr>
        <w:bottom w:val="single" w:color="auto" w:sz="4" w:space="1"/>
      </w:pBdr>
      <w:rPr>
        <w:szCs w:val="21"/>
      </w:rPr>
    </w:pPr>
    <w:r>
      <w:rPr>
        <w:rFonts w:hint="eastAsia" w:hAnsi="宋体"/>
      </w:rPr>
      <w:t>北京邮电大学硕士学位论文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AE83A">
    <w:pPr>
      <w:pStyle w:val="22"/>
    </w:pPr>
    <w:r>
      <w:rPr>
        <w:rFonts w:hint="eastAsia"/>
      </w:rPr>
      <w:t>第六章  电力人工智能应用的安全靶场系统设计与实现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F9B8F">
    <w:pPr>
      <w:pBdr>
        <w:top w:val="none" w:color="auto" w:sz="0" w:space="1"/>
        <w:left w:val="none" w:color="auto" w:sz="0" w:space="4"/>
        <w:bottom w:val="single" w:color="auto" w:sz="4" w:space="0"/>
        <w:right w:val="none" w:color="auto" w:sz="0" w:space="4"/>
      </w:pBdr>
      <w:ind w:firstLine="3600" w:firstLineChars="2000"/>
      <w:rPr>
        <w:sz w:val="18"/>
        <w:szCs w:val="21"/>
      </w:rPr>
    </w:pPr>
    <w:r>
      <w:rPr>
        <w:rFonts w:hint="eastAsia"/>
        <w:sz w:val="18"/>
        <w:szCs w:val="21"/>
      </w:rPr>
      <w:t>作者学习经历</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68A13">
    <w:pPr>
      <w:pStyle w:val="22"/>
      <w:pBdr>
        <w:bottom w:val="single" w:color="auto" w:sz="4" w:space="1"/>
      </w:pBdr>
      <w:rPr>
        <w:szCs w:val="21"/>
      </w:rPr>
    </w:pPr>
    <w:r>
      <w:rPr>
        <w:rFonts w:hint="eastAsia" w:hAnsi="宋体"/>
      </w:rPr>
      <w:t>北京邮电大学硕士学位论文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4FDAB"/>
    <w:multiLevelType w:val="singleLevel"/>
    <w:tmpl w:val="8BC4FDA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80"/>
  <w:evenAndOddHeaders w:val="1"/>
  <w:drawingGridHorizontalSpacing w:val="210"/>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U2YWRlN2ZkYjg5NmU0OTUzNmM2YTYwMjMzMTFjZGUifQ=="/>
    <w:docVar w:name="KSO_WPS_MARK_KEY" w:val="897bf7a0-7f58-4109-a876-b3cbdf7fdc66"/>
  </w:docVars>
  <w:rsids>
    <w:rsidRoot w:val="00C026EC"/>
    <w:rsid w:val="00005B0E"/>
    <w:rsid w:val="000227D6"/>
    <w:rsid w:val="000713A5"/>
    <w:rsid w:val="00092509"/>
    <w:rsid w:val="00095E32"/>
    <w:rsid w:val="000A0B67"/>
    <w:rsid w:val="000B630A"/>
    <w:rsid w:val="000D1E98"/>
    <w:rsid w:val="000D6C20"/>
    <w:rsid w:val="000E019C"/>
    <w:rsid w:val="000E11B9"/>
    <w:rsid w:val="000F571B"/>
    <w:rsid w:val="001278D0"/>
    <w:rsid w:val="00143532"/>
    <w:rsid w:val="00160EA8"/>
    <w:rsid w:val="001803F7"/>
    <w:rsid w:val="001B4FB3"/>
    <w:rsid w:val="00213CF6"/>
    <w:rsid w:val="00235790"/>
    <w:rsid w:val="0024520E"/>
    <w:rsid w:val="00261612"/>
    <w:rsid w:val="003161F1"/>
    <w:rsid w:val="00337586"/>
    <w:rsid w:val="0035146D"/>
    <w:rsid w:val="003663BD"/>
    <w:rsid w:val="003714D7"/>
    <w:rsid w:val="003845F0"/>
    <w:rsid w:val="003A7634"/>
    <w:rsid w:val="003D03F0"/>
    <w:rsid w:val="00420CD3"/>
    <w:rsid w:val="004211E1"/>
    <w:rsid w:val="00424314"/>
    <w:rsid w:val="0042626D"/>
    <w:rsid w:val="00427339"/>
    <w:rsid w:val="00441364"/>
    <w:rsid w:val="00445BE4"/>
    <w:rsid w:val="00446C7F"/>
    <w:rsid w:val="004547AE"/>
    <w:rsid w:val="00461152"/>
    <w:rsid w:val="00461261"/>
    <w:rsid w:val="00485B48"/>
    <w:rsid w:val="004905B9"/>
    <w:rsid w:val="00493872"/>
    <w:rsid w:val="004E6E2E"/>
    <w:rsid w:val="004F06FD"/>
    <w:rsid w:val="00507DDD"/>
    <w:rsid w:val="005145B2"/>
    <w:rsid w:val="005150A6"/>
    <w:rsid w:val="005175F0"/>
    <w:rsid w:val="00525D04"/>
    <w:rsid w:val="00527F43"/>
    <w:rsid w:val="005457A7"/>
    <w:rsid w:val="005945B2"/>
    <w:rsid w:val="005B69E7"/>
    <w:rsid w:val="005F3D03"/>
    <w:rsid w:val="00611541"/>
    <w:rsid w:val="006216F8"/>
    <w:rsid w:val="00627DC9"/>
    <w:rsid w:val="0063331F"/>
    <w:rsid w:val="00642039"/>
    <w:rsid w:val="00691273"/>
    <w:rsid w:val="006C0B17"/>
    <w:rsid w:val="006E0D33"/>
    <w:rsid w:val="006E3AF1"/>
    <w:rsid w:val="0076318D"/>
    <w:rsid w:val="00773671"/>
    <w:rsid w:val="0078125B"/>
    <w:rsid w:val="0079696E"/>
    <w:rsid w:val="007973E0"/>
    <w:rsid w:val="007C7875"/>
    <w:rsid w:val="007E096B"/>
    <w:rsid w:val="008034C9"/>
    <w:rsid w:val="00803A78"/>
    <w:rsid w:val="00841A9B"/>
    <w:rsid w:val="008425D4"/>
    <w:rsid w:val="00852CC7"/>
    <w:rsid w:val="00857008"/>
    <w:rsid w:val="00874872"/>
    <w:rsid w:val="00876795"/>
    <w:rsid w:val="00884A2E"/>
    <w:rsid w:val="00891123"/>
    <w:rsid w:val="008B56CF"/>
    <w:rsid w:val="008B67D6"/>
    <w:rsid w:val="00900764"/>
    <w:rsid w:val="009049D8"/>
    <w:rsid w:val="00905F8B"/>
    <w:rsid w:val="00935419"/>
    <w:rsid w:val="0095099F"/>
    <w:rsid w:val="00961272"/>
    <w:rsid w:val="0096733C"/>
    <w:rsid w:val="009728FB"/>
    <w:rsid w:val="00977F97"/>
    <w:rsid w:val="0098388D"/>
    <w:rsid w:val="00984009"/>
    <w:rsid w:val="00987EC1"/>
    <w:rsid w:val="009A4D68"/>
    <w:rsid w:val="009B5801"/>
    <w:rsid w:val="009B6186"/>
    <w:rsid w:val="009C2379"/>
    <w:rsid w:val="009C337D"/>
    <w:rsid w:val="009E11F0"/>
    <w:rsid w:val="009E41B9"/>
    <w:rsid w:val="009F0E3E"/>
    <w:rsid w:val="009F384A"/>
    <w:rsid w:val="00A34812"/>
    <w:rsid w:val="00A75600"/>
    <w:rsid w:val="00A81838"/>
    <w:rsid w:val="00A90090"/>
    <w:rsid w:val="00AA235D"/>
    <w:rsid w:val="00B05F8A"/>
    <w:rsid w:val="00B1121B"/>
    <w:rsid w:val="00B22635"/>
    <w:rsid w:val="00B25F4B"/>
    <w:rsid w:val="00B31287"/>
    <w:rsid w:val="00B312FD"/>
    <w:rsid w:val="00B3598F"/>
    <w:rsid w:val="00B45058"/>
    <w:rsid w:val="00B63ED3"/>
    <w:rsid w:val="00B650C1"/>
    <w:rsid w:val="00B83B09"/>
    <w:rsid w:val="00BB30F7"/>
    <w:rsid w:val="00BB5A1A"/>
    <w:rsid w:val="00BF706B"/>
    <w:rsid w:val="00C026EC"/>
    <w:rsid w:val="00C11204"/>
    <w:rsid w:val="00C11737"/>
    <w:rsid w:val="00C16756"/>
    <w:rsid w:val="00C35530"/>
    <w:rsid w:val="00C367B1"/>
    <w:rsid w:val="00C53607"/>
    <w:rsid w:val="00C84065"/>
    <w:rsid w:val="00C90995"/>
    <w:rsid w:val="00C91C98"/>
    <w:rsid w:val="00CA1C6F"/>
    <w:rsid w:val="00CB2712"/>
    <w:rsid w:val="00CD5E99"/>
    <w:rsid w:val="00D02671"/>
    <w:rsid w:val="00D112C8"/>
    <w:rsid w:val="00D342BB"/>
    <w:rsid w:val="00D56A9B"/>
    <w:rsid w:val="00D670B1"/>
    <w:rsid w:val="00D92AA5"/>
    <w:rsid w:val="00D954C6"/>
    <w:rsid w:val="00DB531F"/>
    <w:rsid w:val="00DB554A"/>
    <w:rsid w:val="00DB5656"/>
    <w:rsid w:val="00DC1B46"/>
    <w:rsid w:val="00DE05A6"/>
    <w:rsid w:val="00DE5172"/>
    <w:rsid w:val="00DF5D9C"/>
    <w:rsid w:val="00DF76E1"/>
    <w:rsid w:val="00E10CDE"/>
    <w:rsid w:val="00E23B29"/>
    <w:rsid w:val="00E302F6"/>
    <w:rsid w:val="00E310D7"/>
    <w:rsid w:val="00E74E00"/>
    <w:rsid w:val="00E85A2F"/>
    <w:rsid w:val="00E9741C"/>
    <w:rsid w:val="00EE4D5D"/>
    <w:rsid w:val="00EF3799"/>
    <w:rsid w:val="00F55B11"/>
    <w:rsid w:val="00F64E11"/>
    <w:rsid w:val="00F70AD0"/>
    <w:rsid w:val="00F76371"/>
    <w:rsid w:val="00F90522"/>
    <w:rsid w:val="00FD0AAF"/>
    <w:rsid w:val="010C109A"/>
    <w:rsid w:val="0123631D"/>
    <w:rsid w:val="013C06BC"/>
    <w:rsid w:val="013C690E"/>
    <w:rsid w:val="015068F7"/>
    <w:rsid w:val="01506E35"/>
    <w:rsid w:val="01564BF5"/>
    <w:rsid w:val="015821CD"/>
    <w:rsid w:val="01696A9C"/>
    <w:rsid w:val="017F0419"/>
    <w:rsid w:val="01804E6F"/>
    <w:rsid w:val="018A58CB"/>
    <w:rsid w:val="018C1643"/>
    <w:rsid w:val="01923798"/>
    <w:rsid w:val="01991477"/>
    <w:rsid w:val="019B6F29"/>
    <w:rsid w:val="019F250B"/>
    <w:rsid w:val="01A754AC"/>
    <w:rsid w:val="01AA1AC9"/>
    <w:rsid w:val="01AA7D1B"/>
    <w:rsid w:val="01C64E48"/>
    <w:rsid w:val="01CD7566"/>
    <w:rsid w:val="01D12D9D"/>
    <w:rsid w:val="01D30FA1"/>
    <w:rsid w:val="01D454A1"/>
    <w:rsid w:val="01D803E5"/>
    <w:rsid w:val="01EA636A"/>
    <w:rsid w:val="01FD07C3"/>
    <w:rsid w:val="02056B6F"/>
    <w:rsid w:val="02085753"/>
    <w:rsid w:val="02330762"/>
    <w:rsid w:val="025033FE"/>
    <w:rsid w:val="02661E94"/>
    <w:rsid w:val="02680BBE"/>
    <w:rsid w:val="028D5DB7"/>
    <w:rsid w:val="02985DC6"/>
    <w:rsid w:val="02AB5AF9"/>
    <w:rsid w:val="02C46BBB"/>
    <w:rsid w:val="02DF57A3"/>
    <w:rsid w:val="02E1776D"/>
    <w:rsid w:val="02E84657"/>
    <w:rsid w:val="02EC525F"/>
    <w:rsid w:val="02F007AF"/>
    <w:rsid w:val="02FE7911"/>
    <w:rsid w:val="03076F74"/>
    <w:rsid w:val="030B6598"/>
    <w:rsid w:val="03103AA0"/>
    <w:rsid w:val="03394EB3"/>
    <w:rsid w:val="03500416"/>
    <w:rsid w:val="03522419"/>
    <w:rsid w:val="03556B29"/>
    <w:rsid w:val="035C2CE7"/>
    <w:rsid w:val="035F2A61"/>
    <w:rsid w:val="03653EFA"/>
    <w:rsid w:val="03687D0B"/>
    <w:rsid w:val="036B7672"/>
    <w:rsid w:val="03866DC9"/>
    <w:rsid w:val="038A5E19"/>
    <w:rsid w:val="038A7E04"/>
    <w:rsid w:val="038C0F57"/>
    <w:rsid w:val="03991DF6"/>
    <w:rsid w:val="039E11BA"/>
    <w:rsid w:val="039F31FF"/>
    <w:rsid w:val="03BB6210"/>
    <w:rsid w:val="03D6755E"/>
    <w:rsid w:val="03E30A9B"/>
    <w:rsid w:val="03E5503B"/>
    <w:rsid w:val="03EB2215"/>
    <w:rsid w:val="03F13E33"/>
    <w:rsid w:val="03FD2384"/>
    <w:rsid w:val="04045AFD"/>
    <w:rsid w:val="04096F7B"/>
    <w:rsid w:val="040C6A6B"/>
    <w:rsid w:val="041471B2"/>
    <w:rsid w:val="041871BE"/>
    <w:rsid w:val="042042C5"/>
    <w:rsid w:val="042822BE"/>
    <w:rsid w:val="043170E7"/>
    <w:rsid w:val="043D2B30"/>
    <w:rsid w:val="043F11AD"/>
    <w:rsid w:val="04663231"/>
    <w:rsid w:val="046A50DA"/>
    <w:rsid w:val="046C3CAA"/>
    <w:rsid w:val="046E630F"/>
    <w:rsid w:val="047D6389"/>
    <w:rsid w:val="04804DA9"/>
    <w:rsid w:val="0486237A"/>
    <w:rsid w:val="048B3E34"/>
    <w:rsid w:val="048C3708"/>
    <w:rsid w:val="048E4B7A"/>
    <w:rsid w:val="04932CE9"/>
    <w:rsid w:val="04A86794"/>
    <w:rsid w:val="04B50EB1"/>
    <w:rsid w:val="04BD38C2"/>
    <w:rsid w:val="04CB2483"/>
    <w:rsid w:val="04D35BCD"/>
    <w:rsid w:val="04DC01EC"/>
    <w:rsid w:val="04E150FA"/>
    <w:rsid w:val="04E6106A"/>
    <w:rsid w:val="04EB6681"/>
    <w:rsid w:val="04EB7D6C"/>
    <w:rsid w:val="0511629C"/>
    <w:rsid w:val="05131CDE"/>
    <w:rsid w:val="05143E2A"/>
    <w:rsid w:val="051C4A8C"/>
    <w:rsid w:val="05206C6B"/>
    <w:rsid w:val="052377B5"/>
    <w:rsid w:val="05317E44"/>
    <w:rsid w:val="05322502"/>
    <w:rsid w:val="05344C89"/>
    <w:rsid w:val="053E0EA6"/>
    <w:rsid w:val="05574853"/>
    <w:rsid w:val="05616943"/>
    <w:rsid w:val="056A1C9B"/>
    <w:rsid w:val="057429DC"/>
    <w:rsid w:val="05776166"/>
    <w:rsid w:val="05832D9D"/>
    <w:rsid w:val="059960DD"/>
    <w:rsid w:val="059C797B"/>
    <w:rsid w:val="05A02EFB"/>
    <w:rsid w:val="05A1542D"/>
    <w:rsid w:val="05C84C14"/>
    <w:rsid w:val="05CC5609"/>
    <w:rsid w:val="05CF70AF"/>
    <w:rsid w:val="05D21624"/>
    <w:rsid w:val="05F37618"/>
    <w:rsid w:val="05F7020B"/>
    <w:rsid w:val="05F800ED"/>
    <w:rsid w:val="05FB6F31"/>
    <w:rsid w:val="06024977"/>
    <w:rsid w:val="060A74CA"/>
    <w:rsid w:val="060D1C45"/>
    <w:rsid w:val="060E6ACB"/>
    <w:rsid w:val="06242171"/>
    <w:rsid w:val="0627193B"/>
    <w:rsid w:val="062924A7"/>
    <w:rsid w:val="062A142B"/>
    <w:rsid w:val="062B5372"/>
    <w:rsid w:val="063A0E01"/>
    <w:rsid w:val="063B0DD7"/>
    <w:rsid w:val="06563D22"/>
    <w:rsid w:val="067035BB"/>
    <w:rsid w:val="06740A41"/>
    <w:rsid w:val="06765EB3"/>
    <w:rsid w:val="068154EF"/>
    <w:rsid w:val="0688299D"/>
    <w:rsid w:val="068B4299"/>
    <w:rsid w:val="069240F8"/>
    <w:rsid w:val="06A54B05"/>
    <w:rsid w:val="06A56093"/>
    <w:rsid w:val="06B84C89"/>
    <w:rsid w:val="06BA0A05"/>
    <w:rsid w:val="06D05B2E"/>
    <w:rsid w:val="06E00174"/>
    <w:rsid w:val="06E97363"/>
    <w:rsid w:val="06EA58E2"/>
    <w:rsid w:val="06F061D0"/>
    <w:rsid w:val="06F23CF7"/>
    <w:rsid w:val="06F70775"/>
    <w:rsid w:val="071D689A"/>
    <w:rsid w:val="0732411C"/>
    <w:rsid w:val="073256AE"/>
    <w:rsid w:val="0744651C"/>
    <w:rsid w:val="074917F2"/>
    <w:rsid w:val="07497370"/>
    <w:rsid w:val="075B32D7"/>
    <w:rsid w:val="075E75DE"/>
    <w:rsid w:val="07626FB5"/>
    <w:rsid w:val="076646E5"/>
    <w:rsid w:val="0783111E"/>
    <w:rsid w:val="07990616"/>
    <w:rsid w:val="07A10084"/>
    <w:rsid w:val="07AE716C"/>
    <w:rsid w:val="07B216D8"/>
    <w:rsid w:val="07B40FAC"/>
    <w:rsid w:val="07C93590"/>
    <w:rsid w:val="07E35D35"/>
    <w:rsid w:val="07F05F64"/>
    <w:rsid w:val="08002443"/>
    <w:rsid w:val="08053F9F"/>
    <w:rsid w:val="08080399"/>
    <w:rsid w:val="08080695"/>
    <w:rsid w:val="081128A2"/>
    <w:rsid w:val="081D1C8F"/>
    <w:rsid w:val="08276C59"/>
    <w:rsid w:val="083D1316"/>
    <w:rsid w:val="08442D16"/>
    <w:rsid w:val="084542FA"/>
    <w:rsid w:val="084B0235"/>
    <w:rsid w:val="08534C69"/>
    <w:rsid w:val="085B5903"/>
    <w:rsid w:val="08623EAF"/>
    <w:rsid w:val="087846CF"/>
    <w:rsid w:val="087F53D8"/>
    <w:rsid w:val="08850B9A"/>
    <w:rsid w:val="089111E3"/>
    <w:rsid w:val="08966833"/>
    <w:rsid w:val="089B30A9"/>
    <w:rsid w:val="08A51890"/>
    <w:rsid w:val="08AE00F1"/>
    <w:rsid w:val="08BA39DE"/>
    <w:rsid w:val="08D613F6"/>
    <w:rsid w:val="08EB30F3"/>
    <w:rsid w:val="08FF26E6"/>
    <w:rsid w:val="09151F1E"/>
    <w:rsid w:val="09235B25"/>
    <w:rsid w:val="09294C09"/>
    <w:rsid w:val="092B202D"/>
    <w:rsid w:val="095209D3"/>
    <w:rsid w:val="09554A11"/>
    <w:rsid w:val="09622C8A"/>
    <w:rsid w:val="096A3FBB"/>
    <w:rsid w:val="0980792C"/>
    <w:rsid w:val="0995305F"/>
    <w:rsid w:val="099866DC"/>
    <w:rsid w:val="09992050"/>
    <w:rsid w:val="09A22B2D"/>
    <w:rsid w:val="09A30672"/>
    <w:rsid w:val="09A339CE"/>
    <w:rsid w:val="09A97033"/>
    <w:rsid w:val="09B20A1F"/>
    <w:rsid w:val="09B70DAC"/>
    <w:rsid w:val="09C65ABE"/>
    <w:rsid w:val="09C81A12"/>
    <w:rsid w:val="09C91B1B"/>
    <w:rsid w:val="09D62A13"/>
    <w:rsid w:val="09E12944"/>
    <w:rsid w:val="0A140428"/>
    <w:rsid w:val="0A2166A1"/>
    <w:rsid w:val="0A28357C"/>
    <w:rsid w:val="0A6556AD"/>
    <w:rsid w:val="0A775F0C"/>
    <w:rsid w:val="0A8445CF"/>
    <w:rsid w:val="0A8C6210"/>
    <w:rsid w:val="0A941D34"/>
    <w:rsid w:val="0A9B43AB"/>
    <w:rsid w:val="0A9D666F"/>
    <w:rsid w:val="0AB11A1A"/>
    <w:rsid w:val="0ADA51CD"/>
    <w:rsid w:val="0AF0679F"/>
    <w:rsid w:val="0AF604F3"/>
    <w:rsid w:val="0AF71DB6"/>
    <w:rsid w:val="0B0A56A0"/>
    <w:rsid w:val="0B0E7656"/>
    <w:rsid w:val="0B114967"/>
    <w:rsid w:val="0B136931"/>
    <w:rsid w:val="0B1D3AD1"/>
    <w:rsid w:val="0B1F52D6"/>
    <w:rsid w:val="0B2B3C7B"/>
    <w:rsid w:val="0B30511E"/>
    <w:rsid w:val="0B3519ED"/>
    <w:rsid w:val="0B36617C"/>
    <w:rsid w:val="0B4959B4"/>
    <w:rsid w:val="0B4D1E43"/>
    <w:rsid w:val="0B514D20"/>
    <w:rsid w:val="0B5B6CD0"/>
    <w:rsid w:val="0B625F12"/>
    <w:rsid w:val="0B6727D9"/>
    <w:rsid w:val="0B7262CA"/>
    <w:rsid w:val="0B8C3FEE"/>
    <w:rsid w:val="0B9175F3"/>
    <w:rsid w:val="0B9950CF"/>
    <w:rsid w:val="0BA632C4"/>
    <w:rsid w:val="0BA852CC"/>
    <w:rsid w:val="0BAD28E2"/>
    <w:rsid w:val="0BBB1DCF"/>
    <w:rsid w:val="0BEC6C78"/>
    <w:rsid w:val="0BED2CDE"/>
    <w:rsid w:val="0BF422BF"/>
    <w:rsid w:val="0BF5144B"/>
    <w:rsid w:val="0BFA53FB"/>
    <w:rsid w:val="0BFB0DA9"/>
    <w:rsid w:val="0C0A7D34"/>
    <w:rsid w:val="0C1B3178"/>
    <w:rsid w:val="0C2B43F2"/>
    <w:rsid w:val="0C2C33CB"/>
    <w:rsid w:val="0C3152C1"/>
    <w:rsid w:val="0C3801FA"/>
    <w:rsid w:val="0C3C5A14"/>
    <w:rsid w:val="0C542D5E"/>
    <w:rsid w:val="0C5B757D"/>
    <w:rsid w:val="0C700313"/>
    <w:rsid w:val="0C740669"/>
    <w:rsid w:val="0C774C9E"/>
    <w:rsid w:val="0C776BE8"/>
    <w:rsid w:val="0C79439C"/>
    <w:rsid w:val="0C7C1FDF"/>
    <w:rsid w:val="0C9B098C"/>
    <w:rsid w:val="0C9D69EC"/>
    <w:rsid w:val="0CA03FC9"/>
    <w:rsid w:val="0CBC5171"/>
    <w:rsid w:val="0CC257C3"/>
    <w:rsid w:val="0CC872A8"/>
    <w:rsid w:val="0CD76783"/>
    <w:rsid w:val="0CEA47B8"/>
    <w:rsid w:val="0CEE6149"/>
    <w:rsid w:val="0CEF17A8"/>
    <w:rsid w:val="0CEF1A29"/>
    <w:rsid w:val="0CF462EF"/>
    <w:rsid w:val="0CF85DDF"/>
    <w:rsid w:val="0D0A2C55"/>
    <w:rsid w:val="0D162709"/>
    <w:rsid w:val="0D1A0547"/>
    <w:rsid w:val="0D2564A8"/>
    <w:rsid w:val="0D442DD2"/>
    <w:rsid w:val="0D4739D7"/>
    <w:rsid w:val="0D4D0858"/>
    <w:rsid w:val="0D5F5563"/>
    <w:rsid w:val="0D6A5750"/>
    <w:rsid w:val="0D742BAF"/>
    <w:rsid w:val="0D804797"/>
    <w:rsid w:val="0D9644B5"/>
    <w:rsid w:val="0D9F26FE"/>
    <w:rsid w:val="0DB83485"/>
    <w:rsid w:val="0DB9302F"/>
    <w:rsid w:val="0DBC069B"/>
    <w:rsid w:val="0DBD73CB"/>
    <w:rsid w:val="0DD346E6"/>
    <w:rsid w:val="0DF045AC"/>
    <w:rsid w:val="0DFA29FA"/>
    <w:rsid w:val="0E012A71"/>
    <w:rsid w:val="0E0E379E"/>
    <w:rsid w:val="0E3966AF"/>
    <w:rsid w:val="0E9C1554"/>
    <w:rsid w:val="0EAF6971"/>
    <w:rsid w:val="0EB67BBE"/>
    <w:rsid w:val="0EBD2E3C"/>
    <w:rsid w:val="0ED62150"/>
    <w:rsid w:val="0ED70174"/>
    <w:rsid w:val="0EDD34DE"/>
    <w:rsid w:val="0EE77EB9"/>
    <w:rsid w:val="0EFA4090"/>
    <w:rsid w:val="0EFE5F92"/>
    <w:rsid w:val="0F10193D"/>
    <w:rsid w:val="0F24110D"/>
    <w:rsid w:val="0F2941FB"/>
    <w:rsid w:val="0F4870A8"/>
    <w:rsid w:val="0F50023D"/>
    <w:rsid w:val="0F5006A2"/>
    <w:rsid w:val="0F515CEE"/>
    <w:rsid w:val="0F601A19"/>
    <w:rsid w:val="0F753717"/>
    <w:rsid w:val="0F781459"/>
    <w:rsid w:val="0F822008"/>
    <w:rsid w:val="0FA43FFC"/>
    <w:rsid w:val="0FA92EE1"/>
    <w:rsid w:val="0FB029A1"/>
    <w:rsid w:val="0FB22A55"/>
    <w:rsid w:val="0FE663C2"/>
    <w:rsid w:val="0FEF171B"/>
    <w:rsid w:val="0FF56606"/>
    <w:rsid w:val="0FFD54BA"/>
    <w:rsid w:val="100517C5"/>
    <w:rsid w:val="10090259"/>
    <w:rsid w:val="100A1081"/>
    <w:rsid w:val="101250D8"/>
    <w:rsid w:val="101D790A"/>
    <w:rsid w:val="10245B94"/>
    <w:rsid w:val="10282537"/>
    <w:rsid w:val="102A6E77"/>
    <w:rsid w:val="1031756B"/>
    <w:rsid w:val="1032785A"/>
    <w:rsid w:val="10437371"/>
    <w:rsid w:val="104B091B"/>
    <w:rsid w:val="1056449A"/>
    <w:rsid w:val="107F2AF5"/>
    <w:rsid w:val="108728C2"/>
    <w:rsid w:val="109124AE"/>
    <w:rsid w:val="109C2F25"/>
    <w:rsid w:val="10A1053B"/>
    <w:rsid w:val="10A92F6E"/>
    <w:rsid w:val="10C206A6"/>
    <w:rsid w:val="10C36704"/>
    <w:rsid w:val="10E36DA6"/>
    <w:rsid w:val="10EA1EE2"/>
    <w:rsid w:val="10F16DCD"/>
    <w:rsid w:val="10FD111A"/>
    <w:rsid w:val="11084B08"/>
    <w:rsid w:val="110A7E8F"/>
    <w:rsid w:val="110F7B9B"/>
    <w:rsid w:val="11171E05"/>
    <w:rsid w:val="11173DE9"/>
    <w:rsid w:val="111A6B29"/>
    <w:rsid w:val="11203B56"/>
    <w:rsid w:val="11271298"/>
    <w:rsid w:val="112847B9"/>
    <w:rsid w:val="11334496"/>
    <w:rsid w:val="113413B0"/>
    <w:rsid w:val="1134315E"/>
    <w:rsid w:val="11386FA7"/>
    <w:rsid w:val="113A5FD4"/>
    <w:rsid w:val="114F5126"/>
    <w:rsid w:val="115313FD"/>
    <w:rsid w:val="115B4DE3"/>
    <w:rsid w:val="11625F1D"/>
    <w:rsid w:val="116B50AE"/>
    <w:rsid w:val="11755C50"/>
    <w:rsid w:val="1192393D"/>
    <w:rsid w:val="11B36778"/>
    <w:rsid w:val="11B524F0"/>
    <w:rsid w:val="11BE4769"/>
    <w:rsid w:val="11E15093"/>
    <w:rsid w:val="120B0362"/>
    <w:rsid w:val="120E5B40"/>
    <w:rsid w:val="12111E95"/>
    <w:rsid w:val="12172D2F"/>
    <w:rsid w:val="12197510"/>
    <w:rsid w:val="121B7144"/>
    <w:rsid w:val="122F6829"/>
    <w:rsid w:val="12362B63"/>
    <w:rsid w:val="12413D84"/>
    <w:rsid w:val="12431165"/>
    <w:rsid w:val="12443874"/>
    <w:rsid w:val="12466EEF"/>
    <w:rsid w:val="124F0D28"/>
    <w:rsid w:val="12611808"/>
    <w:rsid w:val="12686E91"/>
    <w:rsid w:val="1283436C"/>
    <w:rsid w:val="129E5C08"/>
    <w:rsid w:val="129F0AAB"/>
    <w:rsid w:val="12A04F4F"/>
    <w:rsid w:val="12A12A75"/>
    <w:rsid w:val="12D95627"/>
    <w:rsid w:val="12DC0D9D"/>
    <w:rsid w:val="12EB1E25"/>
    <w:rsid w:val="12EF3EDA"/>
    <w:rsid w:val="12FA5AAD"/>
    <w:rsid w:val="13022F76"/>
    <w:rsid w:val="130848A2"/>
    <w:rsid w:val="130F5C30"/>
    <w:rsid w:val="13223BB5"/>
    <w:rsid w:val="13351D94"/>
    <w:rsid w:val="133E2592"/>
    <w:rsid w:val="134A6C68"/>
    <w:rsid w:val="134D0B61"/>
    <w:rsid w:val="13581385"/>
    <w:rsid w:val="1378727E"/>
    <w:rsid w:val="13873A19"/>
    <w:rsid w:val="1393490E"/>
    <w:rsid w:val="13985C26"/>
    <w:rsid w:val="139D6DE1"/>
    <w:rsid w:val="13A11DD8"/>
    <w:rsid w:val="13B028D2"/>
    <w:rsid w:val="13B46C7E"/>
    <w:rsid w:val="13B74DBF"/>
    <w:rsid w:val="13BC47C3"/>
    <w:rsid w:val="13C91FE9"/>
    <w:rsid w:val="13CE5AEB"/>
    <w:rsid w:val="13E04B4D"/>
    <w:rsid w:val="13FB7F63"/>
    <w:rsid w:val="140212F1"/>
    <w:rsid w:val="14065B95"/>
    <w:rsid w:val="140F3197"/>
    <w:rsid w:val="14157276"/>
    <w:rsid w:val="14253DD2"/>
    <w:rsid w:val="142A5841"/>
    <w:rsid w:val="14397409"/>
    <w:rsid w:val="143E4134"/>
    <w:rsid w:val="14540CB5"/>
    <w:rsid w:val="146D7C3C"/>
    <w:rsid w:val="14757D15"/>
    <w:rsid w:val="1496257F"/>
    <w:rsid w:val="149C29D2"/>
    <w:rsid w:val="14BC5944"/>
    <w:rsid w:val="14C30A80"/>
    <w:rsid w:val="14C91E0F"/>
    <w:rsid w:val="14CD4F1E"/>
    <w:rsid w:val="14CF1B1B"/>
    <w:rsid w:val="14DE58BA"/>
    <w:rsid w:val="14E531E8"/>
    <w:rsid w:val="150E2A0A"/>
    <w:rsid w:val="15155054"/>
    <w:rsid w:val="151E03AD"/>
    <w:rsid w:val="15377927"/>
    <w:rsid w:val="15407EF2"/>
    <w:rsid w:val="15593193"/>
    <w:rsid w:val="155F2FFD"/>
    <w:rsid w:val="15673DAE"/>
    <w:rsid w:val="156A6D57"/>
    <w:rsid w:val="1585739A"/>
    <w:rsid w:val="1587538B"/>
    <w:rsid w:val="159579E4"/>
    <w:rsid w:val="15982925"/>
    <w:rsid w:val="15A85EC8"/>
    <w:rsid w:val="15B036FB"/>
    <w:rsid w:val="15B34F99"/>
    <w:rsid w:val="15B71A33"/>
    <w:rsid w:val="15D41B8A"/>
    <w:rsid w:val="15E909BB"/>
    <w:rsid w:val="15EC1D0B"/>
    <w:rsid w:val="15F22879"/>
    <w:rsid w:val="15FE3142"/>
    <w:rsid w:val="1609765A"/>
    <w:rsid w:val="160B7FC6"/>
    <w:rsid w:val="160E21CF"/>
    <w:rsid w:val="16100464"/>
    <w:rsid w:val="162224A9"/>
    <w:rsid w:val="16323774"/>
    <w:rsid w:val="16414353"/>
    <w:rsid w:val="165556AF"/>
    <w:rsid w:val="165F0C7D"/>
    <w:rsid w:val="16663DB9"/>
    <w:rsid w:val="166F74AF"/>
    <w:rsid w:val="1675578B"/>
    <w:rsid w:val="167A5AB7"/>
    <w:rsid w:val="167C10CF"/>
    <w:rsid w:val="167D0A9B"/>
    <w:rsid w:val="168B7CC4"/>
    <w:rsid w:val="16976F4A"/>
    <w:rsid w:val="169D3553"/>
    <w:rsid w:val="16A843D2"/>
    <w:rsid w:val="16AA3DD6"/>
    <w:rsid w:val="16B0596D"/>
    <w:rsid w:val="16B5089D"/>
    <w:rsid w:val="16B74615"/>
    <w:rsid w:val="16C3745D"/>
    <w:rsid w:val="16C805D0"/>
    <w:rsid w:val="16C83F29"/>
    <w:rsid w:val="16E3365C"/>
    <w:rsid w:val="16E83CAA"/>
    <w:rsid w:val="16F044E1"/>
    <w:rsid w:val="16F26FFB"/>
    <w:rsid w:val="16F5513D"/>
    <w:rsid w:val="17034227"/>
    <w:rsid w:val="1720665E"/>
    <w:rsid w:val="172577D0"/>
    <w:rsid w:val="172F4AF3"/>
    <w:rsid w:val="1740460A"/>
    <w:rsid w:val="174165D4"/>
    <w:rsid w:val="17457E73"/>
    <w:rsid w:val="17490B03"/>
    <w:rsid w:val="174A36DB"/>
    <w:rsid w:val="174C1201"/>
    <w:rsid w:val="17510416"/>
    <w:rsid w:val="1752258F"/>
    <w:rsid w:val="17567C80"/>
    <w:rsid w:val="175B34BC"/>
    <w:rsid w:val="175D4E15"/>
    <w:rsid w:val="17740758"/>
    <w:rsid w:val="177D5F83"/>
    <w:rsid w:val="177E09CC"/>
    <w:rsid w:val="17931A26"/>
    <w:rsid w:val="17C31458"/>
    <w:rsid w:val="17D350D1"/>
    <w:rsid w:val="17D824F4"/>
    <w:rsid w:val="17DB2585"/>
    <w:rsid w:val="17F13614"/>
    <w:rsid w:val="17F35B20"/>
    <w:rsid w:val="18041ADC"/>
    <w:rsid w:val="182220F4"/>
    <w:rsid w:val="183C2926"/>
    <w:rsid w:val="184E2D57"/>
    <w:rsid w:val="18552BF9"/>
    <w:rsid w:val="185A134B"/>
    <w:rsid w:val="186E0AC5"/>
    <w:rsid w:val="18783BEA"/>
    <w:rsid w:val="18800302"/>
    <w:rsid w:val="188F0B97"/>
    <w:rsid w:val="189015C1"/>
    <w:rsid w:val="1890511D"/>
    <w:rsid w:val="18B0756E"/>
    <w:rsid w:val="18B2778A"/>
    <w:rsid w:val="18B708FC"/>
    <w:rsid w:val="18BA71DB"/>
    <w:rsid w:val="18C253EA"/>
    <w:rsid w:val="18C66F3F"/>
    <w:rsid w:val="18E611E1"/>
    <w:rsid w:val="18F84792"/>
    <w:rsid w:val="18FD6092"/>
    <w:rsid w:val="190D5699"/>
    <w:rsid w:val="19194749"/>
    <w:rsid w:val="192F6D69"/>
    <w:rsid w:val="19331AFB"/>
    <w:rsid w:val="19354BB3"/>
    <w:rsid w:val="19384ADC"/>
    <w:rsid w:val="194238D5"/>
    <w:rsid w:val="1945381D"/>
    <w:rsid w:val="19463BB3"/>
    <w:rsid w:val="19485AA4"/>
    <w:rsid w:val="194B7296"/>
    <w:rsid w:val="195975C5"/>
    <w:rsid w:val="196D545F"/>
    <w:rsid w:val="196E0ED2"/>
    <w:rsid w:val="197B5DCD"/>
    <w:rsid w:val="19805345"/>
    <w:rsid w:val="198151DB"/>
    <w:rsid w:val="19832ED4"/>
    <w:rsid w:val="199509CB"/>
    <w:rsid w:val="199C7AF2"/>
    <w:rsid w:val="19A35324"/>
    <w:rsid w:val="19A76BC3"/>
    <w:rsid w:val="19AE61A3"/>
    <w:rsid w:val="19B117EF"/>
    <w:rsid w:val="19BE7155"/>
    <w:rsid w:val="19DD25E4"/>
    <w:rsid w:val="1A01518C"/>
    <w:rsid w:val="1A0A11CB"/>
    <w:rsid w:val="1A143B33"/>
    <w:rsid w:val="1A1556F5"/>
    <w:rsid w:val="1A191039"/>
    <w:rsid w:val="1A197A34"/>
    <w:rsid w:val="1A310B82"/>
    <w:rsid w:val="1A3348FA"/>
    <w:rsid w:val="1A345F7C"/>
    <w:rsid w:val="1A361CF4"/>
    <w:rsid w:val="1A5C33F7"/>
    <w:rsid w:val="1A613215"/>
    <w:rsid w:val="1A635D3C"/>
    <w:rsid w:val="1A7D5A8E"/>
    <w:rsid w:val="1A8B70C3"/>
    <w:rsid w:val="1A8E1B30"/>
    <w:rsid w:val="1A8E4A2E"/>
    <w:rsid w:val="1A9611D4"/>
    <w:rsid w:val="1A9B2205"/>
    <w:rsid w:val="1AC34BD6"/>
    <w:rsid w:val="1AD35818"/>
    <w:rsid w:val="1ADB5329"/>
    <w:rsid w:val="1AF97EC5"/>
    <w:rsid w:val="1AFF4F3E"/>
    <w:rsid w:val="1B1C0EEA"/>
    <w:rsid w:val="1B1E473C"/>
    <w:rsid w:val="1B3501FE"/>
    <w:rsid w:val="1B487F31"/>
    <w:rsid w:val="1B4B5C73"/>
    <w:rsid w:val="1B5662CF"/>
    <w:rsid w:val="1B5C578B"/>
    <w:rsid w:val="1B6603B7"/>
    <w:rsid w:val="1B6712C1"/>
    <w:rsid w:val="1B6B2F26"/>
    <w:rsid w:val="1B703AE1"/>
    <w:rsid w:val="1B705885"/>
    <w:rsid w:val="1B766E57"/>
    <w:rsid w:val="1B8A4174"/>
    <w:rsid w:val="1B8B6590"/>
    <w:rsid w:val="1B8D3B96"/>
    <w:rsid w:val="1B9E2247"/>
    <w:rsid w:val="1BA84E74"/>
    <w:rsid w:val="1BB774B4"/>
    <w:rsid w:val="1BB84AB8"/>
    <w:rsid w:val="1BBA40DB"/>
    <w:rsid w:val="1BBC0ED5"/>
    <w:rsid w:val="1BC82E20"/>
    <w:rsid w:val="1BCA303C"/>
    <w:rsid w:val="1BDD4B1E"/>
    <w:rsid w:val="1BE063BC"/>
    <w:rsid w:val="1BF02A4A"/>
    <w:rsid w:val="1BFE2CE6"/>
    <w:rsid w:val="1C012659"/>
    <w:rsid w:val="1C112A19"/>
    <w:rsid w:val="1C1724A2"/>
    <w:rsid w:val="1C1B3898"/>
    <w:rsid w:val="1C1D0B83"/>
    <w:rsid w:val="1C367AF3"/>
    <w:rsid w:val="1C430EE2"/>
    <w:rsid w:val="1C4E5A1B"/>
    <w:rsid w:val="1C754C06"/>
    <w:rsid w:val="1C7A236C"/>
    <w:rsid w:val="1C8B617A"/>
    <w:rsid w:val="1CA07168"/>
    <w:rsid w:val="1CA72318"/>
    <w:rsid w:val="1CAE0B0D"/>
    <w:rsid w:val="1CB20235"/>
    <w:rsid w:val="1CB9434A"/>
    <w:rsid w:val="1CC54D0C"/>
    <w:rsid w:val="1CD203FA"/>
    <w:rsid w:val="1CE7377A"/>
    <w:rsid w:val="1D077978"/>
    <w:rsid w:val="1D116BB7"/>
    <w:rsid w:val="1D147AE8"/>
    <w:rsid w:val="1D2279BD"/>
    <w:rsid w:val="1D2404F5"/>
    <w:rsid w:val="1D365950"/>
    <w:rsid w:val="1D404D2C"/>
    <w:rsid w:val="1D4666F2"/>
    <w:rsid w:val="1D507571"/>
    <w:rsid w:val="1D542787"/>
    <w:rsid w:val="1D567904"/>
    <w:rsid w:val="1D583653"/>
    <w:rsid w:val="1D7E5E8C"/>
    <w:rsid w:val="1D8B7922"/>
    <w:rsid w:val="1DA11A4C"/>
    <w:rsid w:val="1DA23D0D"/>
    <w:rsid w:val="1DA358F3"/>
    <w:rsid w:val="1DB83A1E"/>
    <w:rsid w:val="1DC37D43"/>
    <w:rsid w:val="1DCC309C"/>
    <w:rsid w:val="1DD2442A"/>
    <w:rsid w:val="1DEC2D5D"/>
    <w:rsid w:val="1DF94230"/>
    <w:rsid w:val="1E310073"/>
    <w:rsid w:val="1E38119D"/>
    <w:rsid w:val="1E3D7AF5"/>
    <w:rsid w:val="1E422BA2"/>
    <w:rsid w:val="1E4A5D6E"/>
    <w:rsid w:val="1E692E15"/>
    <w:rsid w:val="1E796654"/>
    <w:rsid w:val="1E8E626F"/>
    <w:rsid w:val="1E9F255E"/>
    <w:rsid w:val="1EA9518B"/>
    <w:rsid w:val="1EE2244B"/>
    <w:rsid w:val="1EE53CE9"/>
    <w:rsid w:val="1EF13752"/>
    <w:rsid w:val="1F2E38E2"/>
    <w:rsid w:val="1F332CA6"/>
    <w:rsid w:val="1F3A5DE3"/>
    <w:rsid w:val="1F4A28B3"/>
    <w:rsid w:val="1F4B5DA9"/>
    <w:rsid w:val="1F52137F"/>
    <w:rsid w:val="1F653F48"/>
    <w:rsid w:val="1F705CA9"/>
    <w:rsid w:val="1F813BA0"/>
    <w:rsid w:val="1F8F7049"/>
    <w:rsid w:val="1FAC5AC6"/>
    <w:rsid w:val="1FB2006F"/>
    <w:rsid w:val="1FD56783"/>
    <w:rsid w:val="1FE461E7"/>
    <w:rsid w:val="1FE65F6B"/>
    <w:rsid w:val="1FEE11E3"/>
    <w:rsid w:val="1FEF2639"/>
    <w:rsid w:val="1FF04823"/>
    <w:rsid w:val="1FFE5062"/>
    <w:rsid w:val="20085EE1"/>
    <w:rsid w:val="2020322B"/>
    <w:rsid w:val="20206900"/>
    <w:rsid w:val="203C5B8B"/>
    <w:rsid w:val="203E5DA7"/>
    <w:rsid w:val="203F5B19"/>
    <w:rsid w:val="205253AE"/>
    <w:rsid w:val="206D3F96"/>
    <w:rsid w:val="2076109D"/>
    <w:rsid w:val="207D5B78"/>
    <w:rsid w:val="208B6513"/>
    <w:rsid w:val="208C544B"/>
    <w:rsid w:val="20947035"/>
    <w:rsid w:val="20997A10"/>
    <w:rsid w:val="209D3040"/>
    <w:rsid w:val="20A35C0A"/>
    <w:rsid w:val="20B1016D"/>
    <w:rsid w:val="20BF47A5"/>
    <w:rsid w:val="20C15BAC"/>
    <w:rsid w:val="20F46465"/>
    <w:rsid w:val="20F465E1"/>
    <w:rsid w:val="20F63442"/>
    <w:rsid w:val="21020B82"/>
    <w:rsid w:val="2106236D"/>
    <w:rsid w:val="21134B3E"/>
    <w:rsid w:val="212F501D"/>
    <w:rsid w:val="215D7D10"/>
    <w:rsid w:val="21736CC6"/>
    <w:rsid w:val="2188160C"/>
    <w:rsid w:val="219043E0"/>
    <w:rsid w:val="21957C48"/>
    <w:rsid w:val="21993A5F"/>
    <w:rsid w:val="21A90000"/>
    <w:rsid w:val="21C029C6"/>
    <w:rsid w:val="21DC6419"/>
    <w:rsid w:val="21DC6E58"/>
    <w:rsid w:val="21E02496"/>
    <w:rsid w:val="21E17898"/>
    <w:rsid w:val="21E74206"/>
    <w:rsid w:val="221F38F4"/>
    <w:rsid w:val="22407BB4"/>
    <w:rsid w:val="22521696"/>
    <w:rsid w:val="226118D9"/>
    <w:rsid w:val="226D2C7F"/>
    <w:rsid w:val="22737F8A"/>
    <w:rsid w:val="228757E3"/>
    <w:rsid w:val="22883309"/>
    <w:rsid w:val="22A771FB"/>
    <w:rsid w:val="22B255F0"/>
    <w:rsid w:val="22B943A5"/>
    <w:rsid w:val="22B97021"/>
    <w:rsid w:val="22BE58CE"/>
    <w:rsid w:val="22C150BE"/>
    <w:rsid w:val="22C975F6"/>
    <w:rsid w:val="22CA56D0"/>
    <w:rsid w:val="22D87DED"/>
    <w:rsid w:val="22DD18A7"/>
    <w:rsid w:val="22E01FD8"/>
    <w:rsid w:val="22E542B8"/>
    <w:rsid w:val="22E545B0"/>
    <w:rsid w:val="22EC0D3D"/>
    <w:rsid w:val="22F62380"/>
    <w:rsid w:val="230230BC"/>
    <w:rsid w:val="232D4266"/>
    <w:rsid w:val="232D71C7"/>
    <w:rsid w:val="23360FB7"/>
    <w:rsid w:val="23381379"/>
    <w:rsid w:val="2349661C"/>
    <w:rsid w:val="23517B9F"/>
    <w:rsid w:val="23675058"/>
    <w:rsid w:val="2370723A"/>
    <w:rsid w:val="237B3D8F"/>
    <w:rsid w:val="23852E44"/>
    <w:rsid w:val="238B01BB"/>
    <w:rsid w:val="239006C7"/>
    <w:rsid w:val="239A01BD"/>
    <w:rsid w:val="23A203FB"/>
    <w:rsid w:val="23A83C63"/>
    <w:rsid w:val="23A91789"/>
    <w:rsid w:val="23AC740A"/>
    <w:rsid w:val="23B90D85"/>
    <w:rsid w:val="23C67A85"/>
    <w:rsid w:val="23D37DDD"/>
    <w:rsid w:val="23D85AEC"/>
    <w:rsid w:val="23ED1676"/>
    <w:rsid w:val="23ED7EE5"/>
    <w:rsid w:val="23F0560A"/>
    <w:rsid w:val="23FA039A"/>
    <w:rsid w:val="24084A1A"/>
    <w:rsid w:val="24101808"/>
    <w:rsid w:val="242F4154"/>
    <w:rsid w:val="246851A0"/>
    <w:rsid w:val="2471031E"/>
    <w:rsid w:val="24817982"/>
    <w:rsid w:val="2483647E"/>
    <w:rsid w:val="24967F5F"/>
    <w:rsid w:val="24A40D43"/>
    <w:rsid w:val="24C70119"/>
    <w:rsid w:val="24D42836"/>
    <w:rsid w:val="24DC002D"/>
    <w:rsid w:val="24FC3F2A"/>
    <w:rsid w:val="24FD1D8D"/>
    <w:rsid w:val="25054AA2"/>
    <w:rsid w:val="250550E5"/>
    <w:rsid w:val="25071D86"/>
    <w:rsid w:val="250B2FEC"/>
    <w:rsid w:val="251175E6"/>
    <w:rsid w:val="25256789"/>
    <w:rsid w:val="252B7ACB"/>
    <w:rsid w:val="25313AE2"/>
    <w:rsid w:val="25396B3D"/>
    <w:rsid w:val="25397845"/>
    <w:rsid w:val="254D0E1D"/>
    <w:rsid w:val="255C2C60"/>
    <w:rsid w:val="25641E0C"/>
    <w:rsid w:val="25703F76"/>
    <w:rsid w:val="257D2EE0"/>
    <w:rsid w:val="25814FFE"/>
    <w:rsid w:val="25875579"/>
    <w:rsid w:val="25956469"/>
    <w:rsid w:val="25B06DFF"/>
    <w:rsid w:val="25B52667"/>
    <w:rsid w:val="25B655C1"/>
    <w:rsid w:val="25C32833"/>
    <w:rsid w:val="25D157F3"/>
    <w:rsid w:val="25D42CE2"/>
    <w:rsid w:val="25E35426"/>
    <w:rsid w:val="25E64AB8"/>
    <w:rsid w:val="25F17D65"/>
    <w:rsid w:val="26084E8D"/>
    <w:rsid w:val="26094761"/>
    <w:rsid w:val="260E32C1"/>
    <w:rsid w:val="260F6838"/>
    <w:rsid w:val="261824BC"/>
    <w:rsid w:val="262845D5"/>
    <w:rsid w:val="262A0C9A"/>
    <w:rsid w:val="262C1415"/>
    <w:rsid w:val="262D1039"/>
    <w:rsid w:val="262D7A58"/>
    <w:rsid w:val="26313100"/>
    <w:rsid w:val="263712CE"/>
    <w:rsid w:val="263A2B6C"/>
    <w:rsid w:val="264D526D"/>
    <w:rsid w:val="26555BF8"/>
    <w:rsid w:val="266F0A68"/>
    <w:rsid w:val="26731F5B"/>
    <w:rsid w:val="26865DB2"/>
    <w:rsid w:val="269302A6"/>
    <w:rsid w:val="26A155D5"/>
    <w:rsid w:val="26A23298"/>
    <w:rsid w:val="26A95520"/>
    <w:rsid w:val="26BB6640"/>
    <w:rsid w:val="26BF513E"/>
    <w:rsid w:val="26C07516"/>
    <w:rsid w:val="26D1527F"/>
    <w:rsid w:val="26D7485F"/>
    <w:rsid w:val="26E31456"/>
    <w:rsid w:val="26E8413A"/>
    <w:rsid w:val="26EA27E4"/>
    <w:rsid w:val="26FF7369"/>
    <w:rsid w:val="27045403"/>
    <w:rsid w:val="27117A06"/>
    <w:rsid w:val="2717062D"/>
    <w:rsid w:val="271C69D2"/>
    <w:rsid w:val="27211965"/>
    <w:rsid w:val="272F6449"/>
    <w:rsid w:val="27386B1B"/>
    <w:rsid w:val="275A51FB"/>
    <w:rsid w:val="27604855"/>
    <w:rsid w:val="276B54DA"/>
    <w:rsid w:val="27710810"/>
    <w:rsid w:val="277F452E"/>
    <w:rsid w:val="277F4CDB"/>
    <w:rsid w:val="27870E22"/>
    <w:rsid w:val="278E13C2"/>
    <w:rsid w:val="278E3170"/>
    <w:rsid w:val="278E628D"/>
    <w:rsid w:val="278F0C96"/>
    <w:rsid w:val="279544FE"/>
    <w:rsid w:val="279E4617"/>
    <w:rsid w:val="27A110F5"/>
    <w:rsid w:val="27B32FEC"/>
    <w:rsid w:val="27B506FD"/>
    <w:rsid w:val="27D1497B"/>
    <w:rsid w:val="27D53D18"/>
    <w:rsid w:val="27D56FF1"/>
    <w:rsid w:val="27D75F18"/>
    <w:rsid w:val="27FA6A57"/>
    <w:rsid w:val="28123DA1"/>
    <w:rsid w:val="281B32B1"/>
    <w:rsid w:val="281D3DDB"/>
    <w:rsid w:val="282A0765"/>
    <w:rsid w:val="284101E2"/>
    <w:rsid w:val="2844693A"/>
    <w:rsid w:val="28551EE0"/>
    <w:rsid w:val="28610244"/>
    <w:rsid w:val="286D0937"/>
    <w:rsid w:val="28706D19"/>
    <w:rsid w:val="287953DF"/>
    <w:rsid w:val="28924EE2"/>
    <w:rsid w:val="2895052E"/>
    <w:rsid w:val="289E20D8"/>
    <w:rsid w:val="28A8200F"/>
    <w:rsid w:val="28AC5B67"/>
    <w:rsid w:val="28B64014"/>
    <w:rsid w:val="28BA7F95"/>
    <w:rsid w:val="28D0390F"/>
    <w:rsid w:val="28D873AF"/>
    <w:rsid w:val="28E0653C"/>
    <w:rsid w:val="28E426BE"/>
    <w:rsid w:val="28F214DC"/>
    <w:rsid w:val="2909280B"/>
    <w:rsid w:val="290E3E47"/>
    <w:rsid w:val="29115170"/>
    <w:rsid w:val="29271965"/>
    <w:rsid w:val="293B7327"/>
    <w:rsid w:val="2944518B"/>
    <w:rsid w:val="295D5ADD"/>
    <w:rsid w:val="29606D8E"/>
    <w:rsid w:val="29622B06"/>
    <w:rsid w:val="29654B65"/>
    <w:rsid w:val="29687A9A"/>
    <w:rsid w:val="296B4121"/>
    <w:rsid w:val="297B5976"/>
    <w:rsid w:val="297E2DA6"/>
    <w:rsid w:val="2987431B"/>
    <w:rsid w:val="298A0528"/>
    <w:rsid w:val="298B777E"/>
    <w:rsid w:val="29912F65"/>
    <w:rsid w:val="299D37EF"/>
    <w:rsid w:val="29B11398"/>
    <w:rsid w:val="29B23EE6"/>
    <w:rsid w:val="29B36EBE"/>
    <w:rsid w:val="29D2365C"/>
    <w:rsid w:val="29D47E8F"/>
    <w:rsid w:val="29DF68BD"/>
    <w:rsid w:val="29EC762A"/>
    <w:rsid w:val="29F01EC0"/>
    <w:rsid w:val="2A077CEB"/>
    <w:rsid w:val="2A1839CA"/>
    <w:rsid w:val="2A2B2EF8"/>
    <w:rsid w:val="2A30290B"/>
    <w:rsid w:val="2A390639"/>
    <w:rsid w:val="2A3C6EB3"/>
    <w:rsid w:val="2A4207FC"/>
    <w:rsid w:val="2A4346E5"/>
    <w:rsid w:val="2A45603E"/>
    <w:rsid w:val="2A4B4772"/>
    <w:rsid w:val="2A531318"/>
    <w:rsid w:val="2A5F2BA2"/>
    <w:rsid w:val="2A716636"/>
    <w:rsid w:val="2A783C63"/>
    <w:rsid w:val="2A7E1274"/>
    <w:rsid w:val="2A922F77"/>
    <w:rsid w:val="2A9F5694"/>
    <w:rsid w:val="2AA33B7E"/>
    <w:rsid w:val="2AB0029F"/>
    <w:rsid w:val="2AB47391"/>
    <w:rsid w:val="2ABE3D6C"/>
    <w:rsid w:val="2ACE1AD5"/>
    <w:rsid w:val="2AD14A50"/>
    <w:rsid w:val="2AD7717B"/>
    <w:rsid w:val="2ADE313B"/>
    <w:rsid w:val="2AE041B1"/>
    <w:rsid w:val="2AE5754B"/>
    <w:rsid w:val="2AE9023C"/>
    <w:rsid w:val="2B05106A"/>
    <w:rsid w:val="2B22254D"/>
    <w:rsid w:val="2B2B6F28"/>
    <w:rsid w:val="2B4323E2"/>
    <w:rsid w:val="2B446527"/>
    <w:rsid w:val="2B6C3222"/>
    <w:rsid w:val="2B6F11F0"/>
    <w:rsid w:val="2B726905"/>
    <w:rsid w:val="2B747595"/>
    <w:rsid w:val="2B787D81"/>
    <w:rsid w:val="2B7A34A4"/>
    <w:rsid w:val="2B8925CC"/>
    <w:rsid w:val="2B986731"/>
    <w:rsid w:val="2BAD49EC"/>
    <w:rsid w:val="2BB20250"/>
    <w:rsid w:val="2BB65A9E"/>
    <w:rsid w:val="2BC73603"/>
    <w:rsid w:val="2BCC1443"/>
    <w:rsid w:val="2BCF7841"/>
    <w:rsid w:val="2BD002A2"/>
    <w:rsid w:val="2BD31A99"/>
    <w:rsid w:val="2BDF3BA3"/>
    <w:rsid w:val="2BF67536"/>
    <w:rsid w:val="2BF84CBA"/>
    <w:rsid w:val="2BFD7DB0"/>
    <w:rsid w:val="2C0B2FE1"/>
    <w:rsid w:val="2C194CEB"/>
    <w:rsid w:val="2C2D6BBA"/>
    <w:rsid w:val="2C4402A1"/>
    <w:rsid w:val="2C4E1148"/>
    <w:rsid w:val="2C5B1EF8"/>
    <w:rsid w:val="2C5C383D"/>
    <w:rsid w:val="2C5C5861"/>
    <w:rsid w:val="2C6B3A80"/>
    <w:rsid w:val="2C6B7F24"/>
    <w:rsid w:val="2C7147BB"/>
    <w:rsid w:val="2C8230EB"/>
    <w:rsid w:val="2C8367EC"/>
    <w:rsid w:val="2C8873E9"/>
    <w:rsid w:val="2CA27465"/>
    <w:rsid w:val="2CA425F5"/>
    <w:rsid w:val="2CA8138E"/>
    <w:rsid w:val="2CAB7446"/>
    <w:rsid w:val="2CB73169"/>
    <w:rsid w:val="2CBB3A35"/>
    <w:rsid w:val="2CBF4F37"/>
    <w:rsid w:val="2CC83C69"/>
    <w:rsid w:val="2CD84A69"/>
    <w:rsid w:val="2CEC4736"/>
    <w:rsid w:val="2D092E8B"/>
    <w:rsid w:val="2D0F6B01"/>
    <w:rsid w:val="2D28506F"/>
    <w:rsid w:val="2D2E3343"/>
    <w:rsid w:val="2D2E5A5E"/>
    <w:rsid w:val="2D300825"/>
    <w:rsid w:val="2D516B21"/>
    <w:rsid w:val="2D5E35E4"/>
    <w:rsid w:val="2D60735C"/>
    <w:rsid w:val="2D717B10"/>
    <w:rsid w:val="2D783141"/>
    <w:rsid w:val="2D890B1F"/>
    <w:rsid w:val="2D9162EB"/>
    <w:rsid w:val="2D940DB4"/>
    <w:rsid w:val="2DAD00C8"/>
    <w:rsid w:val="2DB136EA"/>
    <w:rsid w:val="2DD120B8"/>
    <w:rsid w:val="2DEA4459"/>
    <w:rsid w:val="2DF81343"/>
    <w:rsid w:val="2DFF184C"/>
    <w:rsid w:val="2E04418C"/>
    <w:rsid w:val="2E0D3BE7"/>
    <w:rsid w:val="2E170604"/>
    <w:rsid w:val="2E1B6C48"/>
    <w:rsid w:val="2E2323DC"/>
    <w:rsid w:val="2E2D0842"/>
    <w:rsid w:val="2E3600BD"/>
    <w:rsid w:val="2E373C9E"/>
    <w:rsid w:val="2E717BD4"/>
    <w:rsid w:val="2E7224CD"/>
    <w:rsid w:val="2E905A1F"/>
    <w:rsid w:val="2EAC037F"/>
    <w:rsid w:val="2EC80742"/>
    <w:rsid w:val="2ECD0CEC"/>
    <w:rsid w:val="2EDF215F"/>
    <w:rsid w:val="2EDF2FF8"/>
    <w:rsid w:val="2EF02962"/>
    <w:rsid w:val="2EF72818"/>
    <w:rsid w:val="2EFF7043"/>
    <w:rsid w:val="2F0D4CDE"/>
    <w:rsid w:val="2F0F463D"/>
    <w:rsid w:val="2F2A2F03"/>
    <w:rsid w:val="2F326AD7"/>
    <w:rsid w:val="2F347AEA"/>
    <w:rsid w:val="2F353298"/>
    <w:rsid w:val="2F562335"/>
    <w:rsid w:val="2F63159D"/>
    <w:rsid w:val="2F6A001E"/>
    <w:rsid w:val="2F6F7693"/>
    <w:rsid w:val="2F8C268B"/>
    <w:rsid w:val="2F8C4439"/>
    <w:rsid w:val="2F966333"/>
    <w:rsid w:val="2FA31233"/>
    <w:rsid w:val="2FAF59F5"/>
    <w:rsid w:val="2FAF7A05"/>
    <w:rsid w:val="2FBB0FC6"/>
    <w:rsid w:val="2FCE2CA3"/>
    <w:rsid w:val="2FCF060B"/>
    <w:rsid w:val="2FED29FE"/>
    <w:rsid w:val="2FF4199F"/>
    <w:rsid w:val="2FF91944"/>
    <w:rsid w:val="2FFC2193"/>
    <w:rsid w:val="30236C6F"/>
    <w:rsid w:val="302529FB"/>
    <w:rsid w:val="3025663B"/>
    <w:rsid w:val="302945ED"/>
    <w:rsid w:val="302C5C1C"/>
    <w:rsid w:val="30517430"/>
    <w:rsid w:val="30732AC6"/>
    <w:rsid w:val="307B44AD"/>
    <w:rsid w:val="308137FA"/>
    <w:rsid w:val="3082583C"/>
    <w:rsid w:val="30847806"/>
    <w:rsid w:val="308A7902"/>
    <w:rsid w:val="308C0468"/>
    <w:rsid w:val="308E5F8F"/>
    <w:rsid w:val="309769C4"/>
    <w:rsid w:val="30AB444D"/>
    <w:rsid w:val="30AB6B41"/>
    <w:rsid w:val="30B26121"/>
    <w:rsid w:val="30B73737"/>
    <w:rsid w:val="30BD6874"/>
    <w:rsid w:val="30D05AAB"/>
    <w:rsid w:val="30DA76A0"/>
    <w:rsid w:val="30E078CE"/>
    <w:rsid w:val="30ED4D1A"/>
    <w:rsid w:val="30ED53AB"/>
    <w:rsid w:val="30F1623F"/>
    <w:rsid w:val="30FA64B9"/>
    <w:rsid w:val="310E70CF"/>
    <w:rsid w:val="310F6BA4"/>
    <w:rsid w:val="31136981"/>
    <w:rsid w:val="311C089B"/>
    <w:rsid w:val="31224F2D"/>
    <w:rsid w:val="312410C4"/>
    <w:rsid w:val="31271F3F"/>
    <w:rsid w:val="312B5ED3"/>
    <w:rsid w:val="312D6EB8"/>
    <w:rsid w:val="314D7A25"/>
    <w:rsid w:val="31556AAC"/>
    <w:rsid w:val="315E525D"/>
    <w:rsid w:val="316A413F"/>
    <w:rsid w:val="316B2774"/>
    <w:rsid w:val="316D1209"/>
    <w:rsid w:val="317167A5"/>
    <w:rsid w:val="31722022"/>
    <w:rsid w:val="317F1D7B"/>
    <w:rsid w:val="31905D36"/>
    <w:rsid w:val="3199108F"/>
    <w:rsid w:val="31A0241D"/>
    <w:rsid w:val="31EE4FA7"/>
    <w:rsid w:val="31F75DB5"/>
    <w:rsid w:val="32002EBC"/>
    <w:rsid w:val="32026C34"/>
    <w:rsid w:val="32081D71"/>
    <w:rsid w:val="3208691D"/>
    <w:rsid w:val="3240775C"/>
    <w:rsid w:val="324453AC"/>
    <w:rsid w:val="32486E3E"/>
    <w:rsid w:val="324E3C27"/>
    <w:rsid w:val="32546D64"/>
    <w:rsid w:val="32634AA7"/>
    <w:rsid w:val="326A2A2B"/>
    <w:rsid w:val="327633E6"/>
    <w:rsid w:val="3282017A"/>
    <w:rsid w:val="328622EF"/>
    <w:rsid w:val="3287538B"/>
    <w:rsid w:val="328C68A8"/>
    <w:rsid w:val="32936626"/>
    <w:rsid w:val="32A42FF6"/>
    <w:rsid w:val="32A95302"/>
    <w:rsid w:val="32DC27C9"/>
    <w:rsid w:val="32F10A57"/>
    <w:rsid w:val="32F967E0"/>
    <w:rsid w:val="331B7B47"/>
    <w:rsid w:val="332525B0"/>
    <w:rsid w:val="3327319E"/>
    <w:rsid w:val="33292AF7"/>
    <w:rsid w:val="33456311"/>
    <w:rsid w:val="33784018"/>
    <w:rsid w:val="338C6677"/>
    <w:rsid w:val="33A861F7"/>
    <w:rsid w:val="33C626DC"/>
    <w:rsid w:val="33C63C91"/>
    <w:rsid w:val="33DC5263"/>
    <w:rsid w:val="33F21D47"/>
    <w:rsid w:val="33F829BD"/>
    <w:rsid w:val="33F83D13"/>
    <w:rsid w:val="340071A3"/>
    <w:rsid w:val="340520A3"/>
    <w:rsid w:val="3405388A"/>
    <w:rsid w:val="34062303"/>
    <w:rsid w:val="340810FF"/>
    <w:rsid w:val="34180BD5"/>
    <w:rsid w:val="342D4E2D"/>
    <w:rsid w:val="34311A53"/>
    <w:rsid w:val="343B26FF"/>
    <w:rsid w:val="343D64AC"/>
    <w:rsid w:val="345C70E9"/>
    <w:rsid w:val="346E5BE2"/>
    <w:rsid w:val="34A43FD3"/>
    <w:rsid w:val="34B561E0"/>
    <w:rsid w:val="34BF6A84"/>
    <w:rsid w:val="34CC52D7"/>
    <w:rsid w:val="34E645EB"/>
    <w:rsid w:val="34F4706D"/>
    <w:rsid w:val="34F565DC"/>
    <w:rsid w:val="35054F32"/>
    <w:rsid w:val="350E6F0D"/>
    <w:rsid w:val="351347F4"/>
    <w:rsid w:val="351C551B"/>
    <w:rsid w:val="351F5D4F"/>
    <w:rsid w:val="35313589"/>
    <w:rsid w:val="353925B2"/>
    <w:rsid w:val="35507CB7"/>
    <w:rsid w:val="356B0524"/>
    <w:rsid w:val="358E788D"/>
    <w:rsid w:val="3597568F"/>
    <w:rsid w:val="359F29EC"/>
    <w:rsid w:val="35A2665D"/>
    <w:rsid w:val="35A65B28"/>
    <w:rsid w:val="35B45823"/>
    <w:rsid w:val="35BB5A78"/>
    <w:rsid w:val="35D7789A"/>
    <w:rsid w:val="35DC779C"/>
    <w:rsid w:val="35E22DCF"/>
    <w:rsid w:val="35E328D9"/>
    <w:rsid w:val="35EE27B6"/>
    <w:rsid w:val="35F31F85"/>
    <w:rsid w:val="35F82C60"/>
    <w:rsid w:val="35F9034E"/>
    <w:rsid w:val="360F36CE"/>
    <w:rsid w:val="36174C78"/>
    <w:rsid w:val="361B6516"/>
    <w:rsid w:val="361C5DEB"/>
    <w:rsid w:val="361D1DFD"/>
    <w:rsid w:val="36266C69"/>
    <w:rsid w:val="362A49AB"/>
    <w:rsid w:val="362D7FF8"/>
    <w:rsid w:val="36435A6D"/>
    <w:rsid w:val="36464E91"/>
    <w:rsid w:val="364D069A"/>
    <w:rsid w:val="36617332"/>
    <w:rsid w:val="36646E51"/>
    <w:rsid w:val="3667175C"/>
    <w:rsid w:val="36696744"/>
    <w:rsid w:val="366A4DA8"/>
    <w:rsid w:val="36714D18"/>
    <w:rsid w:val="36722474"/>
    <w:rsid w:val="368045CB"/>
    <w:rsid w:val="369E0EF6"/>
    <w:rsid w:val="36A56435"/>
    <w:rsid w:val="36A91D74"/>
    <w:rsid w:val="36B07376"/>
    <w:rsid w:val="36B204FD"/>
    <w:rsid w:val="36C768CB"/>
    <w:rsid w:val="36F07DC8"/>
    <w:rsid w:val="37362EDC"/>
    <w:rsid w:val="374A3EDB"/>
    <w:rsid w:val="374C4F01"/>
    <w:rsid w:val="37585548"/>
    <w:rsid w:val="375A27EB"/>
    <w:rsid w:val="37660D5D"/>
    <w:rsid w:val="37673A15"/>
    <w:rsid w:val="376C4CC9"/>
    <w:rsid w:val="37927DAB"/>
    <w:rsid w:val="37977E1F"/>
    <w:rsid w:val="37984B56"/>
    <w:rsid w:val="37996AAD"/>
    <w:rsid w:val="379A64B9"/>
    <w:rsid w:val="37A26BE9"/>
    <w:rsid w:val="37A5679D"/>
    <w:rsid w:val="37B301D4"/>
    <w:rsid w:val="37B52B09"/>
    <w:rsid w:val="37DD4FF7"/>
    <w:rsid w:val="37EB016A"/>
    <w:rsid w:val="380A0C7A"/>
    <w:rsid w:val="3810372D"/>
    <w:rsid w:val="381052A8"/>
    <w:rsid w:val="382673F4"/>
    <w:rsid w:val="3828316D"/>
    <w:rsid w:val="384344D3"/>
    <w:rsid w:val="384B0589"/>
    <w:rsid w:val="384E64FF"/>
    <w:rsid w:val="3851592F"/>
    <w:rsid w:val="385D55D5"/>
    <w:rsid w:val="385E319C"/>
    <w:rsid w:val="386029F2"/>
    <w:rsid w:val="387B329C"/>
    <w:rsid w:val="388700CE"/>
    <w:rsid w:val="388A0251"/>
    <w:rsid w:val="38983E4E"/>
    <w:rsid w:val="389D76B7"/>
    <w:rsid w:val="38B14F10"/>
    <w:rsid w:val="38B2553C"/>
    <w:rsid w:val="38B4055C"/>
    <w:rsid w:val="38D62BC9"/>
    <w:rsid w:val="38DB1F8D"/>
    <w:rsid w:val="38F65709"/>
    <w:rsid w:val="38F848ED"/>
    <w:rsid w:val="38F90665"/>
    <w:rsid w:val="38FB73DB"/>
    <w:rsid w:val="391F00CC"/>
    <w:rsid w:val="392154C6"/>
    <w:rsid w:val="3930052B"/>
    <w:rsid w:val="39316051"/>
    <w:rsid w:val="39376518"/>
    <w:rsid w:val="39445D84"/>
    <w:rsid w:val="39553AED"/>
    <w:rsid w:val="39560170"/>
    <w:rsid w:val="395A0C19"/>
    <w:rsid w:val="395B0E70"/>
    <w:rsid w:val="39673843"/>
    <w:rsid w:val="3973353A"/>
    <w:rsid w:val="39754676"/>
    <w:rsid w:val="397859DE"/>
    <w:rsid w:val="3984282F"/>
    <w:rsid w:val="398C3287"/>
    <w:rsid w:val="39AE1450"/>
    <w:rsid w:val="39B3258F"/>
    <w:rsid w:val="39D33579"/>
    <w:rsid w:val="39E51A11"/>
    <w:rsid w:val="39E860DD"/>
    <w:rsid w:val="39F411C3"/>
    <w:rsid w:val="39F82E54"/>
    <w:rsid w:val="39FE23D7"/>
    <w:rsid w:val="3A003B0C"/>
    <w:rsid w:val="3A286A1F"/>
    <w:rsid w:val="3A2A3072"/>
    <w:rsid w:val="3A343DC1"/>
    <w:rsid w:val="3A451DB4"/>
    <w:rsid w:val="3A543DA5"/>
    <w:rsid w:val="3A680E3F"/>
    <w:rsid w:val="3A6924FE"/>
    <w:rsid w:val="3A824DB6"/>
    <w:rsid w:val="3A8F302F"/>
    <w:rsid w:val="3A9621CD"/>
    <w:rsid w:val="3AA16C0F"/>
    <w:rsid w:val="3ACC0EF6"/>
    <w:rsid w:val="3ACE1D29"/>
    <w:rsid w:val="3ADF0B68"/>
    <w:rsid w:val="3AE8383F"/>
    <w:rsid w:val="3AED7D56"/>
    <w:rsid w:val="3B035FDB"/>
    <w:rsid w:val="3B241941"/>
    <w:rsid w:val="3B4731CB"/>
    <w:rsid w:val="3B497682"/>
    <w:rsid w:val="3B4E0E59"/>
    <w:rsid w:val="3B5E49D2"/>
    <w:rsid w:val="3B7364AD"/>
    <w:rsid w:val="3B7A5A8D"/>
    <w:rsid w:val="3B7B35B3"/>
    <w:rsid w:val="3B8616E2"/>
    <w:rsid w:val="3BB964B2"/>
    <w:rsid w:val="3BC46FE7"/>
    <w:rsid w:val="3BCE5DD9"/>
    <w:rsid w:val="3BD31FB4"/>
    <w:rsid w:val="3BD74C8E"/>
    <w:rsid w:val="3BD878D7"/>
    <w:rsid w:val="3BDD426E"/>
    <w:rsid w:val="3BEC6400"/>
    <w:rsid w:val="3BFF41E4"/>
    <w:rsid w:val="3C067F09"/>
    <w:rsid w:val="3C1407B4"/>
    <w:rsid w:val="3C1934F8"/>
    <w:rsid w:val="3C2D0D52"/>
    <w:rsid w:val="3C6504EB"/>
    <w:rsid w:val="3C6A5B02"/>
    <w:rsid w:val="3C700C3E"/>
    <w:rsid w:val="3C7626F9"/>
    <w:rsid w:val="3C77021F"/>
    <w:rsid w:val="3C805A2E"/>
    <w:rsid w:val="3C814BF9"/>
    <w:rsid w:val="3C836BC3"/>
    <w:rsid w:val="3C961075"/>
    <w:rsid w:val="3CA54D8C"/>
    <w:rsid w:val="3CC91123"/>
    <w:rsid w:val="3CCA0998"/>
    <w:rsid w:val="3CDE029E"/>
    <w:rsid w:val="3CDE39DC"/>
    <w:rsid w:val="3CE4314E"/>
    <w:rsid w:val="3CE84C78"/>
    <w:rsid w:val="3CEA279F"/>
    <w:rsid w:val="3CF04229"/>
    <w:rsid w:val="3CF17FD1"/>
    <w:rsid w:val="3CF61F54"/>
    <w:rsid w:val="3CFB3BF3"/>
    <w:rsid w:val="3D196916"/>
    <w:rsid w:val="3D1A7663"/>
    <w:rsid w:val="3D232155"/>
    <w:rsid w:val="3D2A34E3"/>
    <w:rsid w:val="3D51281E"/>
    <w:rsid w:val="3D6C58AA"/>
    <w:rsid w:val="3D6F7148"/>
    <w:rsid w:val="3D786825"/>
    <w:rsid w:val="3D8952D2"/>
    <w:rsid w:val="3DA9265A"/>
    <w:rsid w:val="3DCB43A9"/>
    <w:rsid w:val="3DF37D79"/>
    <w:rsid w:val="3DF56AF4"/>
    <w:rsid w:val="3E1F291C"/>
    <w:rsid w:val="3E241CE0"/>
    <w:rsid w:val="3E247F32"/>
    <w:rsid w:val="3E270B1C"/>
    <w:rsid w:val="3E3A55FA"/>
    <w:rsid w:val="3E43485C"/>
    <w:rsid w:val="3E4800C5"/>
    <w:rsid w:val="3E66054B"/>
    <w:rsid w:val="3E6C16F4"/>
    <w:rsid w:val="3E7B6A78"/>
    <w:rsid w:val="3E7E2AFB"/>
    <w:rsid w:val="3E864749"/>
    <w:rsid w:val="3E9B4D67"/>
    <w:rsid w:val="3EA204D2"/>
    <w:rsid w:val="3EA45006"/>
    <w:rsid w:val="3EA62D02"/>
    <w:rsid w:val="3EA6703C"/>
    <w:rsid w:val="3EA87543"/>
    <w:rsid w:val="3EA97316"/>
    <w:rsid w:val="3EB01CD4"/>
    <w:rsid w:val="3EB47508"/>
    <w:rsid w:val="3EBC460F"/>
    <w:rsid w:val="3EBF267E"/>
    <w:rsid w:val="3EC01B26"/>
    <w:rsid w:val="3EC30E12"/>
    <w:rsid w:val="3ECF45DB"/>
    <w:rsid w:val="3EDB2CE7"/>
    <w:rsid w:val="3EDE6333"/>
    <w:rsid w:val="3EE15E23"/>
    <w:rsid w:val="3EE67E2F"/>
    <w:rsid w:val="3EFD6648"/>
    <w:rsid w:val="3F0A6721"/>
    <w:rsid w:val="3F0B2EA0"/>
    <w:rsid w:val="3F2A1578"/>
    <w:rsid w:val="3F2F57D9"/>
    <w:rsid w:val="3F496E12"/>
    <w:rsid w:val="3F5605BF"/>
    <w:rsid w:val="3F5D6B08"/>
    <w:rsid w:val="3F656CDA"/>
    <w:rsid w:val="3F6A5E19"/>
    <w:rsid w:val="3F7153F9"/>
    <w:rsid w:val="3F721A4B"/>
    <w:rsid w:val="3F7A2500"/>
    <w:rsid w:val="3F982986"/>
    <w:rsid w:val="3FA4132B"/>
    <w:rsid w:val="3FC45529"/>
    <w:rsid w:val="3FC76DC7"/>
    <w:rsid w:val="3FD60D85"/>
    <w:rsid w:val="3FE931E1"/>
    <w:rsid w:val="40026051"/>
    <w:rsid w:val="40034B6B"/>
    <w:rsid w:val="400D2E72"/>
    <w:rsid w:val="4026121E"/>
    <w:rsid w:val="4034093F"/>
    <w:rsid w:val="40366CC8"/>
    <w:rsid w:val="403864D4"/>
    <w:rsid w:val="403D58D5"/>
    <w:rsid w:val="403E79A1"/>
    <w:rsid w:val="406B1E48"/>
    <w:rsid w:val="406F03D5"/>
    <w:rsid w:val="407F58F4"/>
    <w:rsid w:val="40A47108"/>
    <w:rsid w:val="40AB493B"/>
    <w:rsid w:val="40B807C5"/>
    <w:rsid w:val="40C31C84"/>
    <w:rsid w:val="40CC521B"/>
    <w:rsid w:val="40D07EFD"/>
    <w:rsid w:val="40DE261A"/>
    <w:rsid w:val="40E65973"/>
    <w:rsid w:val="40ED4F53"/>
    <w:rsid w:val="41013260"/>
    <w:rsid w:val="410A1661"/>
    <w:rsid w:val="411B386E"/>
    <w:rsid w:val="412F65D1"/>
    <w:rsid w:val="415154E1"/>
    <w:rsid w:val="415E14BF"/>
    <w:rsid w:val="416D658D"/>
    <w:rsid w:val="416E5FE4"/>
    <w:rsid w:val="416F68D8"/>
    <w:rsid w:val="41753E74"/>
    <w:rsid w:val="418C5531"/>
    <w:rsid w:val="41923405"/>
    <w:rsid w:val="41970A1B"/>
    <w:rsid w:val="41A33D4E"/>
    <w:rsid w:val="41A575DC"/>
    <w:rsid w:val="41B14061"/>
    <w:rsid w:val="41B16896"/>
    <w:rsid w:val="41B34C1F"/>
    <w:rsid w:val="41C912ED"/>
    <w:rsid w:val="41D62409"/>
    <w:rsid w:val="41D8350E"/>
    <w:rsid w:val="41EA3241"/>
    <w:rsid w:val="41F145CF"/>
    <w:rsid w:val="41FD7266"/>
    <w:rsid w:val="422809DD"/>
    <w:rsid w:val="422A2DBE"/>
    <w:rsid w:val="4243382E"/>
    <w:rsid w:val="424356BE"/>
    <w:rsid w:val="425F3156"/>
    <w:rsid w:val="42644DA1"/>
    <w:rsid w:val="426B25D4"/>
    <w:rsid w:val="427505E4"/>
    <w:rsid w:val="427B2F84"/>
    <w:rsid w:val="427F1BDB"/>
    <w:rsid w:val="428C60A6"/>
    <w:rsid w:val="42980EEF"/>
    <w:rsid w:val="429C09DF"/>
    <w:rsid w:val="42A04F26"/>
    <w:rsid w:val="42A15FF5"/>
    <w:rsid w:val="42A94EAA"/>
    <w:rsid w:val="42B025EA"/>
    <w:rsid w:val="42B9333F"/>
    <w:rsid w:val="42D23402"/>
    <w:rsid w:val="42E87780"/>
    <w:rsid w:val="42F02AD9"/>
    <w:rsid w:val="42F8264A"/>
    <w:rsid w:val="430622FC"/>
    <w:rsid w:val="43104F29"/>
    <w:rsid w:val="43244531"/>
    <w:rsid w:val="43326C4D"/>
    <w:rsid w:val="4341000B"/>
    <w:rsid w:val="434C6300"/>
    <w:rsid w:val="436D5ED7"/>
    <w:rsid w:val="43731E93"/>
    <w:rsid w:val="437877C1"/>
    <w:rsid w:val="4383394D"/>
    <w:rsid w:val="438576C5"/>
    <w:rsid w:val="438C2802"/>
    <w:rsid w:val="43964332"/>
    <w:rsid w:val="43A01E09"/>
    <w:rsid w:val="43A10CDC"/>
    <w:rsid w:val="43AC34F3"/>
    <w:rsid w:val="43B42DEF"/>
    <w:rsid w:val="43B71FC6"/>
    <w:rsid w:val="43E3453C"/>
    <w:rsid w:val="43E91A02"/>
    <w:rsid w:val="43EA4F05"/>
    <w:rsid w:val="43EF2D90"/>
    <w:rsid w:val="43F74DFF"/>
    <w:rsid w:val="43FD7C55"/>
    <w:rsid w:val="44022AC4"/>
    <w:rsid w:val="44024CD6"/>
    <w:rsid w:val="44075192"/>
    <w:rsid w:val="441501A5"/>
    <w:rsid w:val="441D339D"/>
    <w:rsid w:val="442B201A"/>
    <w:rsid w:val="443479B6"/>
    <w:rsid w:val="44497604"/>
    <w:rsid w:val="44501A81"/>
    <w:rsid w:val="44641089"/>
    <w:rsid w:val="4475754E"/>
    <w:rsid w:val="448654A3"/>
    <w:rsid w:val="448F316F"/>
    <w:rsid w:val="4496320C"/>
    <w:rsid w:val="44976BAA"/>
    <w:rsid w:val="44B57B36"/>
    <w:rsid w:val="44C30DC2"/>
    <w:rsid w:val="44CD22D6"/>
    <w:rsid w:val="44DA134B"/>
    <w:rsid w:val="44DC1567"/>
    <w:rsid w:val="44DF4BB3"/>
    <w:rsid w:val="44E24BED"/>
    <w:rsid w:val="44F6229C"/>
    <w:rsid w:val="44FB7675"/>
    <w:rsid w:val="450665E4"/>
    <w:rsid w:val="45066DEA"/>
    <w:rsid w:val="45130945"/>
    <w:rsid w:val="452A0524"/>
    <w:rsid w:val="45554E75"/>
    <w:rsid w:val="455B164D"/>
    <w:rsid w:val="45631FCB"/>
    <w:rsid w:val="45660E30"/>
    <w:rsid w:val="456F14C8"/>
    <w:rsid w:val="45717E03"/>
    <w:rsid w:val="45737B49"/>
    <w:rsid w:val="45772A5A"/>
    <w:rsid w:val="45790B64"/>
    <w:rsid w:val="457933AD"/>
    <w:rsid w:val="45800144"/>
    <w:rsid w:val="45864B7E"/>
    <w:rsid w:val="45B05BAB"/>
    <w:rsid w:val="45C02C36"/>
    <w:rsid w:val="45C35E40"/>
    <w:rsid w:val="45CD0EAF"/>
    <w:rsid w:val="45F96F2A"/>
    <w:rsid w:val="460074D7"/>
    <w:rsid w:val="460F771A"/>
    <w:rsid w:val="461C402C"/>
    <w:rsid w:val="461D5993"/>
    <w:rsid w:val="461F5BAF"/>
    <w:rsid w:val="462A456B"/>
    <w:rsid w:val="46345C8C"/>
    <w:rsid w:val="465869CB"/>
    <w:rsid w:val="465B295F"/>
    <w:rsid w:val="467A75C4"/>
    <w:rsid w:val="467C7B18"/>
    <w:rsid w:val="46A61E2C"/>
    <w:rsid w:val="46B502C1"/>
    <w:rsid w:val="46B743EF"/>
    <w:rsid w:val="46C73B5B"/>
    <w:rsid w:val="46D67EE8"/>
    <w:rsid w:val="46DD31D7"/>
    <w:rsid w:val="46E84622"/>
    <w:rsid w:val="46F73DC3"/>
    <w:rsid w:val="46FE4798"/>
    <w:rsid w:val="4703102D"/>
    <w:rsid w:val="470368E9"/>
    <w:rsid w:val="47036F8C"/>
    <w:rsid w:val="470B1C8F"/>
    <w:rsid w:val="471C7F42"/>
    <w:rsid w:val="471E0654"/>
    <w:rsid w:val="47213261"/>
    <w:rsid w:val="472B0583"/>
    <w:rsid w:val="472C212E"/>
    <w:rsid w:val="47376F28"/>
    <w:rsid w:val="474653BD"/>
    <w:rsid w:val="47507FEA"/>
    <w:rsid w:val="475F3D89"/>
    <w:rsid w:val="477E06B3"/>
    <w:rsid w:val="47971775"/>
    <w:rsid w:val="47980106"/>
    <w:rsid w:val="47A04ACD"/>
    <w:rsid w:val="47A345BE"/>
    <w:rsid w:val="47BA5463"/>
    <w:rsid w:val="47BA65D6"/>
    <w:rsid w:val="47C167F2"/>
    <w:rsid w:val="47C54534"/>
    <w:rsid w:val="47D91D8D"/>
    <w:rsid w:val="47E0136E"/>
    <w:rsid w:val="47F941DE"/>
    <w:rsid w:val="4800556C"/>
    <w:rsid w:val="4801687E"/>
    <w:rsid w:val="480762A7"/>
    <w:rsid w:val="480C2163"/>
    <w:rsid w:val="480C3F44"/>
    <w:rsid w:val="480C5CBF"/>
    <w:rsid w:val="48221986"/>
    <w:rsid w:val="482E4459"/>
    <w:rsid w:val="483F3CF7"/>
    <w:rsid w:val="483F729A"/>
    <w:rsid w:val="48435F9F"/>
    <w:rsid w:val="485378D7"/>
    <w:rsid w:val="485811E2"/>
    <w:rsid w:val="48641285"/>
    <w:rsid w:val="486E4FD1"/>
    <w:rsid w:val="48704DF7"/>
    <w:rsid w:val="487658C6"/>
    <w:rsid w:val="488579FD"/>
    <w:rsid w:val="48900224"/>
    <w:rsid w:val="48914416"/>
    <w:rsid w:val="48981C49"/>
    <w:rsid w:val="489A514C"/>
    <w:rsid w:val="48A24875"/>
    <w:rsid w:val="48B171B1"/>
    <w:rsid w:val="48C60564"/>
    <w:rsid w:val="48DA2BBD"/>
    <w:rsid w:val="48E16582"/>
    <w:rsid w:val="48EC2FFE"/>
    <w:rsid w:val="49010BDC"/>
    <w:rsid w:val="49115557"/>
    <w:rsid w:val="49331971"/>
    <w:rsid w:val="49441489"/>
    <w:rsid w:val="497A3D4B"/>
    <w:rsid w:val="497E0455"/>
    <w:rsid w:val="49935F6C"/>
    <w:rsid w:val="49A2349F"/>
    <w:rsid w:val="49A25AE4"/>
    <w:rsid w:val="49B8082A"/>
    <w:rsid w:val="49B93365"/>
    <w:rsid w:val="49C66341"/>
    <w:rsid w:val="49CF51F6"/>
    <w:rsid w:val="49EC224C"/>
    <w:rsid w:val="49FB2207"/>
    <w:rsid w:val="49FF6116"/>
    <w:rsid w:val="4A056571"/>
    <w:rsid w:val="4A0B1FA6"/>
    <w:rsid w:val="4A0C6E57"/>
    <w:rsid w:val="4A1E5E6E"/>
    <w:rsid w:val="4A21588F"/>
    <w:rsid w:val="4A306BB8"/>
    <w:rsid w:val="4A371147"/>
    <w:rsid w:val="4A4217FA"/>
    <w:rsid w:val="4A4B1577"/>
    <w:rsid w:val="4A4C58F9"/>
    <w:rsid w:val="4A4D6DAB"/>
    <w:rsid w:val="4A783AE0"/>
    <w:rsid w:val="4A784C76"/>
    <w:rsid w:val="4A7D46AD"/>
    <w:rsid w:val="4A8A690F"/>
    <w:rsid w:val="4A9A1860"/>
    <w:rsid w:val="4A9B33D5"/>
    <w:rsid w:val="4AA246B9"/>
    <w:rsid w:val="4AA258AB"/>
    <w:rsid w:val="4AA32AFD"/>
    <w:rsid w:val="4AAA5C63"/>
    <w:rsid w:val="4AAC5537"/>
    <w:rsid w:val="4AB5517C"/>
    <w:rsid w:val="4AC3563E"/>
    <w:rsid w:val="4ACA3C0F"/>
    <w:rsid w:val="4ADE0156"/>
    <w:rsid w:val="4ADF76BB"/>
    <w:rsid w:val="4AE0584D"/>
    <w:rsid w:val="4AE64EED"/>
    <w:rsid w:val="4AFD2F7E"/>
    <w:rsid w:val="4B001058"/>
    <w:rsid w:val="4B077C9A"/>
    <w:rsid w:val="4B0F7D5B"/>
    <w:rsid w:val="4B165A7F"/>
    <w:rsid w:val="4B3A3171"/>
    <w:rsid w:val="4B3A470A"/>
    <w:rsid w:val="4B545E79"/>
    <w:rsid w:val="4B626DA5"/>
    <w:rsid w:val="4B7B168A"/>
    <w:rsid w:val="4B7F0E9E"/>
    <w:rsid w:val="4B8115B5"/>
    <w:rsid w:val="4B812C5B"/>
    <w:rsid w:val="4B9B1C17"/>
    <w:rsid w:val="4B9F58B7"/>
    <w:rsid w:val="4BA20023"/>
    <w:rsid w:val="4BA33252"/>
    <w:rsid w:val="4BCB40E3"/>
    <w:rsid w:val="4BD80222"/>
    <w:rsid w:val="4BDD6323"/>
    <w:rsid w:val="4BE331DB"/>
    <w:rsid w:val="4BEA4569"/>
    <w:rsid w:val="4BED22AB"/>
    <w:rsid w:val="4BED36FB"/>
    <w:rsid w:val="4BFE1DC3"/>
    <w:rsid w:val="4C141150"/>
    <w:rsid w:val="4C16000F"/>
    <w:rsid w:val="4C1E5E4A"/>
    <w:rsid w:val="4C4D769E"/>
    <w:rsid w:val="4C5440D8"/>
    <w:rsid w:val="4C5E0AB3"/>
    <w:rsid w:val="4C5E4F57"/>
    <w:rsid w:val="4C62549A"/>
    <w:rsid w:val="4C67342E"/>
    <w:rsid w:val="4C7C096F"/>
    <w:rsid w:val="4C93137D"/>
    <w:rsid w:val="4C941E71"/>
    <w:rsid w:val="4C955487"/>
    <w:rsid w:val="4CAE37E9"/>
    <w:rsid w:val="4CBB312B"/>
    <w:rsid w:val="4CCE79E7"/>
    <w:rsid w:val="4CEA2347"/>
    <w:rsid w:val="4D0478AD"/>
    <w:rsid w:val="4D055D88"/>
    <w:rsid w:val="4D0B5439"/>
    <w:rsid w:val="4D184B40"/>
    <w:rsid w:val="4D211275"/>
    <w:rsid w:val="4D297313"/>
    <w:rsid w:val="4D363D79"/>
    <w:rsid w:val="4D4B68FB"/>
    <w:rsid w:val="4D673998"/>
    <w:rsid w:val="4D7F1B19"/>
    <w:rsid w:val="4D8275D1"/>
    <w:rsid w:val="4D8825B5"/>
    <w:rsid w:val="4D904A3F"/>
    <w:rsid w:val="4DA76D62"/>
    <w:rsid w:val="4DA8648A"/>
    <w:rsid w:val="4DC25072"/>
    <w:rsid w:val="4DDD5C32"/>
    <w:rsid w:val="4DE928EF"/>
    <w:rsid w:val="4DED625E"/>
    <w:rsid w:val="4DFC4A28"/>
    <w:rsid w:val="4E014268"/>
    <w:rsid w:val="4E140243"/>
    <w:rsid w:val="4E2122C2"/>
    <w:rsid w:val="4E2C1713"/>
    <w:rsid w:val="4E4361B3"/>
    <w:rsid w:val="4E507709"/>
    <w:rsid w:val="4E593C28"/>
    <w:rsid w:val="4E5E22AD"/>
    <w:rsid w:val="4E5E3241"/>
    <w:rsid w:val="4E6673B5"/>
    <w:rsid w:val="4E7740AE"/>
    <w:rsid w:val="4E8D742E"/>
    <w:rsid w:val="4EA572FD"/>
    <w:rsid w:val="4EAE40A9"/>
    <w:rsid w:val="4EBC7D57"/>
    <w:rsid w:val="4EBD41B7"/>
    <w:rsid w:val="4EBE3A8B"/>
    <w:rsid w:val="4EC70B92"/>
    <w:rsid w:val="4EC866B8"/>
    <w:rsid w:val="4ECF154B"/>
    <w:rsid w:val="4ED80FF1"/>
    <w:rsid w:val="4ED9708C"/>
    <w:rsid w:val="4EE248BC"/>
    <w:rsid w:val="4EF15C0F"/>
    <w:rsid w:val="4EFA44D9"/>
    <w:rsid w:val="4F0516BA"/>
    <w:rsid w:val="4F093DB8"/>
    <w:rsid w:val="4F0B7662"/>
    <w:rsid w:val="4F281560"/>
    <w:rsid w:val="4F38383D"/>
    <w:rsid w:val="4F440434"/>
    <w:rsid w:val="4F49248E"/>
    <w:rsid w:val="4F7609C0"/>
    <w:rsid w:val="4F764366"/>
    <w:rsid w:val="4FA7451F"/>
    <w:rsid w:val="4FB2206C"/>
    <w:rsid w:val="4FBB4FC5"/>
    <w:rsid w:val="4FC86BD9"/>
    <w:rsid w:val="4FD03A76"/>
    <w:rsid w:val="4FE14F29"/>
    <w:rsid w:val="4FE94B38"/>
    <w:rsid w:val="4FF80B06"/>
    <w:rsid w:val="4FFA6D45"/>
    <w:rsid w:val="50057B77"/>
    <w:rsid w:val="50084FB8"/>
    <w:rsid w:val="500A204E"/>
    <w:rsid w:val="501716A5"/>
    <w:rsid w:val="50185CC5"/>
    <w:rsid w:val="501C4F0D"/>
    <w:rsid w:val="5025088B"/>
    <w:rsid w:val="502838B2"/>
    <w:rsid w:val="502A6AF6"/>
    <w:rsid w:val="503F0BFC"/>
    <w:rsid w:val="504A7CCC"/>
    <w:rsid w:val="504D4812"/>
    <w:rsid w:val="50571691"/>
    <w:rsid w:val="50591CBD"/>
    <w:rsid w:val="505A5524"/>
    <w:rsid w:val="50780BF8"/>
    <w:rsid w:val="507A605D"/>
    <w:rsid w:val="507F724A"/>
    <w:rsid w:val="50AD7398"/>
    <w:rsid w:val="50EC2B32"/>
    <w:rsid w:val="50F25C6E"/>
    <w:rsid w:val="51154BFB"/>
    <w:rsid w:val="51183927"/>
    <w:rsid w:val="51257DF2"/>
    <w:rsid w:val="51307D62"/>
    <w:rsid w:val="5131663C"/>
    <w:rsid w:val="5132492A"/>
    <w:rsid w:val="513E3A14"/>
    <w:rsid w:val="51466278"/>
    <w:rsid w:val="51515016"/>
    <w:rsid w:val="515B7CB7"/>
    <w:rsid w:val="515D7C9E"/>
    <w:rsid w:val="515E5F51"/>
    <w:rsid w:val="516B625C"/>
    <w:rsid w:val="51805A0B"/>
    <w:rsid w:val="518B6524"/>
    <w:rsid w:val="519805C3"/>
    <w:rsid w:val="51986815"/>
    <w:rsid w:val="519F59E5"/>
    <w:rsid w:val="51AB6208"/>
    <w:rsid w:val="51B54E73"/>
    <w:rsid w:val="51B7529F"/>
    <w:rsid w:val="51D535C6"/>
    <w:rsid w:val="51EC090F"/>
    <w:rsid w:val="51FB3D3A"/>
    <w:rsid w:val="52036385"/>
    <w:rsid w:val="520A3291"/>
    <w:rsid w:val="520D1A2D"/>
    <w:rsid w:val="521F6814"/>
    <w:rsid w:val="522B1438"/>
    <w:rsid w:val="523440A8"/>
    <w:rsid w:val="523F4EE3"/>
    <w:rsid w:val="52420B60"/>
    <w:rsid w:val="52481FEA"/>
    <w:rsid w:val="52566B8F"/>
    <w:rsid w:val="52635075"/>
    <w:rsid w:val="526414E3"/>
    <w:rsid w:val="5269386D"/>
    <w:rsid w:val="52754DA9"/>
    <w:rsid w:val="52797C9E"/>
    <w:rsid w:val="52822E41"/>
    <w:rsid w:val="528C28B3"/>
    <w:rsid w:val="52903990"/>
    <w:rsid w:val="52A511EA"/>
    <w:rsid w:val="52A94F25"/>
    <w:rsid w:val="52AE6A74"/>
    <w:rsid w:val="52B4142D"/>
    <w:rsid w:val="52B94DB3"/>
    <w:rsid w:val="52BF1C0E"/>
    <w:rsid w:val="52C308EE"/>
    <w:rsid w:val="52F65EE9"/>
    <w:rsid w:val="53023F62"/>
    <w:rsid w:val="53076682"/>
    <w:rsid w:val="53165C44"/>
    <w:rsid w:val="53227120"/>
    <w:rsid w:val="532B056B"/>
    <w:rsid w:val="533B1BB0"/>
    <w:rsid w:val="535D1AC5"/>
    <w:rsid w:val="538648F5"/>
    <w:rsid w:val="53890B0C"/>
    <w:rsid w:val="53B20651"/>
    <w:rsid w:val="53BA0524"/>
    <w:rsid w:val="53C77E94"/>
    <w:rsid w:val="53CD013B"/>
    <w:rsid w:val="53E56F94"/>
    <w:rsid w:val="53EA0E7E"/>
    <w:rsid w:val="53EE6BC1"/>
    <w:rsid w:val="543259D6"/>
    <w:rsid w:val="543D5452"/>
    <w:rsid w:val="544C203B"/>
    <w:rsid w:val="544D7D8B"/>
    <w:rsid w:val="545149A4"/>
    <w:rsid w:val="5455279C"/>
    <w:rsid w:val="546073CE"/>
    <w:rsid w:val="54686973"/>
    <w:rsid w:val="546E7D01"/>
    <w:rsid w:val="548B25AF"/>
    <w:rsid w:val="5490050F"/>
    <w:rsid w:val="5495637B"/>
    <w:rsid w:val="54B94928"/>
    <w:rsid w:val="54BA568B"/>
    <w:rsid w:val="54C811C0"/>
    <w:rsid w:val="54DB7182"/>
    <w:rsid w:val="54FF3EA3"/>
    <w:rsid w:val="55202DAA"/>
    <w:rsid w:val="552F597B"/>
    <w:rsid w:val="55322ADD"/>
    <w:rsid w:val="55412274"/>
    <w:rsid w:val="55524F2D"/>
    <w:rsid w:val="555267D0"/>
    <w:rsid w:val="555479FB"/>
    <w:rsid w:val="55674DA8"/>
    <w:rsid w:val="556E6D05"/>
    <w:rsid w:val="55901705"/>
    <w:rsid w:val="55913CA7"/>
    <w:rsid w:val="55963C06"/>
    <w:rsid w:val="559B68D4"/>
    <w:rsid w:val="55AE4859"/>
    <w:rsid w:val="55C609B7"/>
    <w:rsid w:val="55DB4F23"/>
    <w:rsid w:val="55E0141B"/>
    <w:rsid w:val="561A437B"/>
    <w:rsid w:val="561B54FD"/>
    <w:rsid w:val="56244B1C"/>
    <w:rsid w:val="562F2D5D"/>
    <w:rsid w:val="56331B2A"/>
    <w:rsid w:val="56420EB5"/>
    <w:rsid w:val="564C5E20"/>
    <w:rsid w:val="56501B9C"/>
    <w:rsid w:val="56563ADF"/>
    <w:rsid w:val="56674591"/>
    <w:rsid w:val="56685649"/>
    <w:rsid w:val="566B44F9"/>
    <w:rsid w:val="56775A2E"/>
    <w:rsid w:val="568277C4"/>
    <w:rsid w:val="56991B4E"/>
    <w:rsid w:val="569F23F4"/>
    <w:rsid w:val="56BC6B02"/>
    <w:rsid w:val="56CC7180"/>
    <w:rsid w:val="56D62757"/>
    <w:rsid w:val="56DE0C02"/>
    <w:rsid w:val="56E204A4"/>
    <w:rsid w:val="56EA5A26"/>
    <w:rsid w:val="56FF7DD0"/>
    <w:rsid w:val="57067F1C"/>
    <w:rsid w:val="57610B9F"/>
    <w:rsid w:val="5766195C"/>
    <w:rsid w:val="576D604E"/>
    <w:rsid w:val="57723665"/>
    <w:rsid w:val="57790B90"/>
    <w:rsid w:val="577A669A"/>
    <w:rsid w:val="578B0F71"/>
    <w:rsid w:val="57925AB5"/>
    <w:rsid w:val="57AA3376"/>
    <w:rsid w:val="57D936E4"/>
    <w:rsid w:val="57DC3341"/>
    <w:rsid w:val="57DF7AC4"/>
    <w:rsid w:val="57E9430B"/>
    <w:rsid w:val="57EA1BC8"/>
    <w:rsid w:val="57F54779"/>
    <w:rsid w:val="58112772"/>
    <w:rsid w:val="58240E03"/>
    <w:rsid w:val="583118B4"/>
    <w:rsid w:val="583425CA"/>
    <w:rsid w:val="583716E0"/>
    <w:rsid w:val="583A6878"/>
    <w:rsid w:val="585D60C3"/>
    <w:rsid w:val="5863073B"/>
    <w:rsid w:val="5864359A"/>
    <w:rsid w:val="58871392"/>
    <w:rsid w:val="588B0E82"/>
    <w:rsid w:val="588B2C30"/>
    <w:rsid w:val="589715D5"/>
    <w:rsid w:val="589934C0"/>
    <w:rsid w:val="58B02697"/>
    <w:rsid w:val="58C63C68"/>
    <w:rsid w:val="58C919AA"/>
    <w:rsid w:val="58D04603"/>
    <w:rsid w:val="58E63B96"/>
    <w:rsid w:val="58E879C2"/>
    <w:rsid w:val="58F033DB"/>
    <w:rsid w:val="58F307D5"/>
    <w:rsid w:val="590F3861"/>
    <w:rsid w:val="59165591"/>
    <w:rsid w:val="591846FB"/>
    <w:rsid w:val="591E1CF6"/>
    <w:rsid w:val="59290C83"/>
    <w:rsid w:val="59311096"/>
    <w:rsid w:val="59420F25"/>
    <w:rsid w:val="5948548D"/>
    <w:rsid w:val="5960314C"/>
    <w:rsid w:val="59633BAD"/>
    <w:rsid w:val="59960F02"/>
    <w:rsid w:val="599C29D1"/>
    <w:rsid w:val="599F20BC"/>
    <w:rsid w:val="59A57D21"/>
    <w:rsid w:val="59BC2A15"/>
    <w:rsid w:val="59C0733C"/>
    <w:rsid w:val="59C4289D"/>
    <w:rsid w:val="59C52172"/>
    <w:rsid w:val="59CA7788"/>
    <w:rsid w:val="59D52CBB"/>
    <w:rsid w:val="59D93E6F"/>
    <w:rsid w:val="59DB3694"/>
    <w:rsid w:val="59DD7435"/>
    <w:rsid w:val="59E71C58"/>
    <w:rsid w:val="59F859B5"/>
    <w:rsid w:val="59F90D5A"/>
    <w:rsid w:val="59FA7000"/>
    <w:rsid w:val="5A0F163F"/>
    <w:rsid w:val="5A112329"/>
    <w:rsid w:val="5A321B74"/>
    <w:rsid w:val="5A3F3A8D"/>
    <w:rsid w:val="5A5D0F6B"/>
    <w:rsid w:val="5A6133E3"/>
    <w:rsid w:val="5A6E1702"/>
    <w:rsid w:val="5A7643EA"/>
    <w:rsid w:val="5A8B33BB"/>
    <w:rsid w:val="5AAD6E5B"/>
    <w:rsid w:val="5AB10299"/>
    <w:rsid w:val="5AB973DB"/>
    <w:rsid w:val="5AD93865"/>
    <w:rsid w:val="5AF854CA"/>
    <w:rsid w:val="5B056A51"/>
    <w:rsid w:val="5B253305"/>
    <w:rsid w:val="5B427BA8"/>
    <w:rsid w:val="5B445318"/>
    <w:rsid w:val="5B516BD5"/>
    <w:rsid w:val="5B6A0175"/>
    <w:rsid w:val="5B7420A1"/>
    <w:rsid w:val="5B89601B"/>
    <w:rsid w:val="5B8A71CF"/>
    <w:rsid w:val="5B965A05"/>
    <w:rsid w:val="5B97277E"/>
    <w:rsid w:val="5BA364E3"/>
    <w:rsid w:val="5BA95605"/>
    <w:rsid w:val="5BAA7871"/>
    <w:rsid w:val="5BD26DC8"/>
    <w:rsid w:val="5BDC5DF3"/>
    <w:rsid w:val="5BED775E"/>
    <w:rsid w:val="5BEF797A"/>
    <w:rsid w:val="5BF925A6"/>
    <w:rsid w:val="5BF94355"/>
    <w:rsid w:val="5BFD37F6"/>
    <w:rsid w:val="5C1473E0"/>
    <w:rsid w:val="5C2100CD"/>
    <w:rsid w:val="5C252DC5"/>
    <w:rsid w:val="5C337866"/>
    <w:rsid w:val="5C36795D"/>
    <w:rsid w:val="5C424B3A"/>
    <w:rsid w:val="5C4F4DB5"/>
    <w:rsid w:val="5C56223A"/>
    <w:rsid w:val="5C735EB5"/>
    <w:rsid w:val="5C7B1246"/>
    <w:rsid w:val="5CB0535B"/>
    <w:rsid w:val="5CB91629"/>
    <w:rsid w:val="5CC17396"/>
    <w:rsid w:val="5CC74453"/>
    <w:rsid w:val="5CCC1A69"/>
    <w:rsid w:val="5CCE57E1"/>
    <w:rsid w:val="5CD34BA6"/>
    <w:rsid w:val="5CD56B70"/>
    <w:rsid w:val="5CDB06F3"/>
    <w:rsid w:val="5CF71875"/>
    <w:rsid w:val="5CF87643"/>
    <w:rsid w:val="5D010639"/>
    <w:rsid w:val="5D0778E6"/>
    <w:rsid w:val="5D094A6B"/>
    <w:rsid w:val="5D143446"/>
    <w:rsid w:val="5D213B63"/>
    <w:rsid w:val="5D3E333B"/>
    <w:rsid w:val="5D3F048D"/>
    <w:rsid w:val="5D3F1E22"/>
    <w:rsid w:val="5D4D6706"/>
    <w:rsid w:val="5D50269A"/>
    <w:rsid w:val="5D59154F"/>
    <w:rsid w:val="5D645228"/>
    <w:rsid w:val="5D6D6DA8"/>
    <w:rsid w:val="5D757A69"/>
    <w:rsid w:val="5D7C5EAE"/>
    <w:rsid w:val="5D8008C5"/>
    <w:rsid w:val="5D89115D"/>
    <w:rsid w:val="5D891708"/>
    <w:rsid w:val="5D8C2DD2"/>
    <w:rsid w:val="5D9A3915"/>
    <w:rsid w:val="5DA35731"/>
    <w:rsid w:val="5DB03139"/>
    <w:rsid w:val="5DB669A1"/>
    <w:rsid w:val="5DD230AF"/>
    <w:rsid w:val="5DD5494D"/>
    <w:rsid w:val="5DDE6F83"/>
    <w:rsid w:val="5DEC4171"/>
    <w:rsid w:val="5DF12811"/>
    <w:rsid w:val="5E0846F2"/>
    <w:rsid w:val="5E1614EB"/>
    <w:rsid w:val="5E192A8C"/>
    <w:rsid w:val="5E211B34"/>
    <w:rsid w:val="5E2F29E1"/>
    <w:rsid w:val="5E381067"/>
    <w:rsid w:val="5E3E24F3"/>
    <w:rsid w:val="5E3E55FC"/>
    <w:rsid w:val="5E431D24"/>
    <w:rsid w:val="5E525F9E"/>
    <w:rsid w:val="5E5646F0"/>
    <w:rsid w:val="5E620763"/>
    <w:rsid w:val="5E622685"/>
    <w:rsid w:val="5E652175"/>
    <w:rsid w:val="5E7D301B"/>
    <w:rsid w:val="5E7E6D93"/>
    <w:rsid w:val="5EA44A4C"/>
    <w:rsid w:val="5EA7453C"/>
    <w:rsid w:val="5EAB36DD"/>
    <w:rsid w:val="5EAF507D"/>
    <w:rsid w:val="5EB5671E"/>
    <w:rsid w:val="5EB804F7"/>
    <w:rsid w:val="5EBA04E1"/>
    <w:rsid w:val="5ECF6556"/>
    <w:rsid w:val="5EDC7B74"/>
    <w:rsid w:val="5EF53BDF"/>
    <w:rsid w:val="5EFF7ED4"/>
    <w:rsid w:val="5F0454EA"/>
    <w:rsid w:val="5F0F007C"/>
    <w:rsid w:val="5F1C2834"/>
    <w:rsid w:val="5F1D65AC"/>
    <w:rsid w:val="5F242ED4"/>
    <w:rsid w:val="5F3205AD"/>
    <w:rsid w:val="5F473629"/>
    <w:rsid w:val="5F61293D"/>
    <w:rsid w:val="5F613302"/>
    <w:rsid w:val="5F864151"/>
    <w:rsid w:val="5F8D54E0"/>
    <w:rsid w:val="5FA77C77"/>
    <w:rsid w:val="5FB077A1"/>
    <w:rsid w:val="5FE07D05"/>
    <w:rsid w:val="5FF14A08"/>
    <w:rsid w:val="5FF90233"/>
    <w:rsid w:val="5FFE20F7"/>
    <w:rsid w:val="5FFE63DD"/>
    <w:rsid w:val="600F690F"/>
    <w:rsid w:val="602F322A"/>
    <w:rsid w:val="60305848"/>
    <w:rsid w:val="60327E35"/>
    <w:rsid w:val="604A517F"/>
    <w:rsid w:val="60563B24"/>
    <w:rsid w:val="607600E6"/>
    <w:rsid w:val="6080019F"/>
    <w:rsid w:val="60AA20C1"/>
    <w:rsid w:val="60B63A47"/>
    <w:rsid w:val="60D522C2"/>
    <w:rsid w:val="60E43825"/>
    <w:rsid w:val="60EB17E7"/>
    <w:rsid w:val="60F021CA"/>
    <w:rsid w:val="60F8600F"/>
    <w:rsid w:val="6105317C"/>
    <w:rsid w:val="610A2B60"/>
    <w:rsid w:val="61111B40"/>
    <w:rsid w:val="613A52B5"/>
    <w:rsid w:val="613F373E"/>
    <w:rsid w:val="614E5215"/>
    <w:rsid w:val="61581B1D"/>
    <w:rsid w:val="615A7643"/>
    <w:rsid w:val="616C17AB"/>
    <w:rsid w:val="616D4934"/>
    <w:rsid w:val="61706E67"/>
    <w:rsid w:val="617821BF"/>
    <w:rsid w:val="61840B64"/>
    <w:rsid w:val="619D7ADA"/>
    <w:rsid w:val="61A11716"/>
    <w:rsid w:val="61AB75AC"/>
    <w:rsid w:val="61B56F70"/>
    <w:rsid w:val="61BF4C81"/>
    <w:rsid w:val="61C71504"/>
    <w:rsid w:val="61E17D65"/>
    <w:rsid w:val="62035F2D"/>
    <w:rsid w:val="620752CC"/>
    <w:rsid w:val="622268F2"/>
    <w:rsid w:val="622542CF"/>
    <w:rsid w:val="62264891"/>
    <w:rsid w:val="62286FA5"/>
    <w:rsid w:val="623563AE"/>
    <w:rsid w:val="62492EFE"/>
    <w:rsid w:val="624E1071"/>
    <w:rsid w:val="62626B84"/>
    <w:rsid w:val="62637837"/>
    <w:rsid w:val="6267283E"/>
    <w:rsid w:val="62792788"/>
    <w:rsid w:val="627F5127"/>
    <w:rsid w:val="62832086"/>
    <w:rsid w:val="62834FC8"/>
    <w:rsid w:val="62A70270"/>
    <w:rsid w:val="62A710E0"/>
    <w:rsid w:val="62A96AD4"/>
    <w:rsid w:val="62AA63A9"/>
    <w:rsid w:val="62B64D4D"/>
    <w:rsid w:val="62B66AFB"/>
    <w:rsid w:val="62BE466A"/>
    <w:rsid w:val="62D173A3"/>
    <w:rsid w:val="62D7000D"/>
    <w:rsid w:val="62DD052C"/>
    <w:rsid w:val="62F00C50"/>
    <w:rsid w:val="62FD297C"/>
    <w:rsid w:val="630F1249"/>
    <w:rsid w:val="632B1BE2"/>
    <w:rsid w:val="63304B00"/>
    <w:rsid w:val="633826BD"/>
    <w:rsid w:val="633A3BD0"/>
    <w:rsid w:val="633F2F95"/>
    <w:rsid w:val="634501AD"/>
    <w:rsid w:val="63471E49"/>
    <w:rsid w:val="63611187"/>
    <w:rsid w:val="63627A9D"/>
    <w:rsid w:val="63681946"/>
    <w:rsid w:val="636C5CA4"/>
    <w:rsid w:val="637741CD"/>
    <w:rsid w:val="63844E4C"/>
    <w:rsid w:val="639332E1"/>
    <w:rsid w:val="639D3C37"/>
    <w:rsid w:val="63A23524"/>
    <w:rsid w:val="63A728E8"/>
    <w:rsid w:val="63B03E93"/>
    <w:rsid w:val="63B55005"/>
    <w:rsid w:val="63B8042E"/>
    <w:rsid w:val="63BD3EBA"/>
    <w:rsid w:val="63CB65D6"/>
    <w:rsid w:val="63D43074"/>
    <w:rsid w:val="63E86E9F"/>
    <w:rsid w:val="63FF1A0B"/>
    <w:rsid w:val="63FF2724"/>
    <w:rsid w:val="640D60D4"/>
    <w:rsid w:val="641023F3"/>
    <w:rsid w:val="64137F7D"/>
    <w:rsid w:val="646328E5"/>
    <w:rsid w:val="64687935"/>
    <w:rsid w:val="646E036A"/>
    <w:rsid w:val="64B452BD"/>
    <w:rsid w:val="64B77E23"/>
    <w:rsid w:val="64B96D77"/>
    <w:rsid w:val="64BA58DD"/>
    <w:rsid w:val="64C45338"/>
    <w:rsid w:val="64E42046"/>
    <w:rsid w:val="64E627B7"/>
    <w:rsid w:val="64E7519D"/>
    <w:rsid w:val="65191143"/>
    <w:rsid w:val="652561BA"/>
    <w:rsid w:val="65326378"/>
    <w:rsid w:val="653F61C7"/>
    <w:rsid w:val="654B373B"/>
    <w:rsid w:val="655544EF"/>
    <w:rsid w:val="656A38BF"/>
    <w:rsid w:val="657F3B1C"/>
    <w:rsid w:val="65800CE3"/>
    <w:rsid w:val="65864736"/>
    <w:rsid w:val="65881026"/>
    <w:rsid w:val="65927965"/>
    <w:rsid w:val="65A268E1"/>
    <w:rsid w:val="65AD2FA3"/>
    <w:rsid w:val="65BB267B"/>
    <w:rsid w:val="65BD4645"/>
    <w:rsid w:val="65CA232C"/>
    <w:rsid w:val="65D05130"/>
    <w:rsid w:val="65DA6380"/>
    <w:rsid w:val="65DA6FA5"/>
    <w:rsid w:val="65E26A4D"/>
    <w:rsid w:val="65ED7147"/>
    <w:rsid w:val="660B3602"/>
    <w:rsid w:val="66100C18"/>
    <w:rsid w:val="662A20DC"/>
    <w:rsid w:val="662B7800"/>
    <w:rsid w:val="6632293D"/>
    <w:rsid w:val="663A0221"/>
    <w:rsid w:val="66456B14"/>
    <w:rsid w:val="6647366D"/>
    <w:rsid w:val="66535EF2"/>
    <w:rsid w:val="6657146D"/>
    <w:rsid w:val="665A36BC"/>
    <w:rsid w:val="666D7E19"/>
    <w:rsid w:val="66860EDB"/>
    <w:rsid w:val="66901C8E"/>
    <w:rsid w:val="669729F9"/>
    <w:rsid w:val="66C33EDD"/>
    <w:rsid w:val="66D332E6"/>
    <w:rsid w:val="670F766A"/>
    <w:rsid w:val="67163D26"/>
    <w:rsid w:val="671706E9"/>
    <w:rsid w:val="671953E6"/>
    <w:rsid w:val="671B584E"/>
    <w:rsid w:val="6727446C"/>
    <w:rsid w:val="67274D7C"/>
    <w:rsid w:val="67332E10"/>
    <w:rsid w:val="67334BBF"/>
    <w:rsid w:val="673878D7"/>
    <w:rsid w:val="675D1C3B"/>
    <w:rsid w:val="676A327D"/>
    <w:rsid w:val="67700F1C"/>
    <w:rsid w:val="677B0314"/>
    <w:rsid w:val="677B7F39"/>
    <w:rsid w:val="679B6D62"/>
    <w:rsid w:val="67A13263"/>
    <w:rsid w:val="67C40C8C"/>
    <w:rsid w:val="67CC0B6F"/>
    <w:rsid w:val="67D41B8B"/>
    <w:rsid w:val="67E12E48"/>
    <w:rsid w:val="67E94861"/>
    <w:rsid w:val="67F109AB"/>
    <w:rsid w:val="67F6709F"/>
    <w:rsid w:val="68096B6D"/>
    <w:rsid w:val="680D0C87"/>
    <w:rsid w:val="680D387C"/>
    <w:rsid w:val="68142C42"/>
    <w:rsid w:val="682908BE"/>
    <w:rsid w:val="68352E87"/>
    <w:rsid w:val="68374F64"/>
    <w:rsid w:val="683C57F2"/>
    <w:rsid w:val="6849169B"/>
    <w:rsid w:val="686A660B"/>
    <w:rsid w:val="68847A0C"/>
    <w:rsid w:val="689618A9"/>
    <w:rsid w:val="689E42BA"/>
    <w:rsid w:val="68BC762C"/>
    <w:rsid w:val="68BE2BAE"/>
    <w:rsid w:val="68CA68B5"/>
    <w:rsid w:val="68CC52CB"/>
    <w:rsid w:val="68DB74A5"/>
    <w:rsid w:val="68EF720B"/>
    <w:rsid w:val="68FD36D6"/>
    <w:rsid w:val="690D4580"/>
    <w:rsid w:val="690E6278"/>
    <w:rsid w:val="690F51B7"/>
    <w:rsid w:val="69186636"/>
    <w:rsid w:val="69194288"/>
    <w:rsid w:val="69256F0C"/>
    <w:rsid w:val="69456E2B"/>
    <w:rsid w:val="694E2BE2"/>
    <w:rsid w:val="69545323"/>
    <w:rsid w:val="695C7EAF"/>
    <w:rsid w:val="69652A6D"/>
    <w:rsid w:val="696B4E3B"/>
    <w:rsid w:val="696D0F78"/>
    <w:rsid w:val="69766FE4"/>
    <w:rsid w:val="698A2C67"/>
    <w:rsid w:val="699E75B7"/>
    <w:rsid w:val="69A27DD9"/>
    <w:rsid w:val="69A73642"/>
    <w:rsid w:val="69B55600"/>
    <w:rsid w:val="69CC30A8"/>
    <w:rsid w:val="69D275CD"/>
    <w:rsid w:val="69D33990"/>
    <w:rsid w:val="69DF3D94"/>
    <w:rsid w:val="69EC54F9"/>
    <w:rsid w:val="69F055C0"/>
    <w:rsid w:val="6A072E2B"/>
    <w:rsid w:val="6A07714C"/>
    <w:rsid w:val="6A087694"/>
    <w:rsid w:val="6A1F58CE"/>
    <w:rsid w:val="6A211646"/>
    <w:rsid w:val="6A265C29"/>
    <w:rsid w:val="6A361A16"/>
    <w:rsid w:val="6A511EFA"/>
    <w:rsid w:val="6A842F16"/>
    <w:rsid w:val="6AA61E16"/>
    <w:rsid w:val="6AAE03CB"/>
    <w:rsid w:val="6AAF0A00"/>
    <w:rsid w:val="6AB02EC8"/>
    <w:rsid w:val="6AB73D58"/>
    <w:rsid w:val="6ABC136F"/>
    <w:rsid w:val="6AD14E1A"/>
    <w:rsid w:val="6AF86DC4"/>
    <w:rsid w:val="6AFB2955"/>
    <w:rsid w:val="6AFB3C45"/>
    <w:rsid w:val="6B057DDB"/>
    <w:rsid w:val="6B142F59"/>
    <w:rsid w:val="6B2F5666"/>
    <w:rsid w:val="6B3B6738"/>
    <w:rsid w:val="6B405AFC"/>
    <w:rsid w:val="6B4813AC"/>
    <w:rsid w:val="6B50268E"/>
    <w:rsid w:val="6B57393D"/>
    <w:rsid w:val="6B655563"/>
    <w:rsid w:val="6B6712DB"/>
    <w:rsid w:val="6B7C65F4"/>
    <w:rsid w:val="6B9A725A"/>
    <w:rsid w:val="6BA77929"/>
    <w:rsid w:val="6BCE7AAD"/>
    <w:rsid w:val="6BDE4195"/>
    <w:rsid w:val="6BE40B7D"/>
    <w:rsid w:val="6BE4292B"/>
    <w:rsid w:val="6BE74FA5"/>
    <w:rsid w:val="6BEE15B7"/>
    <w:rsid w:val="6BF603DA"/>
    <w:rsid w:val="6C115D8F"/>
    <w:rsid w:val="6C1A459F"/>
    <w:rsid w:val="6C1F325E"/>
    <w:rsid w:val="6C3816AB"/>
    <w:rsid w:val="6C3A254B"/>
    <w:rsid w:val="6C3D64DF"/>
    <w:rsid w:val="6C494E84"/>
    <w:rsid w:val="6C6A6B9C"/>
    <w:rsid w:val="6C847CE7"/>
    <w:rsid w:val="6C8B724B"/>
    <w:rsid w:val="6C9737FE"/>
    <w:rsid w:val="6C9C4FB4"/>
    <w:rsid w:val="6CD104AE"/>
    <w:rsid w:val="6CD504C6"/>
    <w:rsid w:val="6CFA4FE4"/>
    <w:rsid w:val="6CFC3CA5"/>
    <w:rsid w:val="6D0C65D9"/>
    <w:rsid w:val="6D0E34C1"/>
    <w:rsid w:val="6D1643B9"/>
    <w:rsid w:val="6D1972F2"/>
    <w:rsid w:val="6D1E1E6D"/>
    <w:rsid w:val="6D3E6A5C"/>
    <w:rsid w:val="6D4332A9"/>
    <w:rsid w:val="6D4F7D3B"/>
    <w:rsid w:val="6D632886"/>
    <w:rsid w:val="6D7777CF"/>
    <w:rsid w:val="6D7E46BA"/>
    <w:rsid w:val="6D934609"/>
    <w:rsid w:val="6D9503B7"/>
    <w:rsid w:val="6D9F6377"/>
    <w:rsid w:val="6DA71E62"/>
    <w:rsid w:val="6DAB56B5"/>
    <w:rsid w:val="6DBB3B60"/>
    <w:rsid w:val="6DCB7641"/>
    <w:rsid w:val="6DDB3AF1"/>
    <w:rsid w:val="6DE9247B"/>
    <w:rsid w:val="6DED64EA"/>
    <w:rsid w:val="6DEF3809"/>
    <w:rsid w:val="6DEF7365"/>
    <w:rsid w:val="6E107822"/>
    <w:rsid w:val="6E285E4F"/>
    <w:rsid w:val="6E355D52"/>
    <w:rsid w:val="6E42280C"/>
    <w:rsid w:val="6E540DCA"/>
    <w:rsid w:val="6E647D53"/>
    <w:rsid w:val="6EA2087C"/>
    <w:rsid w:val="6EAF63DD"/>
    <w:rsid w:val="6EB42E26"/>
    <w:rsid w:val="6EB67604"/>
    <w:rsid w:val="6EBE163B"/>
    <w:rsid w:val="6ECB4F89"/>
    <w:rsid w:val="6ED14359"/>
    <w:rsid w:val="6EEE3AC1"/>
    <w:rsid w:val="6F084B83"/>
    <w:rsid w:val="6F0D03EB"/>
    <w:rsid w:val="6F173018"/>
    <w:rsid w:val="6F1928EC"/>
    <w:rsid w:val="6F1E7F02"/>
    <w:rsid w:val="6F233BE2"/>
    <w:rsid w:val="6F3E32B0"/>
    <w:rsid w:val="6F4D563D"/>
    <w:rsid w:val="6F5A2F04"/>
    <w:rsid w:val="6F5D6566"/>
    <w:rsid w:val="6F795A80"/>
    <w:rsid w:val="6F80296B"/>
    <w:rsid w:val="6FA0300D"/>
    <w:rsid w:val="6FBC660D"/>
    <w:rsid w:val="6FCB1CED"/>
    <w:rsid w:val="6FDF6DF5"/>
    <w:rsid w:val="6FE07A9C"/>
    <w:rsid w:val="6FE32EFA"/>
    <w:rsid w:val="6FE74798"/>
    <w:rsid w:val="6FF70753"/>
    <w:rsid w:val="700370F8"/>
    <w:rsid w:val="70091063"/>
    <w:rsid w:val="70122199"/>
    <w:rsid w:val="701C374E"/>
    <w:rsid w:val="7038367B"/>
    <w:rsid w:val="703A33D1"/>
    <w:rsid w:val="703A36F6"/>
    <w:rsid w:val="70490180"/>
    <w:rsid w:val="7053092C"/>
    <w:rsid w:val="706059C1"/>
    <w:rsid w:val="7064403B"/>
    <w:rsid w:val="7065127C"/>
    <w:rsid w:val="70684885"/>
    <w:rsid w:val="706A20CB"/>
    <w:rsid w:val="70820965"/>
    <w:rsid w:val="708446DD"/>
    <w:rsid w:val="70853FB1"/>
    <w:rsid w:val="7089769A"/>
    <w:rsid w:val="70932B72"/>
    <w:rsid w:val="70A02B99"/>
    <w:rsid w:val="70AC29A9"/>
    <w:rsid w:val="70AC2E97"/>
    <w:rsid w:val="70CB71C1"/>
    <w:rsid w:val="70E13B38"/>
    <w:rsid w:val="70EC3D9C"/>
    <w:rsid w:val="70FD1E74"/>
    <w:rsid w:val="71036320"/>
    <w:rsid w:val="71066EA0"/>
    <w:rsid w:val="71437225"/>
    <w:rsid w:val="714B51FB"/>
    <w:rsid w:val="71597917"/>
    <w:rsid w:val="716507C2"/>
    <w:rsid w:val="716606ED"/>
    <w:rsid w:val="71752277"/>
    <w:rsid w:val="71A5106C"/>
    <w:rsid w:val="71AF3427"/>
    <w:rsid w:val="71C86AB9"/>
    <w:rsid w:val="71CB5AA2"/>
    <w:rsid w:val="71D058CF"/>
    <w:rsid w:val="71DA31F3"/>
    <w:rsid w:val="71DC40A5"/>
    <w:rsid w:val="71E1714D"/>
    <w:rsid w:val="71E23835"/>
    <w:rsid w:val="71E332B1"/>
    <w:rsid w:val="71EA249C"/>
    <w:rsid w:val="71F200A2"/>
    <w:rsid w:val="71F93223"/>
    <w:rsid w:val="720E69B2"/>
    <w:rsid w:val="721A2556"/>
    <w:rsid w:val="721A575D"/>
    <w:rsid w:val="72253C9E"/>
    <w:rsid w:val="722738F3"/>
    <w:rsid w:val="72456B4B"/>
    <w:rsid w:val="724E4FA2"/>
    <w:rsid w:val="72515E1B"/>
    <w:rsid w:val="725531A4"/>
    <w:rsid w:val="72556025"/>
    <w:rsid w:val="725C58D5"/>
    <w:rsid w:val="726E2F4F"/>
    <w:rsid w:val="727C0BE8"/>
    <w:rsid w:val="72892D0E"/>
    <w:rsid w:val="728A6109"/>
    <w:rsid w:val="72BE56A0"/>
    <w:rsid w:val="72E2292C"/>
    <w:rsid w:val="73012015"/>
    <w:rsid w:val="73245D03"/>
    <w:rsid w:val="733C4DFB"/>
    <w:rsid w:val="734425D4"/>
    <w:rsid w:val="735E347B"/>
    <w:rsid w:val="73722DEC"/>
    <w:rsid w:val="73770529"/>
    <w:rsid w:val="737F7D73"/>
    <w:rsid w:val="738B5D82"/>
    <w:rsid w:val="73905147"/>
    <w:rsid w:val="73964485"/>
    <w:rsid w:val="73970283"/>
    <w:rsid w:val="73984B18"/>
    <w:rsid w:val="739D52C3"/>
    <w:rsid w:val="73A47643"/>
    <w:rsid w:val="73A56E44"/>
    <w:rsid w:val="73AB1F81"/>
    <w:rsid w:val="73B52DFF"/>
    <w:rsid w:val="73DA4287"/>
    <w:rsid w:val="73E26041"/>
    <w:rsid w:val="73E93DBF"/>
    <w:rsid w:val="73ED2599"/>
    <w:rsid w:val="73F32FC1"/>
    <w:rsid w:val="74100036"/>
    <w:rsid w:val="74202449"/>
    <w:rsid w:val="74352F65"/>
    <w:rsid w:val="7439758C"/>
    <w:rsid w:val="745A130C"/>
    <w:rsid w:val="7467234B"/>
    <w:rsid w:val="746A3BEA"/>
    <w:rsid w:val="746B5098"/>
    <w:rsid w:val="74820F33"/>
    <w:rsid w:val="749B3DA3"/>
    <w:rsid w:val="74AE06FF"/>
    <w:rsid w:val="74AE7F7A"/>
    <w:rsid w:val="74B3052B"/>
    <w:rsid w:val="74C0380A"/>
    <w:rsid w:val="74C25606"/>
    <w:rsid w:val="74D20BB4"/>
    <w:rsid w:val="74D774D1"/>
    <w:rsid w:val="74DF0134"/>
    <w:rsid w:val="74F006CD"/>
    <w:rsid w:val="74F040CD"/>
    <w:rsid w:val="74FB2CBE"/>
    <w:rsid w:val="74FD05BA"/>
    <w:rsid w:val="75050D66"/>
    <w:rsid w:val="750A2236"/>
    <w:rsid w:val="750E6C6B"/>
    <w:rsid w:val="751D6EAE"/>
    <w:rsid w:val="75287D2D"/>
    <w:rsid w:val="752D0F1D"/>
    <w:rsid w:val="75341C27"/>
    <w:rsid w:val="753C190E"/>
    <w:rsid w:val="75497CA3"/>
    <w:rsid w:val="75620E5A"/>
    <w:rsid w:val="75654632"/>
    <w:rsid w:val="7568637B"/>
    <w:rsid w:val="756E3266"/>
    <w:rsid w:val="75734D20"/>
    <w:rsid w:val="75742F72"/>
    <w:rsid w:val="757E794D"/>
    <w:rsid w:val="758B30E4"/>
    <w:rsid w:val="75941C96"/>
    <w:rsid w:val="75AF5D58"/>
    <w:rsid w:val="75C031C0"/>
    <w:rsid w:val="75D2417E"/>
    <w:rsid w:val="75F0011F"/>
    <w:rsid w:val="75F123C8"/>
    <w:rsid w:val="75F67D87"/>
    <w:rsid w:val="75F714AD"/>
    <w:rsid w:val="75FF5848"/>
    <w:rsid w:val="760106C6"/>
    <w:rsid w:val="762B1157"/>
    <w:rsid w:val="762E1EE1"/>
    <w:rsid w:val="762F1005"/>
    <w:rsid w:val="764400EE"/>
    <w:rsid w:val="764F2F30"/>
    <w:rsid w:val="7654644B"/>
    <w:rsid w:val="767D0C1F"/>
    <w:rsid w:val="7681190A"/>
    <w:rsid w:val="76932B76"/>
    <w:rsid w:val="769E5DCD"/>
    <w:rsid w:val="76A41635"/>
    <w:rsid w:val="76A45D68"/>
    <w:rsid w:val="76AC04E9"/>
    <w:rsid w:val="76BD44A5"/>
    <w:rsid w:val="76BE2A1F"/>
    <w:rsid w:val="76C269AB"/>
    <w:rsid w:val="76C271E2"/>
    <w:rsid w:val="76C9109B"/>
    <w:rsid w:val="76CB0E3A"/>
    <w:rsid w:val="76DB7BC3"/>
    <w:rsid w:val="76E00193"/>
    <w:rsid w:val="76E1464E"/>
    <w:rsid w:val="76E2125B"/>
    <w:rsid w:val="76E2215D"/>
    <w:rsid w:val="76E5462F"/>
    <w:rsid w:val="76EE3962"/>
    <w:rsid w:val="76F447FC"/>
    <w:rsid w:val="770025E3"/>
    <w:rsid w:val="7711659E"/>
    <w:rsid w:val="7718792D"/>
    <w:rsid w:val="771D13E7"/>
    <w:rsid w:val="772E7C55"/>
    <w:rsid w:val="77435AC3"/>
    <w:rsid w:val="775D574B"/>
    <w:rsid w:val="7765592F"/>
    <w:rsid w:val="776B03F9"/>
    <w:rsid w:val="776E3EBE"/>
    <w:rsid w:val="7787268A"/>
    <w:rsid w:val="778B00FF"/>
    <w:rsid w:val="778D033F"/>
    <w:rsid w:val="77931A6B"/>
    <w:rsid w:val="77A411C1"/>
    <w:rsid w:val="77DD29E6"/>
    <w:rsid w:val="77EC1C10"/>
    <w:rsid w:val="78040838"/>
    <w:rsid w:val="781520BE"/>
    <w:rsid w:val="78211AA7"/>
    <w:rsid w:val="78221AC2"/>
    <w:rsid w:val="783D7E11"/>
    <w:rsid w:val="783E7867"/>
    <w:rsid w:val="784160E3"/>
    <w:rsid w:val="78462278"/>
    <w:rsid w:val="78463F82"/>
    <w:rsid w:val="78492D53"/>
    <w:rsid w:val="784C3351"/>
    <w:rsid w:val="78546082"/>
    <w:rsid w:val="7860158C"/>
    <w:rsid w:val="78694EE1"/>
    <w:rsid w:val="787D213D"/>
    <w:rsid w:val="788435CF"/>
    <w:rsid w:val="7888178F"/>
    <w:rsid w:val="7888534D"/>
    <w:rsid w:val="78966330"/>
    <w:rsid w:val="7897398B"/>
    <w:rsid w:val="78A469AB"/>
    <w:rsid w:val="78AD22F7"/>
    <w:rsid w:val="78CF6711"/>
    <w:rsid w:val="78F24541"/>
    <w:rsid w:val="79022643"/>
    <w:rsid w:val="790A7E38"/>
    <w:rsid w:val="790C414A"/>
    <w:rsid w:val="790D24D6"/>
    <w:rsid w:val="7919798C"/>
    <w:rsid w:val="7925117C"/>
    <w:rsid w:val="792E48C1"/>
    <w:rsid w:val="79302864"/>
    <w:rsid w:val="79425135"/>
    <w:rsid w:val="796048FD"/>
    <w:rsid w:val="796E7D81"/>
    <w:rsid w:val="797E10A6"/>
    <w:rsid w:val="79A2114A"/>
    <w:rsid w:val="79B04FDA"/>
    <w:rsid w:val="79B41377"/>
    <w:rsid w:val="79C00D8F"/>
    <w:rsid w:val="79CE0777"/>
    <w:rsid w:val="79F77CCE"/>
    <w:rsid w:val="7A01700C"/>
    <w:rsid w:val="7A13262E"/>
    <w:rsid w:val="7A1545F8"/>
    <w:rsid w:val="7A1A4EEB"/>
    <w:rsid w:val="7A5A108C"/>
    <w:rsid w:val="7A683450"/>
    <w:rsid w:val="7A715F54"/>
    <w:rsid w:val="7A794B87"/>
    <w:rsid w:val="7A875E89"/>
    <w:rsid w:val="7A9B3AF0"/>
    <w:rsid w:val="7AA552DB"/>
    <w:rsid w:val="7AB249EB"/>
    <w:rsid w:val="7AD4000F"/>
    <w:rsid w:val="7AD50EC2"/>
    <w:rsid w:val="7AD7365B"/>
    <w:rsid w:val="7AF2687B"/>
    <w:rsid w:val="7AF35FAD"/>
    <w:rsid w:val="7B1623D5"/>
    <w:rsid w:val="7B1A7B11"/>
    <w:rsid w:val="7B28350A"/>
    <w:rsid w:val="7B3944B2"/>
    <w:rsid w:val="7B3E3FBF"/>
    <w:rsid w:val="7B3F5E27"/>
    <w:rsid w:val="7B470787"/>
    <w:rsid w:val="7B4A02D1"/>
    <w:rsid w:val="7B4A7639"/>
    <w:rsid w:val="7B615D46"/>
    <w:rsid w:val="7B62386D"/>
    <w:rsid w:val="7B6B32D1"/>
    <w:rsid w:val="7B6E0463"/>
    <w:rsid w:val="7B770C6C"/>
    <w:rsid w:val="7B7E3E42"/>
    <w:rsid w:val="7B8437E3"/>
    <w:rsid w:val="7BA43303"/>
    <w:rsid w:val="7BA83C8F"/>
    <w:rsid w:val="7BB04EDE"/>
    <w:rsid w:val="7BB35E76"/>
    <w:rsid w:val="7BB67714"/>
    <w:rsid w:val="7BC10593"/>
    <w:rsid w:val="7BC43095"/>
    <w:rsid w:val="7BC6669E"/>
    <w:rsid w:val="7BC734D8"/>
    <w:rsid w:val="7BDB001A"/>
    <w:rsid w:val="7BE774D0"/>
    <w:rsid w:val="7BFD106A"/>
    <w:rsid w:val="7C1007F6"/>
    <w:rsid w:val="7C10151B"/>
    <w:rsid w:val="7C140D1D"/>
    <w:rsid w:val="7C2A56B4"/>
    <w:rsid w:val="7C3E5AC6"/>
    <w:rsid w:val="7C507B69"/>
    <w:rsid w:val="7C64405D"/>
    <w:rsid w:val="7C646CCD"/>
    <w:rsid w:val="7C684EB3"/>
    <w:rsid w:val="7C820D84"/>
    <w:rsid w:val="7CA57EB5"/>
    <w:rsid w:val="7CAE7493"/>
    <w:rsid w:val="7CB20F67"/>
    <w:rsid w:val="7CB925E2"/>
    <w:rsid w:val="7CBA4702"/>
    <w:rsid w:val="7CC83BA3"/>
    <w:rsid w:val="7CCA3477"/>
    <w:rsid w:val="7CCC5441"/>
    <w:rsid w:val="7CCD2F68"/>
    <w:rsid w:val="7CD460A4"/>
    <w:rsid w:val="7CDD764F"/>
    <w:rsid w:val="7CE64029"/>
    <w:rsid w:val="7CE72C39"/>
    <w:rsid w:val="7CFA449E"/>
    <w:rsid w:val="7CFC55FB"/>
    <w:rsid w:val="7D043298"/>
    <w:rsid w:val="7D0F190A"/>
    <w:rsid w:val="7D12768B"/>
    <w:rsid w:val="7D307669"/>
    <w:rsid w:val="7D365730"/>
    <w:rsid w:val="7D3B6CFC"/>
    <w:rsid w:val="7D7C09FA"/>
    <w:rsid w:val="7D8950E1"/>
    <w:rsid w:val="7DB55ED6"/>
    <w:rsid w:val="7DBD408B"/>
    <w:rsid w:val="7DBF2109"/>
    <w:rsid w:val="7DDC7906"/>
    <w:rsid w:val="7DDF3878"/>
    <w:rsid w:val="7DEF4FFB"/>
    <w:rsid w:val="7E1207FE"/>
    <w:rsid w:val="7E266DD3"/>
    <w:rsid w:val="7E2C5430"/>
    <w:rsid w:val="7E337128"/>
    <w:rsid w:val="7E337682"/>
    <w:rsid w:val="7E447259"/>
    <w:rsid w:val="7E481FD9"/>
    <w:rsid w:val="7E4C610E"/>
    <w:rsid w:val="7E4F6D38"/>
    <w:rsid w:val="7E634C05"/>
    <w:rsid w:val="7E723DC7"/>
    <w:rsid w:val="7E757C17"/>
    <w:rsid w:val="7E775881"/>
    <w:rsid w:val="7E837D82"/>
    <w:rsid w:val="7E926217"/>
    <w:rsid w:val="7E9A5D97"/>
    <w:rsid w:val="7E9E23D4"/>
    <w:rsid w:val="7EAA17B2"/>
    <w:rsid w:val="7EAA7A04"/>
    <w:rsid w:val="7EAE7A2F"/>
    <w:rsid w:val="7EB9429C"/>
    <w:rsid w:val="7EE7382C"/>
    <w:rsid w:val="7EFF3119"/>
    <w:rsid w:val="7F044EA0"/>
    <w:rsid w:val="7F1B578D"/>
    <w:rsid w:val="7F1E5137"/>
    <w:rsid w:val="7F1F1BD4"/>
    <w:rsid w:val="7F25456F"/>
    <w:rsid w:val="7F363046"/>
    <w:rsid w:val="7F3B5F12"/>
    <w:rsid w:val="7F416C1D"/>
    <w:rsid w:val="7F4E2109"/>
    <w:rsid w:val="7F686F78"/>
    <w:rsid w:val="7F736048"/>
    <w:rsid w:val="7F7C38D3"/>
    <w:rsid w:val="7F7F2A40"/>
    <w:rsid w:val="7F8244DD"/>
    <w:rsid w:val="7FA2692E"/>
    <w:rsid w:val="7FB4040F"/>
    <w:rsid w:val="7FB87EFF"/>
    <w:rsid w:val="7FBB1827"/>
    <w:rsid w:val="7FCE327F"/>
    <w:rsid w:val="7FCF6FF7"/>
    <w:rsid w:val="7FD23724"/>
    <w:rsid w:val="7FD36AE7"/>
    <w:rsid w:val="7FE57004"/>
    <w:rsid w:val="7FEB56BF"/>
    <w:rsid w:val="7FF3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562"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snapToGrid w:val="0"/>
      <w:spacing w:after="200" w:afterLines="200"/>
      <w:jc w:val="center"/>
      <w:outlineLvl w:val="0"/>
    </w:pPr>
    <w:rPr>
      <w:rFonts w:ascii="Times New Roman" w:hAnsi="Times New Roman" w:eastAsia="黑体" w:cs="Times New Roman"/>
      <w:snapToGrid w:val="0"/>
      <w:color w:val="000000"/>
      <w:sz w:val="32"/>
      <w:szCs w:val="32"/>
      <w:shd w:val="clear" w:color="auto" w:fill="FFFFFF"/>
      <w:lang w:val="en-US" w:eastAsia="zh-CN" w:bidi="ar-SA"/>
    </w:rPr>
  </w:style>
  <w:style w:type="paragraph" w:styleId="3">
    <w:name w:val="heading 2"/>
    <w:next w:val="1"/>
    <w:unhideWhenUsed/>
    <w:qFormat/>
    <w:uiPriority w:val="0"/>
    <w:pPr>
      <w:snapToGrid w:val="0"/>
      <w:spacing w:before="50" w:beforeLines="50" w:after="50" w:afterLines="50"/>
      <w:outlineLvl w:val="1"/>
    </w:pPr>
    <w:rPr>
      <w:rFonts w:ascii="Times New Roman" w:hAnsi="Times New Roman" w:eastAsia="黑体" w:cs="Times New Roman"/>
      <w:snapToGrid w:val="0"/>
      <w:sz w:val="28"/>
      <w:shd w:val="clear" w:color="auto" w:fill="FFFFFF"/>
      <w:lang w:val="en-US" w:eastAsia="zh-CN" w:bidi="ar-SA"/>
    </w:rPr>
  </w:style>
  <w:style w:type="paragraph" w:styleId="4">
    <w:name w:val="heading 3"/>
    <w:next w:val="1"/>
    <w:link w:val="45"/>
    <w:qFormat/>
    <w:uiPriority w:val="0"/>
    <w:pPr>
      <w:snapToGrid w:val="0"/>
      <w:spacing w:line="400" w:lineRule="exact"/>
      <w:outlineLvl w:val="2"/>
    </w:pPr>
    <w:rPr>
      <w:rFonts w:ascii="Times New Roman" w:hAnsi="Times New Roman" w:eastAsia="黑体" w:cs="Times New Roman"/>
      <w:bCs/>
      <w:snapToGrid w:val="0"/>
      <w:sz w:val="24"/>
      <w:szCs w:val="28"/>
      <w:lang w:val="en-US" w:eastAsia="zh-CN" w:bidi="ar-SA"/>
    </w:rPr>
  </w:style>
  <w:style w:type="paragraph" w:styleId="5">
    <w:name w:val="heading 4"/>
    <w:next w:val="1"/>
    <w:link w:val="46"/>
    <w:qFormat/>
    <w:uiPriority w:val="0"/>
    <w:pPr>
      <w:keepNext/>
      <w:keepLines/>
      <w:spacing w:line="400" w:lineRule="exact"/>
      <w:ind w:firstLine="562" w:firstLineChars="200"/>
      <w:outlineLvl w:val="3"/>
    </w:pPr>
    <w:rPr>
      <w:rFonts w:ascii="Times New Roman" w:hAnsi="Times New Roman" w:eastAsia="宋体" w:cs="Times New Roman"/>
      <w:bCs/>
      <w:sz w:val="24"/>
      <w:szCs w:val="28"/>
      <w:lang w:val="en-US" w:eastAsia="zh-CN" w:bidi="ar-SA"/>
    </w:rPr>
  </w:style>
  <w:style w:type="paragraph" w:styleId="6">
    <w:name w:val="heading 5"/>
    <w:basedOn w:val="1"/>
    <w:next w:val="1"/>
    <w:qFormat/>
    <w:uiPriority w:val="0"/>
    <w:pPr>
      <w:keepNext/>
      <w:outlineLvl w:val="4"/>
    </w:pPr>
    <w:rPr>
      <w:b/>
      <w:bCs/>
    </w:rPr>
  </w:style>
  <w:style w:type="paragraph" w:styleId="7">
    <w:name w:val="heading 6"/>
    <w:basedOn w:val="1"/>
    <w:next w:val="1"/>
    <w:link w:val="47"/>
    <w:qFormat/>
    <w:uiPriority w:val="0"/>
    <w:pPr>
      <w:keepNext/>
      <w:spacing w:line="360" w:lineRule="auto"/>
      <w:ind w:firstLine="600"/>
      <w:jc w:val="center"/>
      <w:outlineLvl w:val="5"/>
    </w:pPr>
    <w:rPr>
      <w:rFonts w:ascii="等线 Light" w:hAnsi="等线 Light" w:eastAsia="等线 Light"/>
      <w:b/>
      <w:bCs/>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autoRedefine/>
    <w:unhideWhenUsed/>
    <w:qFormat/>
    <w:uiPriority w:val="39"/>
    <w:pPr>
      <w:spacing w:after="160" w:line="278" w:lineRule="auto"/>
      <w:ind w:left="2520" w:leftChars="1200" w:firstLine="0" w:firstLineChars="0"/>
      <w:jc w:val="left"/>
    </w:pPr>
    <w:rPr>
      <w:rFonts w:asciiTheme="minorHAnsi" w:hAnsiTheme="minorHAnsi" w:eastAsiaTheme="minorEastAsia" w:cstheme="minorBidi"/>
      <w:sz w:val="22"/>
      <w14:ligatures w14:val="standardContextual"/>
    </w:rPr>
  </w:style>
  <w:style w:type="paragraph" w:styleId="9">
    <w:name w:val="caption"/>
    <w:basedOn w:val="1"/>
    <w:next w:val="1"/>
    <w:unhideWhenUsed/>
    <w:qFormat/>
    <w:uiPriority w:val="35"/>
    <w:pPr>
      <w:ind w:firstLine="0" w:firstLineChars="0"/>
      <w:jc w:val="center"/>
    </w:pPr>
    <w:rPr>
      <w:rFonts w:eastAsia="楷体"/>
      <w:bCs/>
      <w:color w:val="000000" w:themeColor="text1"/>
      <w:sz w:val="21"/>
      <w:szCs w:val="18"/>
      <w14:textFill>
        <w14:solidFill>
          <w14:schemeClr w14:val="tx1"/>
        </w14:solidFill>
      </w14:textFill>
    </w:rPr>
  </w:style>
  <w:style w:type="paragraph" w:styleId="10">
    <w:name w:val="annotation text"/>
    <w:basedOn w:val="1"/>
    <w:link w:val="48"/>
    <w:qFormat/>
    <w:uiPriority w:val="0"/>
    <w:pPr>
      <w:jc w:val="left"/>
    </w:pPr>
  </w:style>
  <w:style w:type="paragraph" w:styleId="11">
    <w:name w:val="Body Text 3"/>
    <w:basedOn w:val="1"/>
    <w:qFormat/>
    <w:uiPriority w:val="0"/>
    <w:pPr>
      <w:spacing w:after="120"/>
    </w:pPr>
    <w:rPr>
      <w:sz w:val="16"/>
      <w:szCs w:val="16"/>
    </w:rPr>
  </w:style>
  <w:style w:type="paragraph" w:styleId="12">
    <w:name w:val="Body Text"/>
    <w:basedOn w:val="1"/>
    <w:link w:val="49"/>
    <w:qFormat/>
    <w:uiPriority w:val="0"/>
    <w:pPr>
      <w:jc w:val="center"/>
    </w:pPr>
  </w:style>
  <w:style w:type="paragraph" w:styleId="13">
    <w:name w:val="Body Text Indent"/>
    <w:basedOn w:val="1"/>
    <w:link w:val="50"/>
    <w:qFormat/>
    <w:uiPriority w:val="0"/>
    <w:pPr>
      <w:widowControl/>
      <w:spacing w:after="120"/>
      <w:ind w:left="420" w:leftChars="200"/>
      <w:jc w:val="left"/>
    </w:pPr>
  </w:style>
  <w:style w:type="paragraph" w:styleId="14">
    <w:name w:val="toc 5"/>
    <w:basedOn w:val="1"/>
    <w:next w:val="1"/>
    <w:autoRedefine/>
    <w:unhideWhenUsed/>
    <w:qFormat/>
    <w:uiPriority w:val="39"/>
    <w:pPr>
      <w:spacing w:after="160" w:line="278" w:lineRule="auto"/>
      <w:ind w:left="1680" w:leftChars="800" w:firstLine="0" w:firstLineChars="0"/>
      <w:jc w:val="left"/>
    </w:pPr>
    <w:rPr>
      <w:rFonts w:asciiTheme="minorHAnsi" w:hAnsiTheme="minorHAnsi" w:eastAsiaTheme="minorEastAsia" w:cstheme="minorBidi"/>
      <w:sz w:val="22"/>
      <w14:ligatures w14:val="standardContextual"/>
    </w:rPr>
  </w:style>
  <w:style w:type="paragraph" w:styleId="15">
    <w:name w:val="toc 3"/>
    <w:next w:val="1"/>
    <w:qFormat/>
    <w:uiPriority w:val="39"/>
    <w:pPr>
      <w:spacing w:line="400" w:lineRule="exact"/>
      <w:ind w:left="840" w:leftChars="400"/>
      <w:jc w:val="both"/>
    </w:pPr>
    <w:rPr>
      <w:rFonts w:ascii="Times New Roman" w:hAnsi="Times New Roman" w:eastAsia="宋体" w:cs="Times New Roman"/>
      <w:sz w:val="24"/>
      <w:lang w:val="en-US" w:eastAsia="zh-CN" w:bidi="ar-SA"/>
    </w:rPr>
  </w:style>
  <w:style w:type="paragraph" w:styleId="16">
    <w:name w:val="Plain Text"/>
    <w:basedOn w:val="1"/>
    <w:link w:val="51"/>
    <w:qFormat/>
    <w:uiPriority w:val="0"/>
    <w:rPr>
      <w:rFonts w:ascii="等线" w:hAnsi="等线"/>
    </w:rPr>
  </w:style>
  <w:style w:type="paragraph" w:styleId="17">
    <w:name w:val="toc 8"/>
    <w:basedOn w:val="1"/>
    <w:next w:val="1"/>
    <w:autoRedefine/>
    <w:unhideWhenUsed/>
    <w:qFormat/>
    <w:uiPriority w:val="39"/>
    <w:pPr>
      <w:spacing w:after="160" w:line="278" w:lineRule="auto"/>
      <w:ind w:left="2940" w:leftChars="1400" w:firstLine="0" w:firstLineChars="0"/>
      <w:jc w:val="left"/>
    </w:pPr>
    <w:rPr>
      <w:rFonts w:asciiTheme="minorHAnsi" w:hAnsiTheme="minorHAnsi" w:eastAsiaTheme="minorEastAsia" w:cstheme="minorBidi"/>
      <w:sz w:val="22"/>
      <w14:ligatures w14:val="standardContextual"/>
    </w:rPr>
  </w:style>
  <w:style w:type="paragraph" w:styleId="18">
    <w:name w:val="Date"/>
    <w:basedOn w:val="1"/>
    <w:next w:val="1"/>
    <w:link w:val="52"/>
    <w:qFormat/>
    <w:uiPriority w:val="0"/>
    <w:pPr>
      <w:widowControl/>
    </w:pPr>
  </w:style>
  <w:style w:type="paragraph" w:styleId="19">
    <w:name w:val="Body Text Indent 2"/>
    <w:basedOn w:val="1"/>
    <w:link w:val="53"/>
    <w:qFormat/>
    <w:uiPriority w:val="0"/>
    <w:pPr>
      <w:spacing w:after="120" w:line="480" w:lineRule="auto"/>
      <w:ind w:left="420" w:leftChars="200"/>
    </w:pPr>
  </w:style>
  <w:style w:type="paragraph" w:styleId="20">
    <w:name w:val="Balloon Text"/>
    <w:basedOn w:val="1"/>
    <w:link w:val="54"/>
    <w:qFormat/>
    <w:uiPriority w:val="0"/>
    <w:rPr>
      <w:sz w:val="18"/>
      <w:szCs w:val="18"/>
    </w:rPr>
  </w:style>
  <w:style w:type="paragraph" w:styleId="21">
    <w:name w:val="footer"/>
    <w:link w:val="55"/>
    <w:qFormat/>
    <w:uiPriority w:val="0"/>
    <w:pPr>
      <w:tabs>
        <w:tab w:val="center" w:pos="4153"/>
        <w:tab w:val="right" w:pos="8306"/>
      </w:tabs>
      <w:snapToGrid w:val="0"/>
      <w:jc w:val="center"/>
    </w:pPr>
    <w:rPr>
      <w:rFonts w:ascii="Times New Roman" w:hAnsi="Times New Roman" w:eastAsia="宋体" w:cs="Times New Roman"/>
      <w:sz w:val="21"/>
      <w:szCs w:val="18"/>
      <w:lang w:val="en-US" w:eastAsia="zh-CN" w:bidi="ar-SA"/>
    </w:rPr>
  </w:style>
  <w:style w:type="paragraph" w:styleId="22">
    <w:name w:val="header"/>
    <w:link w:val="56"/>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styleId="23">
    <w:name w:val="toc 1"/>
    <w:next w:val="1"/>
    <w:qFormat/>
    <w:uiPriority w:val="39"/>
    <w:pPr>
      <w:spacing w:line="400" w:lineRule="exact"/>
    </w:pPr>
    <w:rPr>
      <w:rFonts w:ascii="Times New Roman" w:hAnsi="Times New Roman" w:eastAsia="黑体" w:cs="Times New Roman"/>
      <w:sz w:val="24"/>
      <w:lang w:val="en-US" w:eastAsia="zh-CN" w:bidi="ar-SA"/>
    </w:rPr>
  </w:style>
  <w:style w:type="paragraph" w:styleId="24">
    <w:name w:val="toc 4"/>
    <w:basedOn w:val="1"/>
    <w:next w:val="1"/>
    <w:autoRedefine/>
    <w:unhideWhenUsed/>
    <w:qFormat/>
    <w:uiPriority w:val="39"/>
    <w:pPr>
      <w:spacing w:after="160" w:line="278" w:lineRule="auto"/>
      <w:ind w:left="1260" w:leftChars="600" w:firstLine="0" w:firstLineChars="0"/>
      <w:jc w:val="left"/>
    </w:pPr>
    <w:rPr>
      <w:rFonts w:asciiTheme="minorHAnsi" w:hAnsiTheme="minorHAnsi" w:eastAsiaTheme="minorEastAsia" w:cstheme="minorBidi"/>
      <w:sz w:val="22"/>
      <w14:ligatures w14:val="standardContextual"/>
    </w:rPr>
  </w:style>
  <w:style w:type="paragraph" w:styleId="25">
    <w:name w:val="footnote text"/>
    <w:basedOn w:val="1"/>
    <w:link w:val="57"/>
    <w:qFormat/>
    <w:uiPriority w:val="0"/>
    <w:pPr>
      <w:snapToGrid w:val="0"/>
      <w:jc w:val="left"/>
    </w:pPr>
    <w:rPr>
      <w:sz w:val="18"/>
      <w:szCs w:val="18"/>
    </w:rPr>
  </w:style>
  <w:style w:type="paragraph" w:styleId="26">
    <w:name w:val="toc 6"/>
    <w:basedOn w:val="1"/>
    <w:next w:val="1"/>
    <w:autoRedefine/>
    <w:unhideWhenUsed/>
    <w:qFormat/>
    <w:uiPriority w:val="39"/>
    <w:pPr>
      <w:spacing w:after="160" w:line="278" w:lineRule="auto"/>
      <w:ind w:left="2100" w:leftChars="1000" w:firstLine="0" w:firstLineChars="0"/>
      <w:jc w:val="left"/>
    </w:pPr>
    <w:rPr>
      <w:rFonts w:asciiTheme="minorHAnsi" w:hAnsiTheme="minorHAnsi" w:eastAsiaTheme="minorEastAsia" w:cstheme="minorBidi"/>
      <w:sz w:val="22"/>
      <w14:ligatures w14:val="standardContextual"/>
    </w:rPr>
  </w:style>
  <w:style w:type="paragraph" w:styleId="27">
    <w:name w:val="Body Text Indent 3"/>
    <w:basedOn w:val="1"/>
    <w:link w:val="58"/>
    <w:qFormat/>
    <w:uiPriority w:val="0"/>
    <w:pPr>
      <w:adjustRightInd w:val="0"/>
      <w:snapToGrid w:val="0"/>
      <w:spacing w:line="300" w:lineRule="auto"/>
      <w:ind w:firstLine="540"/>
    </w:pPr>
    <w:rPr>
      <w:sz w:val="16"/>
      <w:szCs w:val="16"/>
    </w:rPr>
  </w:style>
  <w:style w:type="paragraph" w:styleId="28">
    <w:name w:val="table of figures"/>
    <w:basedOn w:val="1"/>
    <w:next w:val="1"/>
    <w:qFormat/>
    <w:uiPriority w:val="0"/>
    <w:pPr>
      <w:ind w:left="400" w:leftChars="200" w:hanging="200" w:hangingChars="200"/>
    </w:pPr>
  </w:style>
  <w:style w:type="paragraph" w:styleId="29">
    <w:name w:val="toc 2"/>
    <w:next w:val="1"/>
    <w:qFormat/>
    <w:uiPriority w:val="39"/>
    <w:pPr>
      <w:spacing w:line="400" w:lineRule="exact"/>
      <w:ind w:left="420" w:leftChars="200"/>
    </w:pPr>
    <w:rPr>
      <w:rFonts w:ascii="Times New Roman" w:hAnsi="Times New Roman" w:eastAsia="宋体" w:cs="Times New Roman"/>
      <w:sz w:val="24"/>
      <w:lang w:val="en-US" w:eastAsia="zh-CN" w:bidi="ar-SA"/>
    </w:rPr>
  </w:style>
  <w:style w:type="paragraph" w:styleId="30">
    <w:name w:val="toc 9"/>
    <w:basedOn w:val="1"/>
    <w:next w:val="1"/>
    <w:autoRedefine/>
    <w:unhideWhenUsed/>
    <w:qFormat/>
    <w:uiPriority w:val="39"/>
    <w:pPr>
      <w:spacing w:after="160" w:line="278" w:lineRule="auto"/>
      <w:ind w:left="3360" w:leftChars="1600" w:firstLine="0" w:firstLineChars="0"/>
      <w:jc w:val="left"/>
    </w:pPr>
    <w:rPr>
      <w:rFonts w:asciiTheme="minorHAnsi" w:hAnsiTheme="minorHAnsi" w:eastAsiaTheme="minorEastAsia" w:cstheme="minorBidi"/>
      <w:sz w:val="22"/>
      <w14:ligatures w14:val="standardContextual"/>
    </w:rPr>
  </w:style>
  <w:style w:type="paragraph" w:styleId="31">
    <w:name w:val="Body Text 2"/>
    <w:basedOn w:val="1"/>
    <w:qFormat/>
    <w:uiPriority w:val="0"/>
    <w:pPr>
      <w:spacing w:after="120" w:line="480" w:lineRule="auto"/>
    </w:pPr>
  </w:style>
  <w:style w:type="paragraph" w:styleId="32">
    <w:name w:val="Normal (Web)"/>
    <w:basedOn w:val="1"/>
    <w:qFormat/>
    <w:uiPriority w:val="0"/>
    <w:pPr>
      <w:widowControl/>
      <w:spacing w:before="100" w:beforeAutospacing="1" w:after="100" w:afterAutospacing="1"/>
      <w:jc w:val="left"/>
    </w:pPr>
    <w:rPr>
      <w:rFonts w:ascii="宋体" w:hAnsi="宋体"/>
      <w:color w:val="000000"/>
      <w:kern w:val="0"/>
    </w:rPr>
  </w:style>
  <w:style w:type="paragraph" w:styleId="33">
    <w:name w:val="Title"/>
    <w:basedOn w:val="1"/>
    <w:link w:val="59"/>
    <w:qFormat/>
    <w:uiPriority w:val="0"/>
    <w:pPr>
      <w:spacing w:before="240" w:after="60"/>
      <w:jc w:val="center"/>
      <w:outlineLvl w:val="0"/>
    </w:pPr>
    <w:rPr>
      <w:rFonts w:ascii="等线 Light" w:hAnsi="等线 Light" w:eastAsia="等线 Light"/>
      <w:b/>
      <w:bCs/>
      <w:sz w:val="32"/>
      <w:szCs w:val="32"/>
    </w:rPr>
  </w:style>
  <w:style w:type="paragraph" w:styleId="34">
    <w:name w:val="annotation subject"/>
    <w:basedOn w:val="10"/>
    <w:next w:val="10"/>
    <w:link w:val="60"/>
    <w:qFormat/>
    <w:uiPriority w:val="0"/>
    <w:rPr>
      <w:b/>
      <w:bCs/>
    </w:rPr>
  </w:style>
  <w:style w:type="paragraph" w:styleId="35">
    <w:name w:val="Body Text First Indent"/>
    <w:basedOn w:val="12"/>
    <w:qFormat/>
    <w:uiPriority w:val="0"/>
    <w:pPr>
      <w:ind w:firstLine="420" w:firstLineChars="100"/>
    </w:p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page number"/>
    <w:qFormat/>
    <w:uiPriority w:val="0"/>
  </w:style>
  <w:style w:type="character" w:styleId="40">
    <w:name w:val="FollowedHyperlink"/>
    <w:qFormat/>
    <w:uiPriority w:val="0"/>
    <w:rPr>
      <w:color w:val="954F72"/>
      <w:u w:val="single"/>
    </w:rPr>
  </w:style>
  <w:style w:type="character" w:styleId="41">
    <w:name w:val="Emphasis"/>
    <w:qFormat/>
    <w:uiPriority w:val="2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qFormat/>
    <w:uiPriority w:val="0"/>
    <w:rPr>
      <w:vertAlign w:val="superscript"/>
    </w:rPr>
  </w:style>
  <w:style w:type="character" w:customStyle="1" w:styleId="45">
    <w:name w:val="标题 3 字符"/>
    <w:link w:val="4"/>
    <w:qFormat/>
    <w:uiPriority w:val="0"/>
    <w:rPr>
      <w:rFonts w:ascii="Times New Roman" w:hAnsi="Times New Roman" w:eastAsia="黑体"/>
      <w:bCs/>
      <w:snapToGrid w:val="0"/>
      <w:kern w:val="2"/>
      <w:sz w:val="24"/>
      <w:szCs w:val="28"/>
      <w:lang w:val="en-US" w:eastAsia="zh-CN" w:bidi="ar-SA"/>
    </w:rPr>
  </w:style>
  <w:style w:type="character" w:customStyle="1" w:styleId="46">
    <w:name w:val="标题 4 字符"/>
    <w:link w:val="5"/>
    <w:qFormat/>
    <w:uiPriority w:val="0"/>
    <w:rPr>
      <w:rFonts w:ascii="Times New Roman" w:hAnsi="Times New Roman" w:eastAsia="宋体" w:cs="Times New Roman"/>
      <w:bCs/>
      <w:kern w:val="2"/>
      <w:sz w:val="24"/>
      <w:szCs w:val="28"/>
    </w:rPr>
  </w:style>
  <w:style w:type="character" w:customStyle="1" w:styleId="47">
    <w:name w:val="标题 6 字符"/>
    <w:link w:val="7"/>
    <w:qFormat/>
    <w:uiPriority w:val="0"/>
    <w:rPr>
      <w:rFonts w:ascii="等线 Light" w:hAnsi="等线 Light" w:eastAsia="等线 Light" w:cs="Times New Roman"/>
      <w:b/>
      <w:bCs/>
      <w:kern w:val="2"/>
      <w:sz w:val="24"/>
      <w:szCs w:val="24"/>
    </w:rPr>
  </w:style>
  <w:style w:type="character" w:customStyle="1" w:styleId="48">
    <w:name w:val="批注文字 字符"/>
    <w:link w:val="10"/>
    <w:qFormat/>
    <w:uiPriority w:val="0"/>
    <w:rPr>
      <w:kern w:val="2"/>
      <w:sz w:val="21"/>
      <w:szCs w:val="24"/>
    </w:rPr>
  </w:style>
  <w:style w:type="character" w:customStyle="1" w:styleId="49">
    <w:name w:val="正文文本 字符"/>
    <w:link w:val="12"/>
    <w:qFormat/>
    <w:uiPriority w:val="0"/>
    <w:rPr>
      <w:kern w:val="2"/>
      <w:sz w:val="21"/>
      <w:szCs w:val="24"/>
    </w:rPr>
  </w:style>
  <w:style w:type="character" w:customStyle="1" w:styleId="50">
    <w:name w:val="正文文本缩进 字符"/>
    <w:link w:val="13"/>
    <w:qFormat/>
    <w:uiPriority w:val="0"/>
    <w:rPr>
      <w:kern w:val="2"/>
      <w:sz w:val="21"/>
      <w:szCs w:val="24"/>
    </w:rPr>
  </w:style>
  <w:style w:type="character" w:customStyle="1" w:styleId="51">
    <w:name w:val="纯文本 字符"/>
    <w:link w:val="16"/>
    <w:qFormat/>
    <w:uiPriority w:val="0"/>
    <w:rPr>
      <w:rFonts w:ascii="等线" w:hAnsi="等线" w:cs="等线"/>
      <w:kern w:val="2"/>
      <w:sz w:val="21"/>
      <w:szCs w:val="24"/>
    </w:rPr>
  </w:style>
  <w:style w:type="character" w:customStyle="1" w:styleId="52">
    <w:name w:val="日期 字符"/>
    <w:link w:val="18"/>
    <w:qFormat/>
    <w:uiPriority w:val="0"/>
    <w:rPr>
      <w:kern w:val="2"/>
      <w:sz w:val="21"/>
      <w:szCs w:val="24"/>
    </w:rPr>
  </w:style>
  <w:style w:type="character" w:customStyle="1" w:styleId="53">
    <w:name w:val="正文文本缩进 2 字符"/>
    <w:link w:val="19"/>
    <w:qFormat/>
    <w:uiPriority w:val="0"/>
    <w:rPr>
      <w:kern w:val="2"/>
      <w:sz w:val="21"/>
      <w:szCs w:val="24"/>
    </w:rPr>
  </w:style>
  <w:style w:type="character" w:customStyle="1" w:styleId="54">
    <w:name w:val="批注框文本 字符"/>
    <w:link w:val="20"/>
    <w:qFormat/>
    <w:uiPriority w:val="0"/>
    <w:rPr>
      <w:kern w:val="2"/>
      <w:sz w:val="18"/>
      <w:szCs w:val="18"/>
    </w:rPr>
  </w:style>
  <w:style w:type="character" w:customStyle="1" w:styleId="55">
    <w:name w:val="页脚 字符"/>
    <w:link w:val="21"/>
    <w:qFormat/>
    <w:uiPriority w:val="0"/>
    <w:rPr>
      <w:rFonts w:ascii="Times New Roman" w:hAnsi="Times New Roman" w:eastAsia="宋体"/>
      <w:kern w:val="2"/>
      <w:sz w:val="21"/>
      <w:szCs w:val="18"/>
    </w:rPr>
  </w:style>
  <w:style w:type="character" w:customStyle="1" w:styleId="56">
    <w:name w:val="页眉 字符"/>
    <w:link w:val="22"/>
    <w:qFormat/>
    <w:uiPriority w:val="0"/>
    <w:rPr>
      <w:rFonts w:ascii="Times New Roman" w:hAnsi="Times New Roman" w:eastAsia="宋体"/>
      <w:kern w:val="2"/>
      <w:sz w:val="18"/>
      <w:szCs w:val="18"/>
    </w:rPr>
  </w:style>
  <w:style w:type="character" w:customStyle="1" w:styleId="57">
    <w:name w:val="脚注文本 字符"/>
    <w:link w:val="25"/>
    <w:qFormat/>
    <w:uiPriority w:val="0"/>
    <w:rPr>
      <w:kern w:val="2"/>
      <w:sz w:val="18"/>
      <w:szCs w:val="18"/>
    </w:rPr>
  </w:style>
  <w:style w:type="character" w:customStyle="1" w:styleId="58">
    <w:name w:val="正文文本缩进 3 字符"/>
    <w:link w:val="27"/>
    <w:qFormat/>
    <w:uiPriority w:val="0"/>
    <w:rPr>
      <w:kern w:val="2"/>
      <w:sz w:val="16"/>
      <w:szCs w:val="16"/>
    </w:rPr>
  </w:style>
  <w:style w:type="character" w:customStyle="1" w:styleId="59">
    <w:name w:val="标题 字符"/>
    <w:link w:val="33"/>
    <w:qFormat/>
    <w:uiPriority w:val="0"/>
    <w:rPr>
      <w:rFonts w:ascii="等线 Light" w:hAnsi="等线 Light" w:eastAsia="等线 Light" w:cs="Times New Roman"/>
      <w:b/>
      <w:bCs/>
      <w:kern w:val="2"/>
      <w:sz w:val="32"/>
      <w:szCs w:val="32"/>
    </w:rPr>
  </w:style>
  <w:style w:type="character" w:customStyle="1" w:styleId="60">
    <w:name w:val="批注主题 字符"/>
    <w:link w:val="34"/>
    <w:qFormat/>
    <w:uiPriority w:val="0"/>
    <w:rPr>
      <w:b/>
      <w:bCs/>
      <w:kern w:val="2"/>
      <w:sz w:val="21"/>
      <w:szCs w:val="24"/>
    </w:rPr>
  </w:style>
  <w:style w:type="paragraph" w:customStyle="1" w:styleId="61">
    <w:name w:val="页眉2"/>
    <w:basedOn w:val="22"/>
    <w:qFormat/>
    <w:uiPriority w:val="0"/>
  </w:style>
  <w:style w:type="paragraph" w:customStyle="1" w:styleId="62">
    <w:name w:val="标题1"/>
    <w:basedOn w:val="33"/>
    <w:qFormat/>
    <w:uiPriority w:val="0"/>
    <w:pPr>
      <w:widowControl/>
      <w:adjustRightInd w:val="0"/>
      <w:spacing w:after="360" w:line="420" w:lineRule="exact"/>
      <w:outlineLvl w:val="9"/>
    </w:pPr>
    <w:rPr>
      <w:b w:val="0"/>
      <w:bCs w:val="0"/>
      <w:kern w:val="0"/>
      <w:sz w:val="30"/>
      <w:szCs w:val="20"/>
    </w:rPr>
  </w:style>
  <w:style w:type="paragraph" w:styleId="63">
    <w:name w:val="List Paragraph"/>
    <w:basedOn w:val="1"/>
    <w:qFormat/>
    <w:uiPriority w:val="0"/>
    <w:pPr>
      <w:spacing w:line="240" w:lineRule="auto"/>
      <w:ind w:firstLine="200"/>
    </w:pPr>
    <w:rPr>
      <w:rFonts w:ascii="Calibri" w:hAnsi="Calibri"/>
      <w:spacing w:val="10"/>
      <w:szCs w:val="22"/>
    </w:rPr>
  </w:style>
  <w:style w:type="paragraph" w:customStyle="1" w:styleId="64">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65">
    <w:name w:val="Char"/>
    <w:basedOn w:val="1"/>
    <w:qFormat/>
    <w:uiPriority w:val="0"/>
  </w:style>
  <w:style w:type="paragraph" w:styleId="66">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67">
    <w:name w:val="摘要"/>
    <w:qFormat/>
    <w:uiPriority w:val="0"/>
    <w:pPr>
      <w:snapToGrid w:val="0"/>
      <w:spacing w:after="100" w:afterLines="100"/>
      <w:jc w:val="center"/>
      <w:outlineLvl w:val="0"/>
    </w:pPr>
    <w:rPr>
      <w:rFonts w:hint="eastAsia" w:ascii="黑体" w:hAnsi="黑体" w:eastAsia="黑体" w:cs="黑体"/>
      <w:snapToGrid w:val="0"/>
      <w:sz w:val="32"/>
      <w:szCs w:val="32"/>
      <w:lang w:val="en-US" w:eastAsia="zh-CN" w:bidi="ar-SA"/>
    </w:rPr>
  </w:style>
  <w:style w:type="paragraph" w:customStyle="1" w:styleId="68">
    <w:name w:val="ABSTRACT"/>
    <w:qFormat/>
    <w:uiPriority w:val="0"/>
    <w:pPr>
      <w:snapToGrid w:val="0"/>
      <w:spacing w:after="200" w:afterLines="200"/>
      <w:jc w:val="center"/>
      <w:outlineLvl w:val="0"/>
    </w:pPr>
    <w:rPr>
      <w:rFonts w:ascii="Times New Roman" w:hAnsi="Times New Roman" w:eastAsia="黑体" w:cs="Times New Roman"/>
      <w:b/>
      <w:bCs/>
      <w:snapToGrid w:val="0"/>
      <w:sz w:val="32"/>
      <w:szCs w:val="32"/>
      <w:lang w:val="en-US" w:eastAsia="zh-CN" w:bidi="ar-SA"/>
    </w:rPr>
  </w:style>
  <w:style w:type="paragraph" w:customStyle="1" w:styleId="69">
    <w:name w:val="摘要正文"/>
    <w:qFormat/>
    <w:uiPriority w:val="0"/>
    <w:pPr>
      <w:snapToGrid w:val="0"/>
      <w:spacing w:line="400" w:lineRule="exact"/>
      <w:ind w:firstLine="560" w:firstLineChars="200"/>
      <w:jc w:val="both"/>
    </w:pPr>
    <w:rPr>
      <w:rFonts w:ascii="Times New Roman" w:hAnsi="Times New Roman" w:eastAsia="宋体" w:cs="Times New Roman"/>
      <w:snapToGrid w:val="0"/>
      <w:sz w:val="28"/>
      <w:szCs w:val="28"/>
      <w:lang w:val="en-US" w:eastAsia="zh-CN" w:bidi="ar-SA"/>
    </w:rPr>
  </w:style>
  <w:style w:type="paragraph" w:customStyle="1" w:styleId="70">
    <w:name w:val="关键词："/>
    <w:link w:val="71"/>
    <w:qFormat/>
    <w:uiPriority w:val="0"/>
    <w:pPr>
      <w:snapToGrid w:val="0"/>
      <w:spacing w:before="100" w:beforeLines="100" w:line="400" w:lineRule="exact"/>
      <w:ind w:firstLine="560" w:firstLineChars="200"/>
    </w:pPr>
    <w:rPr>
      <w:rFonts w:ascii="Times New Roman" w:hAnsi="Times New Roman" w:eastAsia="黑体" w:cs="Times New Roman"/>
      <w:snapToGrid w:val="0"/>
      <w:sz w:val="28"/>
      <w:szCs w:val="28"/>
      <w:lang w:val="en-US" w:eastAsia="zh-CN" w:bidi="ar-SA"/>
    </w:rPr>
  </w:style>
  <w:style w:type="character" w:customStyle="1" w:styleId="71">
    <w:name w:val="关键词 Char"/>
    <w:link w:val="70"/>
    <w:qFormat/>
    <w:uiPriority w:val="0"/>
    <w:rPr>
      <w:rFonts w:hint="default" w:ascii="Times New Roman" w:hAnsi="Times New Roman" w:eastAsia="黑体"/>
      <w:snapToGrid w:val="0"/>
      <w:sz w:val="28"/>
      <w:szCs w:val="28"/>
    </w:rPr>
  </w:style>
  <w:style w:type="paragraph" w:customStyle="1" w:styleId="72">
    <w:name w:val="关键词1234"/>
    <w:link w:val="73"/>
    <w:qFormat/>
    <w:uiPriority w:val="0"/>
    <w:pPr>
      <w:snapToGrid w:val="0"/>
      <w:spacing w:before="100" w:beforeLines="100" w:line="400" w:lineRule="exact"/>
      <w:ind w:firstLine="560" w:firstLineChars="200"/>
    </w:pPr>
    <w:rPr>
      <w:rFonts w:hint="eastAsia" w:ascii="Times New Roman" w:hAnsi="Times New Roman" w:eastAsia="宋体" w:cs="Times New Roman"/>
      <w:snapToGrid w:val="0"/>
      <w:kern w:val="44"/>
      <w:sz w:val="28"/>
      <w:szCs w:val="28"/>
      <w:lang w:val="en-US" w:eastAsia="zh-CN" w:bidi="ar-SA"/>
    </w:rPr>
  </w:style>
  <w:style w:type="character" w:customStyle="1" w:styleId="73">
    <w:name w:val="关键词1234 Char"/>
    <w:link w:val="72"/>
    <w:qFormat/>
    <w:uiPriority w:val="0"/>
    <w:rPr>
      <w:rFonts w:hint="eastAsia" w:ascii="Times New Roman" w:hAnsi="Times New Roman" w:eastAsia="宋体"/>
      <w:snapToGrid w:val="0"/>
      <w:kern w:val="44"/>
      <w:sz w:val="28"/>
      <w:szCs w:val="28"/>
    </w:rPr>
  </w:style>
  <w:style w:type="paragraph" w:customStyle="1" w:styleId="74">
    <w:name w:val="keywords"/>
    <w:link w:val="75"/>
    <w:qFormat/>
    <w:uiPriority w:val="0"/>
    <w:pPr>
      <w:snapToGrid w:val="0"/>
      <w:spacing w:before="200" w:beforeLines="200" w:line="400" w:lineRule="exact"/>
      <w:ind w:firstLine="562" w:firstLineChars="200"/>
      <w:jc w:val="both"/>
    </w:pPr>
    <w:rPr>
      <w:rFonts w:ascii="Times New Roman" w:hAnsi="Times New Roman" w:eastAsia="宋体" w:cs="Times New Roman"/>
      <w:b/>
      <w:bCs/>
      <w:snapToGrid w:val="0"/>
      <w:sz w:val="28"/>
      <w:szCs w:val="28"/>
      <w:lang w:val="en-US" w:eastAsia="zh-CN" w:bidi="ar-SA"/>
    </w:rPr>
  </w:style>
  <w:style w:type="character" w:customStyle="1" w:styleId="75">
    <w:name w:val="keywords Char"/>
    <w:link w:val="74"/>
    <w:qFormat/>
    <w:uiPriority w:val="0"/>
    <w:rPr>
      <w:rFonts w:ascii="Times New Roman" w:hAnsi="Times New Roman"/>
      <w:b/>
      <w:bCs/>
      <w:snapToGrid w:val="0"/>
      <w:sz w:val="28"/>
      <w:szCs w:val="28"/>
    </w:rPr>
  </w:style>
  <w:style w:type="paragraph" w:customStyle="1" w:styleId="76">
    <w:name w:val="keywords1234"/>
    <w:link w:val="99"/>
    <w:qFormat/>
    <w:uiPriority w:val="0"/>
    <w:pPr>
      <w:snapToGrid w:val="0"/>
      <w:spacing w:before="200" w:beforeLines="200" w:line="400" w:lineRule="exact"/>
      <w:ind w:firstLine="562" w:firstLineChars="200"/>
    </w:pPr>
    <w:rPr>
      <w:rFonts w:ascii="Times New Roman" w:hAnsi="Times New Roman" w:eastAsia="宋体" w:cs="Times New Roman"/>
      <w:snapToGrid w:val="0"/>
      <w:kern w:val="44"/>
      <w:sz w:val="28"/>
      <w:szCs w:val="28"/>
      <w:lang w:val="en-US" w:eastAsia="zh-CN" w:bidi="ar-SA"/>
    </w:rPr>
  </w:style>
  <w:style w:type="paragraph" w:customStyle="1" w:styleId="77">
    <w:name w:val="硕士学位论文"/>
    <w:qFormat/>
    <w:uiPriority w:val="0"/>
    <w:pPr>
      <w:jc w:val="center"/>
    </w:pPr>
    <w:rPr>
      <w:rFonts w:hint="eastAsia" w:ascii="黑体" w:hAnsi="黑体" w:eastAsia="黑体" w:cs="Times New Roman"/>
      <w:b/>
      <w:sz w:val="64"/>
      <w:szCs w:val="64"/>
      <w:lang w:val="en-US" w:eastAsia="zh-CN" w:bidi="ar-SA"/>
    </w:rPr>
  </w:style>
  <w:style w:type="paragraph" w:customStyle="1" w:styleId="78">
    <w:name w:val="论文题目"/>
    <w:link w:val="79"/>
    <w:qFormat/>
    <w:uiPriority w:val="0"/>
    <w:pPr>
      <w:ind w:firstLine="361" w:firstLineChars="100"/>
    </w:pPr>
    <w:rPr>
      <w:rFonts w:ascii="Times New Roman" w:hAnsi="Times New Roman" w:eastAsia="宋体" w:cs="Times New Roman"/>
      <w:b/>
      <w:sz w:val="36"/>
      <w:szCs w:val="32"/>
      <w:lang w:val="en-US" w:eastAsia="zh-CN" w:bidi="ar-SA"/>
    </w:rPr>
  </w:style>
  <w:style w:type="character" w:customStyle="1" w:styleId="79">
    <w:name w:val="论文题目 Char"/>
    <w:link w:val="78"/>
    <w:qFormat/>
    <w:uiPriority w:val="0"/>
    <w:rPr>
      <w:rFonts w:hint="default" w:ascii="Times New Roman" w:hAnsi="Times New Roman" w:eastAsia="宋体"/>
      <w:b/>
      <w:sz w:val="36"/>
      <w:szCs w:val="32"/>
    </w:rPr>
  </w:style>
  <w:style w:type="paragraph" w:customStyle="1" w:styleId="80">
    <w:name w:val="学号至学院"/>
    <w:qFormat/>
    <w:uiPriority w:val="0"/>
    <w:pPr>
      <w:ind w:firstLine="1701" w:firstLineChars="605"/>
      <w:jc w:val="both"/>
    </w:pPr>
    <w:rPr>
      <w:rFonts w:ascii="Times New Roman" w:hAnsi="Times New Roman" w:eastAsia="宋体" w:cs="Times New Roman"/>
      <w:b/>
      <w:sz w:val="28"/>
      <w:szCs w:val="28"/>
      <w:lang w:val="en-US" w:eastAsia="zh-CN" w:bidi="ar-SA"/>
    </w:rPr>
  </w:style>
  <w:style w:type="paragraph" w:customStyle="1" w:styleId="81">
    <w:name w:val="年月日"/>
    <w:qFormat/>
    <w:uiPriority w:val="0"/>
    <w:pPr>
      <w:adjustRightInd w:val="0"/>
      <w:snapToGrid w:val="0"/>
      <w:jc w:val="center"/>
    </w:pPr>
    <w:rPr>
      <w:rFonts w:hint="eastAsia" w:ascii="Times New Roman" w:hAnsi="Times New Roman" w:eastAsia="宋体" w:cs="Times New Roman"/>
      <w:b/>
      <w:sz w:val="28"/>
      <w:szCs w:val="28"/>
      <w:lang w:val="en-US" w:eastAsia="zh-CN" w:bidi="ar-SA"/>
    </w:rPr>
  </w:style>
  <w:style w:type="paragraph" w:customStyle="1" w:styleId="82">
    <w:name w:val="密级"/>
    <w:link w:val="83"/>
    <w:qFormat/>
    <w:uiPriority w:val="0"/>
    <w:pPr>
      <w:jc w:val="right"/>
    </w:pPr>
    <w:rPr>
      <w:rFonts w:hint="eastAsia" w:ascii="Times New Roman" w:hAnsi="Times New Roman" w:eastAsia="宋体" w:cs="Times New Roman"/>
      <w:b/>
      <w:sz w:val="28"/>
      <w:szCs w:val="28"/>
      <w:lang w:val="en-US" w:eastAsia="zh-CN" w:bidi="ar-SA"/>
    </w:rPr>
  </w:style>
  <w:style w:type="character" w:customStyle="1" w:styleId="83">
    <w:name w:val="密级 Char"/>
    <w:link w:val="82"/>
    <w:qFormat/>
    <w:uiPriority w:val="0"/>
    <w:rPr>
      <w:rFonts w:hint="eastAsia" w:ascii="Times New Roman" w:hAnsi="Times New Roman"/>
      <w:b/>
      <w:sz w:val="28"/>
      <w:szCs w:val="28"/>
    </w:rPr>
  </w:style>
  <w:style w:type="paragraph" w:customStyle="1" w:styleId="84">
    <w:name w:val="master thesis"/>
    <w:qFormat/>
    <w:uiPriority w:val="0"/>
    <w:pPr>
      <w:jc w:val="center"/>
    </w:pPr>
    <w:rPr>
      <w:rFonts w:ascii="Times New Roman" w:hAnsi="Times New Roman" w:eastAsia="宋体" w:cs="Times New Roman"/>
      <w:sz w:val="48"/>
      <w:szCs w:val="48"/>
      <w:lang w:val="en-US" w:eastAsia="zh-CN" w:bidi="ar-SA"/>
    </w:rPr>
  </w:style>
  <w:style w:type="paragraph" w:customStyle="1" w:styleId="85">
    <w:name w:val="BUPT"/>
    <w:qFormat/>
    <w:uiPriority w:val="0"/>
    <w:pPr>
      <w:spacing w:line="360" w:lineRule="auto"/>
      <w:jc w:val="center"/>
    </w:pPr>
    <w:rPr>
      <w:rFonts w:ascii="Times New Roman" w:hAnsi="Times New Roman" w:eastAsia="宋体" w:cs="Times New Roman"/>
      <w:b/>
      <w:bCs/>
      <w:sz w:val="52"/>
      <w:szCs w:val="52"/>
      <w:lang w:val="en-US" w:eastAsia="zh-CN" w:bidi="ar-SA"/>
    </w:rPr>
  </w:style>
  <w:style w:type="paragraph" w:customStyle="1" w:styleId="86">
    <w:name w:val="独创性声明"/>
    <w:link w:val="87"/>
    <w:qFormat/>
    <w:uiPriority w:val="0"/>
    <w:pPr>
      <w:jc w:val="center"/>
    </w:pPr>
    <w:rPr>
      <w:rFonts w:hint="eastAsia" w:ascii="黑体" w:hAnsi="黑体" w:eastAsia="黑体" w:cs="Times New Roman"/>
      <w:bCs/>
      <w:sz w:val="32"/>
      <w:szCs w:val="32"/>
      <w:lang w:val="en-US" w:eastAsia="zh-CN" w:bidi="ar-SA"/>
    </w:rPr>
  </w:style>
  <w:style w:type="character" w:customStyle="1" w:styleId="87">
    <w:name w:val="独创性声明 Char"/>
    <w:link w:val="86"/>
    <w:qFormat/>
    <w:uiPriority w:val="0"/>
    <w:rPr>
      <w:rFonts w:hint="eastAsia" w:ascii="黑体" w:hAnsi="黑体" w:eastAsia="黑体"/>
      <w:bCs/>
      <w:sz w:val="32"/>
      <w:szCs w:val="32"/>
    </w:rPr>
  </w:style>
  <w:style w:type="paragraph" w:customStyle="1" w:styleId="88">
    <w:name w:val="目录"/>
    <w:link w:val="89"/>
    <w:qFormat/>
    <w:uiPriority w:val="0"/>
    <w:pPr>
      <w:snapToGrid w:val="0"/>
      <w:spacing w:after="200" w:afterLines="200"/>
      <w:jc w:val="center"/>
    </w:pPr>
    <w:rPr>
      <w:rFonts w:ascii="Times New Roman" w:hAnsi="Times New Roman" w:eastAsia="黑体" w:cs="微软雅黑"/>
      <w:snapToGrid w:val="0"/>
      <w:sz w:val="32"/>
      <w:szCs w:val="30"/>
      <w:lang w:val="en-US" w:eastAsia="zh-CN" w:bidi="ar-SA"/>
    </w:rPr>
  </w:style>
  <w:style w:type="character" w:customStyle="1" w:styleId="89">
    <w:name w:val="样式1 Char"/>
    <w:link w:val="88"/>
    <w:qFormat/>
    <w:uiPriority w:val="0"/>
    <w:rPr>
      <w:rFonts w:hint="default" w:ascii="Times New Roman" w:hAnsi="Times New Roman" w:eastAsia="黑体" w:cs="微软雅黑"/>
      <w:snapToGrid w:val="0"/>
      <w:sz w:val="32"/>
      <w:szCs w:val="30"/>
    </w:rPr>
  </w:style>
  <w:style w:type="paragraph" w:customStyle="1" w:styleId="90">
    <w:name w:val="表格内容"/>
    <w:next w:val="1"/>
    <w:qFormat/>
    <w:uiPriority w:val="0"/>
    <w:pPr>
      <w:snapToGrid w:val="0"/>
      <w:spacing w:line="400" w:lineRule="exact"/>
      <w:jc w:val="center"/>
    </w:pPr>
    <w:rPr>
      <w:rFonts w:ascii="Times New Roman" w:hAnsi="Times New Roman" w:eastAsia="宋体" w:cs="Times New Roman"/>
      <w:bCs/>
      <w:snapToGrid w:val="0"/>
      <w:sz w:val="21"/>
      <w:szCs w:val="28"/>
      <w:lang w:val="en-US" w:eastAsia="zh-CN" w:bidi="ar-SA"/>
    </w:rPr>
  </w:style>
  <w:style w:type="paragraph" w:customStyle="1" w:styleId="91">
    <w:name w:val="算法"/>
    <w:basedOn w:val="1"/>
    <w:qFormat/>
    <w:uiPriority w:val="0"/>
    <w:pPr>
      <w:tabs>
        <w:tab w:val="left" w:pos="420"/>
      </w:tabs>
      <w:ind w:firstLine="0" w:firstLineChars="0"/>
    </w:pPr>
  </w:style>
  <w:style w:type="paragraph" w:customStyle="1" w:styleId="92">
    <w:name w:val="公式段落"/>
    <w:basedOn w:val="1"/>
    <w:link w:val="93"/>
    <w:qFormat/>
    <w:uiPriority w:val="0"/>
    <w:pPr>
      <w:spacing w:before="120" w:after="120" w:line="360" w:lineRule="auto"/>
    </w:pPr>
  </w:style>
  <w:style w:type="character" w:customStyle="1" w:styleId="93">
    <w:name w:val="公式段落 字符"/>
    <w:basedOn w:val="38"/>
    <w:link w:val="92"/>
    <w:qFormat/>
    <w:uiPriority w:val="0"/>
    <w:rPr>
      <w:rFonts w:ascii="Times New Roman" w:hAnsi="Times New Roman" w:eastAsia="宋体"/>
      <w:lang w:eastAsia="zh-CN"/>
    </w:rPr>
  </w:style>
  <w:style w:type="paragraph" w:customStyle="1" w:styleId="94">
    <w:name w:val="表格内文字"/>
    <w:basedOn w:val="1"/>
    <w:qFormat/>
    <w:uiPriority w:val="0"/>
    <w:pPr>
      <w:ind w:firstLine="0" w:firstLineChars="0"/>
      <w:jc w:val="center"/>
    </w:pPr>
    <w:rPr>
      <w:sz w:val="21"/>
    </w:rPr>
  </w:style>
  <w:style w:type="paragraph" w:customStyle="1" w:styleId="95">
    <w:name w:val="参考文献附录致谢"/>
    <w:qFormat/>
    <w:uiPriority w:val="0"/>
    <w:pPr>
      <w:snapToGrid w:val="0"/>
      <w:spacing w:after="200" w:afterLines="200"/>
      <w:jc w:val="center"/>
      <w:outlineLvl w:val="0"/>
    </w:pPr>
    <w:rPr>
      <w:rFonts w:ascii="Times New Roman" w:hAnsi="Times New Roman" w:eastAsia="黑体" w:cs="Times New Roman"/>
      <w:snapToGrid w:val="0"/>
      <w:color w:val="000000"/>
      <w:sz w:val="32"/>
      <w:szCs w:val="32"/>
      <w:shd w:val="clear" w:color="auto" w:fill="FFFFFF"/>
      <w:lang w:val="en-US" w:eastAsia="zh-CN" w:bidi="ar-SA"/>
    </w:rPr>
  </w:style>
  <w:style w:type="paragraph" w:customStyle="1" w:styleId="96">
    <w:name w:val="参考文献1-9"/>
    <w:qFormat/>
    <w:uiPriority w:val="0"/>
    <w:pPr>
      <w:adjustRightInd w:val="0"/>
      <w:snapToGrid w:val="0"/>
      <w:spacing w:line="400" w:lineRule="exact"/>
      <w:ind w:left="340" w:hanging="340"/>
      <w:jc w:val="both"/>
    </w:pPr>
    <w:rPr>
      <w:rFonts w:ascii="Times New Roman" w:hAnsi="Times New Roman" w:eastAsia="宋体" w:cs="Times New Roman"/>
      <w:snapToGrid w:val="0"/>
      <w:sz w:val="21"/>
      <w:szCs w:val="21"/>
      <w:lang w:val="en-US" w:eastAsia="zh-CN" w:bidi="ar-SA"/>
    </w:rPr>
  </w:style>
  <w:style w:type="paragraph" w:customStyle="1" w:styleId="97">
    <w:name w:val="参考文献10"/>
    <w:qFormat/>
    <w:uiPriority w:val="0"/>
    <w:pPr>
      <w:snapToGrid w:val="0"/>
      <w:spacing w:line="400" w:lineRule="exact"/>
      <w:ind w:left="420" w:hanging="420"/>
      <w:jc w:val="both"/>
    </w:pPr>
    <w:rPr>
      <w:rFonts w:ascii="Times New Roman" w:hAnsi="Times New Roman" w:eastAsia="宋体" w:cs="Times New Roman"/>
      <w:snapToGrid w:val="0"/>
      <w:sz w:val="21"/>
      <w:szCs w:val="21"/>
      <w:lang w:val="en-US" w:eastAsia="zh-CN" w:bidi="ar-SA"/>
    </w:rPr>
  </w:style>
  <w:style w:type="paragraph" w:customStyle="1" w:styleId="98">
    <w:name w:val="图名"/>
    <w:next w:val="1"/>
    <w:qFormat/>
    <w:uiPriority w:val="0"/>
    <w:pPr>
      <w:snapToGrid w:val="0"/>
      <w:spacing w:line="400" w:lineRule="exact"/>
      <w:jc w:val="center"/>
    </w:pPr>
    <w:rPr>
      <w:rFonts w:ascii="Times New Roman" w:hAnsi="Times New Roman" w:eastAsia="楷体" w:cs="Times New Roman"/>
      <w:snapToGrid w:val="0"/>
      <w:sz w:val="21"/>
      <w:szCs w:val="22"/>
      <w:lang w:val="en-US" w:eastAsia="zh-CN" w:bidi="ar-SA"/>
    </w:rPr>
  </w:style>
  <w:style w:type="character" w:customStyle="1" w:styleId="99">
    <w:name w:val="keywords1234 Char"/>
    <w:link w:val="76"/>
    <w:qFormat/>
    <w:uiPriority w:val="0"/>
    <w:rPr>
      <w:rFonts w:ascii="Times New Roman" w:hAnsi="Times New Roman" w:eastAsia="宋体" w:cs="Times New Roman"/>
      <w:snapToGrid w:val="0"/>
      <w:kern w:val="44"/>
      <w:sz w:val="28"/>
      <w:szCs w:val="28"/>
      <w:lang w:val="en-US" w:eastAsia="zh-CN" w:bidi="ar-SA"/>
    </w:rPr>
  </w:style>
  <w:style w:type="character" w:styleId="100">
    <w:name w:val="Placeholder Text"/>
    <w:basedOn w:val="38"/>
    <w:unhideWhenUsed/>
    <w:qFormat/>
    <w:uiPriority w:val="99"/>
    <w:rPr>
      <w:color w:val="666666"/>
    </w:rPr>
  </w:style>
  <w:style w:type="character" w:customStyle="1" w:styleId="101">
    <w:name w:val="未处理的提及1"/>
    <w:basedOn w:val="3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3.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56</Pages>
  <Words>3882</Words>
  <Characters>3950</Characters>
  <Lines>1974</Lines>
  <Paragraphs>1475</Paragraphs>
  <TotalTime>0</TotalTime>
  <ScaleCrop>false</ScaleCrop>
  <LinksUpToDate>false</LinksUpToDate>
  <CharactersWithSpaces>3970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2023-03-19T06:30:00Z</dcterms:created>
  <dc:creator>ICBC</dc:creator>
  <cp:lastModifiedBy>Lin</cp:lastModifiedBy>
  <cp:lastPrinted>2009-09-04T06:51:00Z</cp:lastPrinted>
  <dcterms:modified xsi:type="dcterms:W3CDTF">2026-04-09T02:51:23Z</dcterms:modified>
  <dc:title>_x0001_</dc:title>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2669E080F3134F98B3701C88D3802FB9_13</vt:lpwstr>
  </property>
  <property fmtid="{D5CDD505-2E9C-101B-9397-08002B2CF9AE}" pid="5" name="KSOTemplateDocerSaveRecord">
    <vt:lpwstr>eyJoZGlkIjoiOTljNTZhNjM1ODVlMzg3YWNlZmI3NzU4NDk5MGQwOWYiLCJ1c2VySWQiOiIxNTM1NzUxMjI1In0=</vt:lpwstr>
  </property>
</Properties>
</file>