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jc w:val="left"/>
        <w:textAlignment w:val="auto"/>
        <w:outlineLvl w:val="9"/>
        <w:rPr>
          <w:rFonts w:ascii="Tahoma" w:hAnsi="Tahoma" w:eastAsia="宋体" w:cs="Tahoma"/>
          <w:color w:val="333333"/>
          <w:kern w:val="0"/>
          <w:szCs w:val="21"/>
          <w:shd w:val="clear" w:color="auto" w:fill="auto"/>
        </w:rPr>
      </w:pPr>
      <w:r>
        <w:rPr>
          <w:rFonts w:ascii="Tahoma" w:hAnsi="Tahoma" w:eastAsia="宋体" w:cs="Tahoma"/>
          <w:b/>
          <w:bCs/>
          <w:color w:val="333333"/>
          <w:kern w:val="0"/>
          <w:szCs w:val="21"/>
          <w:shd w:val="clear" w:color="auto" w:fill="auto"/>
        </w:rPr>
        <w:t>P32 1.复式记账法下账户结构是怎样安排的？账户之间的关系是怎样的？</w:t>
      </w: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jc w:val="left"/>
        <w:textAlignment w:val="auto"/>
        <w:outlineLvl w:val="9"/>
        <w:rPr>
          <w:rFonts w:ascii="Tahoma" w:hAnsi="Tahoma" w:eastAsia="宋体" w:cs="Tahoma"/>
          <w:color w:val="333333"/>
          <w:kern w:val="0"/>
          <w:szCs w:val="21"/>
          <w:shd w:val="clear" w:color="auto" w:fill="auto"/>
        </w:rPr>
      </w:pPr>
      <w:r>
        <w:rPr>
          <w:rFonts w:hint="eastAsia" w:ascii="Tahoma" w:hAnsi="Tahoma" w:eastAsia="宋体" w:cs="Tahoma"/>
          <w:color w:val="333333"/>
          <w:kern w:val="0"/>
          <w:szCs w:val="21"/>
          <w:shd w:val="clear" w:color="auto" w:fill="auto"/>
          <w:lang w:val="en-US" w:eastAsia="zh-CN"/>
        </w:rPr>
        <w:t xml:space="preserve">    </w:t>
      </w:r>
      <w:r>
        <w:rPr>
          <w:rFonts w:ascii="Tahoma" w:hAnsi="Tahoma" w:eastAsia="宋体" w:cs="Tahoma"/>
          <w:color w:val="333333"/>
          <w:kern w:val="0"/>
          <w:szCs w:val="21"/>
          <w:shd w:val="clear" w:color="auto" w:fill="auto"/>
        </w:rPr>
        <w:t>借贷记账法是以“借”、“贷”为记账符号，反映各项会计要素增减变动情况的一种复式记账法。在借贷记账法下，将账户划分为左右两方，左方为借方，右方为贷方，以此来反映账户记录内容的增减变化情况。理论依据是会计方程式“资产=负债+所有者权益”。</w:t>
      </w: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jc w:val="left"/>
        <w:textAlignment w:val="auto"/>
        <w:outlineLvl w:val="9"/>
        <w:rPr>
          <w:rFonts w:ascii="Tahoma" w:hAnsi="Tahoma" w:eastAsia="宋体" w:cs="Tahoma"/>
          <w:color w:val="333333"/>
          <w:kern w:val="0"/>
          <w:szCs w:val="21"/>
          <w:shd w:val="clear" w:color="auto" w:fill="auto"/>
        </w:rPr>
      </w:pPr>
      <w:r>
        <w:rPr>
          <w:rFonts w:hint="eastAsia" w:ascii="Tahoma" w:hAnsi="Tahoma" w:eastAsia="宋体" w:cs="Tahoma"/>
          <w:color w:val="333333"/>
          <w:kern w:val="0"/>
          <w:szCs w:val="21"/>
          <w:shd w:val="clear" w:color="auto" w:fill="auto"/>
          <w:lang w:val="en-US" w:eastAsia="zh-CN"/>
        </w:rPr>
        <w:t xml:space="preserve">    </w:t>
      </w:r>
      <w:r>
        <w:rPr>
          <w:rFonts w:ascii="Tahoma" w:hAnsi="Tahoma" w:eastAsia="宋体" w:cs="Tahoma"/>
          <w:color w:val="333333"/>
          <w:kern w:val="0"/>
          <w:szCs w:val="21"/>
          <w:shd w:val="clear" w:color="auto" w:fill="auto"/>
        </w:rPr>
        <w:t>资产类账户的借方登记增加数，贷方登记减少数，余额一般在借方</w:t>
      </w:r>
      <w:r>
        <w:rPr>
          <w:rFonts w:ascii="Tahoma" w:hAnsi="Tahoma" w:eastAsia="宋体" w:cs="Tahoma"/>
          <w:color w:val="333333"/>
          <w:kern w:val="0"/>
          <w:szCs w:val="21"/>
          <w:shd w:val="clear" w:color="auto" w:fill="auto"/>
        </w:rPr>
        <w:br w:type="textWrapping"/>
      </w:r>
      <w:r>
        <w:rPr>
          <w:rFonts w:hint="eastAsia" w:ascii="Tahoma" w:hAnsi="Tahoma" w:eastAsia="宋体" w:cs="Tahoma"/>
          <w:color w:val="333333"/>
          <w:kern w:val="0"/>
          <w:szCs w:val="21"/>
          <w:shd w:val="clear" w:color="auto" w:fill="auto"/>
          <w:lang w:val="en-US" w:eastAsia="zh-CN"/>
        </w:rPr>
        <w:t xml:space="preserve">    </w:t>
      </w:r>
      <w:r>
        <w:rPr>
          <w:rFonts w:ascii="Tahoma" w:hAnsi="Tahoma" w:eastAsia="宋体" w:cs="Tahoma"/>
          <w:color w:val="333333"/>
          <w:kern w:val="0"/>
          <w:szCs w:val="21"/>
          <w:shd w:val="clear" w:color="auto" w:fill="auto"/>
        </w:rPr>
        <w:t>负债与所有者权益类账户的借方登记减少数，贷方登记增加数，余额一般在贷方。 </w:t>
      </w:r>
      <w:r>
        <w:rPr>
          <w:rFonts w:ascii="Tahoma" w:hAnsi="Tahoma" w:eastAsia="宋体" w:cs="Tahoma"/>
          <w:color w:val="333333"/>
          <w:kern w:val="0"/>
          <w:szCs w:val="21"/>
          <w:shd w:val="clear" w:color="auto" w:fill="auto"/>
        </w:rPr>
        <w:br w:type="textWrapping"/>
      </w:r>
      <w:r>
        <w:rPr>
          <w:rFonts w:hint="eastAsia" w:ascii="Tahoma" w:hAnsi="Tahoma" w:eastAsia="宋体" w:cs="Tahoma"/>
          <w:color w:val="333333"/>
          <w:kern w:val="0"/>
          <w:szCs w:val="21"/>
          <w:shd w:val="clear" w:color="auto" w:fill="auto"/>
          <w:lang w:val="en-US" w:eastAsia="zh-CN"/>
        </w:rPr>
        <w:t xml:space="preserve">    </w:t>
      </w:r>
      <w:r>
        <w:rPr>
          <w:rFonts w:ascii="Tahoma" w:hAnsi="Tahoma" w:eastAsia="宋体" w:cs="Tahoma"/>
          <w:color w:val="333333"/>
          <w:kern w:val="0"/>
          <w:szCs w:val="21"/>
          <w:shd w:val="clear" w:color="auto" w:fill="auto"/>
        </w:rPr>
        <w:t>成本费用类账户的借方登记增加数，贷方登记减少数，通常无余额。 </w:t>
      </w:r>
      <w:r>
        <w:rPr>
          <w:rFonts w:ascii="Tahoma" w:hAnsi="Tahoma" w:eastAsia="宋体" w:cs="Tahoma"/>
          <w:color w:val="333333"/>
          <w:kern w:val="0"/>
          <w:szCs w:val="21"/>
          <w:shd w:val="clear" w:color="auto" w:fill="auto"/>
        </w:rPr>
        <w:br w:type="textWrapping"/>
      </w:r>
      <w:r>
        <w:rPr>
          <w:rFonts w:hint="eastAsia" w:ascii="Tahoma" w:hAnsi="Tahoma" w:eastAsia="宋体" w:cs="Tahoma"/>
          <w:color w:val="333333"/>
          <w:kern w:val="0"/>
          <w:szCs w:val="21"/>
          <w:shd w:val="clear" w:color="auto" w:fill="auto"/>
          <w:lang w:val="en-US" w:eastAsia="zh-CN"/>
        </w:rPr>
        <w:t xml:space="preserve">    </w:t>
      </w:r>
      <w:r>
        <w:rPr>
          <w:rFonts w:ascii="Tahoma" w:hAnsi="Tahoma" w:eastAsia="宋体" w:cs="Tahoma"/>
          <w:color w:val="333333"/>
          <w:kern w:val="0"/>
          <w:szCs w:val="21"/>
          <w:shd w:val="clear" w:color="auto" w:fill="auto"/>
        </w:rPr>
        <w:t>收入收益类账户的借方登记减少数，贷方登记增加数，通常无余额。</w:t>
      </w: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jc w:val="left"/>
        <w:textAlignment w:val="auto"/>
        <w:outlineLvl w:val="9"/>
        <w:rPr>
          <w:rFonts w:ascii="Tahoma" w:hAnsi="Tahoma" w:eastAsia="宋体" w:cs="Tahoma"/>
          <w:color w:val="333333"/>
          <w:kern w:val="0"/>
          <w:szCs w:val="21"/>
          <w:shd w:val="clear" w:color="auto" w:fill="auto"/>
        </w:rPr>
      </w:pPr>
      <w:r>
        <w:rPr>
          <w:rFonts w:hint="eastAsia" w:ascii="Tahoma" w:hAnsi="Tahoma" w:eastAsia="宋体" w:cs="Tahoma"/>
          <w:color w:val="333333"/>
          <w:kern w:val="0"/>
          <w:szCs w:val="21"/>
          <w:shd w:val="clear" w:color="auto" w:fill="auto"/>
          <w:lang w:val="en-US" w:eastAsia="zh-CN"/>
        </w:rPr>
        <w:t xml:space="preserve">    </w:t>
      </w:r>
      <w:r>
        <w:rPr>
          <w:rFonts w:ascii="Tahoma" w:hAnsi="Tahoma" w:eastAsia="宋体" w:cs="Tahoma"/>
          <w:color w:val="333333"/>
          <w:kern w:val="0"/>
          <w:szCs w:val="21"/>
          <w:shd w:val="clear" w:color="auto" w:fill="auto"/>
        </w:rPr>
        <w:t> 账户之间存在着数字平衡关系，可以进行试算平衡。记账规则是有借必有贷，借贷必相等。在记录经纪业务时，必须以相等的金额同时记录在一个（或几个）账户借方和另一个（或几个）账户的贷方。</w:t>
      </w: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jc w:val="left"/>
        <w:textAlignment w:val="auto"/>
        <w:outlineLvl w:val="9"/>
        <w:rPr>
          <w:rFonts w:ascii="Tahoma" w:hAnsi="Tahoma" w:eastAsia="宋体" w:cs="Tahoma"/>
          <w:color w:val="333333"/>
          <w:kern w:val="0"/>
          <w:szCs w:val="21"/>
          <w:shd w:val="clear" w:color="auto" w:fill="auto"/>
        </w:rPr>
      </w:pPr>
      <w:r>
        <w:rPr>
          <w:rFonts w:ascii="Tahoma" w:hAnsi="Tahoma" w:eastAsia="宋体" w:cs="Tahoma"/>
          <w:b/>
          <w:bCs/>
          <w:color w:val="333333"/>
          <w:kern w:val="0"/>
          <w:szCs w:val="21"/>
          <w:shd w:val="clear" w:color="auto" w:fill="auto"/>
        </w:rPr>
        <w:t>2.账户（科目）有哪些类型？它们与会计要素是什么关系？</w:t>
      </w: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jc w:val="left"/>
        <w:textAlignment w:val="auto"/>
        <w:outlineLvl w:val="9"/>
        <w:rPr>
          <w:rFonts w:ascii="Tahoma" w:hAnsi="Tahoma" w:eastAsia="宋体" w:cs="Tahoma"/>
          <w:color w:val="333333"/>
          <w:kern w:val="0"/>
          <w:szCs w:val="21"/>
          <w:shd w:val="clear" w:color="auto" w:fill="auto"/>
        </w:rPr>
      </w:pPr>
      <w:r>
        <w:rPr>
          <w:rFonts w:hint="eastAsia" w:ascii="Tahoma" w:hAnsi="Tahoma" w:eastAsia="宋体" w:cs="Tahoma"/>
          <w:color w:val="333333"/>
          <w:kern w:val="0"/>
          <w:szCs w:val="21"/>
          <w:shd w:val="clear" w:color="auto" w:fill="auto"/>
          <w:lang w:val="en-US" w:eastAsia="zh-CN"/>
        </w:rPr>
        <w:t xml:space="preserve">    </w:t>
      </w:r>
      <w:r>
        <w:rPr>
          <w:rFonts w:ascii="Tahoma" w:hAnsi="Tahoma" w:eastAsia="宋体" w:cs="Tahoma"/>
          <w:color w:val="333333"/>
          <w:kern w:val="0"/>
          <w:szCs w:val="21"/>
          <w:shd w:val="clear" w:color="auto" w:fill="auto"/>
        </w:rPr>
        <w:t>从满足管理和会计信息使用者需要的角度考虑，账户按其经济内容可以分为资产类账户、负债类账户、所有者权益类账户、成本类账户和损益类账户等五类。</w:t>
      </w: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jc w:val="left"/>
        <w:textAlignment w:val="auto"/>
        <w:outlineLvl w:val="9"/>
        <w:rPr>
          <w:rFonts w:ascii="Tahoma" w:hAnsi="Tahoma" w:eastAsia="宋体" w:cs="Tahoma"/>
          <w:color w:val="333333"/>
          <w:kern w:val="0"/>
          <w:szCs w:val="21"/>
          <w:shd w:val="clear" w:color="auto" w:fill="auto"/>
        </w:rPr>
      </w:pPr>
      <w:r>
        <w:rPr>
          <w:rFonts w:hint="eastAsia" w:ascii="Tahoma" w:hAnsi="Tahoma" w:eastAsia="宋体" w:cs="Tahoma"/>
          <w:color w:val="333333"/>
          <w:kern w:val="0"/>
          <w:szCs w:val="21"/>
          <w:shd w:val="clear" w:color="auto" w:fill="auto"/>
          <w:lang w:val="en-US" w:eastAsia="zh-CN"/>
        </w:rPr>
        <w:t xml:space="preserve">    </w:t>
      </w:r>
      <w:r>
        <w:rPr>
          <w:rFonts w:ascii="Tahoma" w:hAnsi="Tahoma" w:eastAsia="宋体" w:cs="Tahoma"/>
          <w:color w:val="333333"/>
          <w:kern w:val="0"/>
          <w:szCs w:val="21"/>
          <w:shd w:val="clear" w:color="auto" w:fill="auto"/>
        </w:rPr>
        <w:t>会计要素是对会计对象的基本分类，是会计对象的具体化，是反映会计主体财务状况和经营成果的基本单位。会计科目是对会计要素进行分类的项目，它必须结合会计要素的特点来设置。只有通过对会计要素内容的再分类，确定科学合理的会计科目，才能对经济活动进行连续、系统、全面的记录和反映，为信息使用者提供更为全面有效的信息。</w:t>
      </w: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jc w:val="left"/>
        <w:textAlignment w:val="auto"/>
        <w:outlineLvl w:val="9"/>
        <w:rPr>
          <w:rFonts w:ascii="Tahoma" w:hAnsi="Tahoma" w:eastAsia="宋体" w:cs="Tahoma"/>
          <w:color w:val="333333"/>
          <w:kern w:val="0"/>
          <w:szCs w:val="21"/>
          <w:shd w:val="clear" w:color="auto" w:fill="auto"/>
        </w:rPr>
      </w:pPr>
      <w:r>
        <w:rPr>
          <w:rFonts w:ascii="Tahoma" w:hAnsi="Tahoma" w:eastAsia="宋体" w:cs="Tahoma"/>
          <w:b/>
          <w:bCs/>
          <w:color w:val="333333"/>
          <w:kern w:val="0"/>
          <w:szCs w:val="21"/>
          <w:shd w:val="clear" w:color="auto" w:fill="auto"/>
        </w:rPr>
        <w:t>3.会计等式都有哪些表达方式？试举例说明会计等式意义所在？</w:t>
      </w: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jc w:val="left"/>
        <w:textAlignment w:val="auto"/>
        <w:outlineLvl w:val="9"/>
        <w:rPr>
          <w:rFonts w:ascii="Tahoma" w:hAnsi="Tahoma" w:eastAsia="宋体" w:cs="Tahoma"/>
          <w:color w:val="333333"/>
          <w:kern w:val="0"/>
          <w:szCs w:val="21"/>
          <w:shd w:val="clear" w:color="auto" w:fill="auto"/>
        </w:rPr>
      </w:pPr>
      <w:r>
        <w:rPr>
          <w:rFonts w:ascii="Tahoma" w:hAnsi="Tahoma" w:eastAsia="宋体" w:cs="Tahoma"/>
          <w:color w:val="333333"/>
          <w:kern w:val="0"/>
          <w:szCs w:val="21"/>
          <w:shd w:val="clear" w:color="auto" w:fill="auto"/>
        </w:rPr>
        <w:t>（1）含义。会计等式是在会计核算中反映各个会计要素数量关系的等式，又称为会计方程式或会计平衡公式。</w:t>
      </w:r>
      <w:r>
        <w:rPr>
          <w:rFonts w:ascii="Tahoma" w:hAnsi="Tahoma" w:eastAsia="宋体" w:cs="Tahoma"/>
          <w:color w:val="333333"/>
          <w:kern w:val="0"/>
          <w:szCs w:val="21"/>
          <w:shd w:val="clear" w:color="auto" w:fill="auto"/>
        </w:rPr>
        <w:br w:type="textWrapping"/>
      </w:r>
      <w:r>
        <w:rPr>
          <w:rFonts w:ascii="Tahoma" w:hAnsi="Tahoma" w:eastAsia="宋体" w:cs="Tahoma"/>
          <w:color w:val="333333"/>
          <w:kern w:val="0"/>
          <w:szCs w:val="21"/>
          <w:shd w:val="clear" w:color="auto" w:fill="auto"/>
        </w:rPr>
        <w:t>（2）表达方式。会计等式的表达方式有：资产=权益，资产=负债+所有者权益，收入-费用=利润（或亏损）</w:t>
      </w:r>
      <w:r>
        <w:rPr>
          <w:rFonts w:ascii="Tahoma" w:hAnsi="Tahoma" w:eastAsia="宋体" w:cs="Tahoma"/>
          <w:color w:val="333333"/>
          <w:kern w:val="0"/>
          <w:szCs w:val="21"/>
          <w:shd w:val="clear" w:color="auto" w:fill="auto"/>
        </w:rPr>
        <w:br w:type="textWrapping"/>
      </w:r>
      <w:r>
        <w:rPr>
          <w:rFonts w:hint="eastAsia" w:ascii="Tahoma" w:hAnsi="Tahoma" w:eastAsia="宋体" w:cs="Tahoma"/>
          <w:color w:val="333333"/>
          <w:kern w:val="0"/>
          <w:szCs w:val="21"/>
          <w:shd w:val="clear" w:color="auto" w:fill="auto"/>
          <w:lang w:val="en-US" w:eastAsia="zh-CN"/>
        </w:rPr>
        <w:t xml:space="preserve">    </w:t>
      </w:r>
      <w:r>
        <w:rPr>
          <w:rFonts w:ascii="Tahoma" w:hAnsi="Tahoma" w:eastAsia="宋体" w:cs="Tahoma"/>
          <w:color w:val="333333"/>
          <w:kern w:val="0"/>
          <w:szCs w:val="21"/>
          <w:shd w:val="clear" w:color="auto" w:fill="auto"/>
        </w:rPr>
        <w:t>期末资产=期末负债+期初所有者权益+（收入-费用） 或 期末资产=期末负债+期初所有者权益+净收益 其中，“资产=负债+所有者权益”被称为会计等式的基本等式，“期末资产=期末负债+期初所有者权益+净收益”被称为会计等式的扩展等式。</w:t>
      </w: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jc w:val="left"/>
        <w:textAlignment w:val="auto"/>
        <w:outlineLvl w:val="9"/>
        <w:rPr>
          <w:rFonts w:ascii="Tahoma" w:hAnsi="Tahoma" w:eastAsia="宋体" w:cs="Tahoma"/>
          <w:color w:val="333333"/>
          <w:kern w:val="0"/>
          <w:szCs w:val="21"/>
          <w:shd w:val="clear" w:color="auto" w:fill="auto"/>
        </w:rPr>
      </w:pPr>
      <w:r>
        <w:rPr>
          <w:rFonts w:ascii="Tahoma" w:hAnsi="Tahoma" w:eastAsia="宋体" w:cs="Tahoma"/>
          <w:color w:val="333333"/>
          <w:kern w:val="0"/>
          <w:szCs w:val="21"/>
          <w:shd w:val="clear" w:color="auto" w:fill="auto"/>
        </w:rPr>
        <w:t> 会计等式是会计核算及借贷记账法等记账方法的依据的。</w:t>
      </w: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jc w:val="left"/>
        <w:textAlignment w:val="auto"/>
        <w:outlineLvl w:val="9"/>
        <w:rPr>
          <w:rFonts w:ascii="Tahoma" w:hAnsi="Tahoma" w:eastAsia="宋体" w:cs="Tahoma"/>
          <w:color w:val="333333"/>
          <w:kern w:val="0"/>
          <w:szCs w:val="21"/>
          <w:shd w:val="clear" w:color="auto" w:fill="auto"/>
        </w:rPr>
      </w:pPr>
      <w:r>
        <w:rPr>
          <w:rFonts w:ascii="Tahoma" w:hAnsi="Tahoma" w:eastAsia="宋体" w:cs="Tahoma"/>
          <w:b/>
          <w:bCs/>
          <w:color w:val="333333"/>
          <w:kern w:val="0"/>
          <w:szCs w:val="21"/>
          <w:shd w:val="clear" w:color="auto" w:fill="auto"/>
        </w:rPr>
        <w:t>4.说明会计主体假设，持续经营假设，会计分期假设和货币计量假设的内容。</w:t>
      </w: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jc w:val="left"/>
        <w:textAlignment w:val="auto"/>
        <w:outlineLvl w:val="9"/>
        <w:rPr>
          <w:rFonts w:ascii="Tahoma" w:hAnsi="Tahoma" w:eastAsia="宋体" w:cs="Tahoma"/>
          <w:color w:val="333333"/>
          <w:kern w:val="0"/>
          <w:szCs w:val="21"/>
          <w:shd w:val="clear" w:color="auto" w:fill="auto"/>
        </w:rPr>
      </w:pPr>
      <w:r>
        <w:rPr>
          <w:rFonts w:hint="eastAsia" w:ascii="Tahoma" w:hAnsi="Tahoma" w:eastAsia="宋体" w:cs="Tahoma"/>
          <w:color w:val="333333"/>
          <w:kern w:val="0"/>
          <w:szCs w:val="21"/>
          <w:shd w:val="clear" w:color="auto" w:fill="auto"/>
          <w:lang w:val="en-US" w:eastAsia="zh-CN"/>
        </w:rPr>
        <w:t xml:space="preserve">    </w:t>
      </w:r>
      <w:r>
        <w:rPr>
          <w:rFonts w:ascii="Tahoma" w:hAnsi="Tahoma" w:eastAsia="宋体" w:cs="Tahoma"/>
          <w:color w:val="333333"/>
          <w:kern w:val="0"/>
          <w:szCs w:val="21"/>
          <w:shd w:val="clear" w:color="auto" w:fill="auto"/>
        </w:rPr>
        <w:t>会计主体假设：会计上假设企业法人是一个独立的实体。会计关注的中心是企业而不是业主、合伙人。会计主体假设产生的原因在于恰当地维护业主投入到企业的资本的需要。</w:t>
      </w: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jc w:val="left"/>
        <w:textAlignment w:val="auto"/>
        <w:outlineLvl w:val="9"/>
        <w:rPr>
          <w:rFonts w:ascii="Tahoma" w:hAnsi="Tahoma" w:eastAsia="宋体" w:cs="Tahoma"/>
          <w:color w:val="333333"/>
          <w:kern w:val="0"/>
          <w:szCs w:val="21"/>
          <w:shd w:val="clear" w:color="auto" w:fill="auto"/>
        </w:rPr>
      </w:pPr>
      <w:r>
        <w:rPr>
          <w:rFonts w:hint="eastAsia" w:ascii="Tahoma" w:hAnsi="Tahoma" w:eastAsia="宋体" w:cs="Tahoma"/>
          <w:color w:val="333333"/>
          <w:kern w:val="0"/>
          <w:szCs w:val="21"/>
          <w:shd w:val="clear" w:color="auto" w:fill="auto"/>
          <w:lang w:val="en-US" w:eastAsia="zh-CN"/>
        </w:rPr>
        <w:t xml:space="preserve">    </w:t>
      </w:r>
      <w:r>
        <w:rPr>
          <w:rFonts w:ascii="Tahoma" w:hAnsi="Tahoma" w:eastAsia="宋体" w:cs="Tahoma"/>
          <w:color w:val="333333"/>
          <w:kern w:val="0"/>
          <w:szCs w:val="21"/>
          <w:shd w:val="clear" w:color="auto" w:fill="auto"/>
        </w:rPr>
        <w:t>持续经营假设：即假定每一个企业在可以预见的未来，不会面临破产和清算，因而它所拥有的资产将在正常的经营过程中被耗用或出售，它所承担的债务，也将在同样的过程中被偿还。若企业不能持续经营，就需要放弃这一假设，在清算假设下形成破产或重组的会计程序。</w:t>
      </w: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jc w:val="left"/>
        <w:textAlignment w:val="auto"/>
        <w:outlineLvl w:val="9"/>
        <w:rPr>
          <w:rFonts w:ascii="Tahoma" w:hAnsi="Tahoma" w:eastAsia="宋体" w:cs="Tahoma"/>
          <w:color w:val="333333"/>
          <w:kern w:val="0"/>
          <w:szCs w:val="21"/>
          <w:shd w:val="clear" w:color="auto" w:fill="auto"/>
        </w:rPr>
      </w:pPr>
      <w:r>
        <w:rPr>
          <w:rFonts w:hint="eastAsia" w:ascii="Tahoma" w:hAnsi="Tahoma" w:eastAsia="宋体" w:cs="Tahoma"/>
          <w:color w:val="333333"/>
          <w:kern w:val="0"/>
          <w:szCs w:val="21"/>
          <w:shd w:val="clear" w:color="auto" w:fill="auto"/>
          <w:lang w:val="en-US" w:eastAsia="zh-CN"/>
        </w:rPr>
        <w:t xml:space="preserve">    </w:t>
      </w:r>
      <w:r>
        <w:rPr>
          <w:rFonts w:ascii="Tahoma" w:hAnsi="Tahoma" w:eastAsia="宋体" w:cs="Tahoma"/>
          <w:color w:val="333333"/>
          <w:kern w:val="0"/>
          <w:szCs w:val="21"/>
          <w:shd w:val="clear" w:color="auto" w:fill="auto"/>
        </w:rPr>
        <w:t>会计分期假设：这一假设规定了会计对象的时间界限，将企业连续不断的经营活动分割为若干较短时期，以便提供会计信息，是正确计算收入、费用和损益的前提。</w:t>
      </w: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jc w:val="left"/>
        <w:textAlignment w:val="auto"/>
        <w:outlineLvl w:val="9"/>
        <w:rPr>
          <w:rFonts w:ascii="Tahoma" w:hAnsi="Tahoma" w:eastAsia="宋体" w:cs="Tahoma"/>
          <w:color w:val="333333"/>
          <w:kern w:val="0"/>
          <w:szCs w:val="21"/>
          <w:shd w:val="clear" w:color="auto" w:fill="auto"/>
        </w:rPr>
      </w:pPr>
      <w:r>
        <w:rPr>
          <w:rFonts w:hint="eastAsia" w:ascii="Tahoma" w:hAnsi="Tahoma" w:eastAsia="宋体" w:cs="Tahoma"/>
          <w:color w:val="333333"/>
          <w:kern w:val="0"/>
          <w:szCs w:val="21"/>
          <w:shd w:val="clear" w:color="auto" w:fill="auto"/>
          <w:lang w:val="en-US" w:eastAsia="zh-CN"/>
        </w:rPr>
        <w:t xml:space="preserve">    </w:t>
      </w:r>
      <w:r>
        <w:rPr>
          <w:rFonts w:ascii="Tahoma" w:hAnsi="Tahoma" w:eastAsia="宋体" w:cs="Tahoma"/>
          <w:color w:val="333333"/>
          <w:kern w:val="0"/>
          <w:szCs w:val="21"/>
          <w:shd w:val="clear" w:color="auto" w:fill="auto"/>
        </w:rPr>
        <w:t>货币计量假设：这一假设规定了会计的计量手段，指出企业的生产经营活动及其成果可以通过货币反映。它暗示含了两层意思，即币种的唯一性和币值的不变性。</w:t>
      </w: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jc w:val="left"/>
        <w:textAlignment w:val="auto"/>
        <w:outlineLvl w:val="9"/>
        <w:rPr>
          <w:rFonts w:ascii="Tahoma" w:hAnsi="Tahoma" w:eastAsia="宋体" w:cs="Tahoma"/>
          <w:color w:val="333333"/>
          <w:kern w:val="0"/>
          <w:szCs w:val="21"/>
          <w:shd w:val="clear" w:color="auto" w:fill="auto"/>
        </w:rPr>
      </w:pPr>
      <w:r>
        <w:rPr>
          <w:rFonts w:ascii="Tahoma" w:hAnsi="Tahoma" w:eastAsia="宋体" w:cs="Tahoma"/>
          <w:b/>
          <w:bCs/>
          <w:color w:val="333333"/>
          <w:kern w:val="0"/>
          <w:szCs w:val="21"/>
          <w:shd w:val="clear" w:color="auto" w:fill="auto"/>
        </w:rPr>
        <w:t>5.什么是权责发生制和收付实现制？并说明其各自的意义和局限性。</w:t>
      </w: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jc w:val="left"/>
        <w:textAlignment w:val="auto"/>
        <w:outlineLvl w:val="9"/>
        <w:rPr>
          <w:rFonts w:ascii="Tahoma" w:hAnsi="Tahoma" w:eastAsia="宋体" w:cs="Tahoma"/>
          <w:color w:val="333333"/>
          <w:kern w:val="0"/>
          <w:szCs w:val="21"/>
          <w:shd w:val="clear" w:color="auto" w:fill="auto"/>
        </w:rPr>
      </w:pPr>
      <w:r>
        <w:rPr>
          <w:rFonts w:hint="eastAsia" w:ascii="Tahoma" w:hAnsi="Tahoma" w:eastAsia="宋体" w:cs="Tahoma"/>
          <w:color w:val="333333"/>
          <w:kern w:val="0"/>
          <w:szCs w:val="21"/>
          <w:shd w:val="clear" w:color="auto" w:fill="auto"/>
          <w:lang w:val="en-US" w:eastAsia="zh-CN"/>
        </w:rPr>
        <w:t xml:space="preserve">    </w:t>
      </w:r>
      <w:r>
        <w:rPr>
          <w:rFonts w:ascii="Tahoma" w:hAnsi="Tahoma" w:eastAsia="宋体" w:cs="Tahoma"/>
          <w:color w:val="333333"/>
          <w:kern w:val="0"/>
          <w:szCs w:val="21"/>
          <w:shd w:val="clear" w:color="auto" w:fill="auto"/>
        </w:rPr>
        <w:t>权责发生制:以权利和责任的发生来决定收入和费用归属期的一项原则.。指凡是在本期内已经收到和已经发生或应当负担的一切费用，不论其款项是否收到或付出，都作为本期的收入和费用处理；反之，凡不属于本期的收入和费用，即使款项在本期收到或付出，也不应作为本期的收入和费用处理。</w:t>
      </w: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jc w:val="left"/>
        <w:textAlignment w:val="auto"/>
        <w:outlineLvl w:val="9"/>
        <w:rPr>
          <w:rFonts w:ascii="Tahoma" w:hAnsi="Tahoma" w:eastAsia="宋体" w:cs="Tahoma"/>
          <w:color w:val="333333"/>
          <w:kern w:val="0"/>
          <w:szCs w:val="21"/>
          <w:shd w:val="clear" w:color="auto" w:fill="auto"/>
        </w:rPr>
      </w:pPr>
      <w:r>
        <w:rPr>
          <w:rFonts w:hint="eastAsia" w:ascii="Tahoma" w:hAnsi="Tahoma" w:eastAsia="宋体" w:cs="Tahoma"/>
          <w:color w:val="333333"/>
          <w:kern w:val="0"/>
          <w:szCs w:val="21"/>
          <w:shd w:val="clear" w:color="auto" w:fill="auto"/>
          <w:lang w:val="en-US" w:eastAsia="zh-CN"/>
        </w:rPr>
        <w:t xml:space="preserve">    </w:t>
      </w:r>
      <w:r>
        <w:rPr>
          <w:rFonts w:ascii="Tahoma" w:hAnsi="Tahoma" w:eastAsia="宋体" w:cs="Tahoma"/>
          <w:color w:val="333333"/>
          <w:kern w:val="0"/>
          <w:szCs w:val="21"/>
          <w:shd w:val="clear" w:color="auto" w:fill="auto"/>
        </w:rPr>
        <w:t>意义：可以正确反映各个会计期间所实现的收入和为实现收入所应负担的费用，从而可以把各期的收入与其相关的费用、成本相配合，加以比较，正确确定各期的收益。能够恰当地反映具体某一会计期间的经营成果，权责发生制会计把经济活动有关的成本和利润记录，同现金的实际收支区分开来。</w:t>
      </w: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jc w:val="left"/>
        <w:textAlignment w:val="auto"/>
        <w:outlineLvl w:val="9"/>
        <w:rPr>
          <w:rFonts w:ascii="Tahoma" w:hAnsi="Tahoma" w:eastAsia="宋体" w:cs="Tahoma"/>
          <w:color w:val="333333"/>
          <w:kern w:val="0"/>
          <w:szCs w:val="21"/>
          <w:shd w:val="clear" w:color="auto" w:fill="auto"/>
        </w:rPr>
      </w:pPr>
      <w:r>
        <w:rPr>
          <w:rFonts w:hint="eastAsia" w:ascii="Tahoma" w:hAnsi="Tahoma" w:eastAsia="宋体" w:cs="Tahoma"/>
          <w:color w:val="333333"/>
          <w:kern w:val="0"/>
          <w:szCs w:val="21"/>
          <w:shd w:val="clear" w:color="auto" w:fill="auto"/>
          <w:lang w:val="en-US" w:eastAsia="zh-CN"/>
        </w:rPr>
        <w:t xml:space="preserve">    </w:t>
      </w:r>
      <w:r>
        <w:rPr>
          <w:rFonts w:ascii="Tahoma" w:hAnsi="Tahoma" w:eastAsia="宋体" w:cs="Tahoma"/>
          <w:color w:val="333333"/>
          <w:kern w:val="0"/>
          <w:szCs w:val="21"/>
          <w:shd w:val="clear" w:color="auto" w:fill="auto"/>
        </w:rPr>
        <w:t>局限：一个在损益表上看来经营很好，效率很高的企业，在资产负债表上却可能没有相应的变现资金而陷入财务困境。这是由于权责发生制把应计的收入和费用都反映在损益表上，而其在资产负债表上则部分反映为现金收支，部分反映为债权债务。为提示这种情况，应编制以收付实现制为基础的现金流量或财务状况变动表。弥补权责发生制的不足。</w:t>
      </w: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jc w:val="left"/>
        <w:textAlignment w:val="auto"/>
        <w:outlineLvl w:val="9"/>
        <w:rPr>
          <w:rFonts w:ascii="Tahoma" w:hAnsi="Tahoma" w:eastAsia="宋体" w:cs="Tahoma"/>
          <w:color w:val="333333"/>
          <w:kern w:val="0"/>
          <w:szCs w:val="21"/>
          <w:shd w:val="clear" w:color="auto" w:fill="auto"/>
        </w:rPr>
      </w:pPr>
      <w:r>
        <w:rPr>
          <w:rFonts w:hint="eastAsia" w:ascii="Tahoma" w:hAnsi="Tahoma" w:eastAsia="宋体" w:cs="Tahoma"/>
          <w:color w:val="333333"/>
          <w:kern w:val="0"/>
          <w:szCs w:val="21"/>
          <w:shd w:val="clear" w:color="auto" w:fill="auto"/>
          <w:lang w:val="en-US" w:eastAsia="zh-CN"/>
        </w:rPr>
        <w:t xml:space="preserve">    </w:t>
      </w:r>
      <w:r>
        <w:rPr>
          <w:rFonts w:ascii="Tahoma" w:hAnsi="Tahoma" w:eastAsia="宋体" w:cs="Tahoma"/>
          <w:color w:val="333333"/>
          <w:kern w:val="0"/>
          <w:szCs w:val="21"/>
          <w:shd w:val="clear" w:color="auto" w:fill="auto"/>
        </w:rPr>
        <w:t>收付实现制又称现金制或实收实付制是以现金收到或付出为标准，来记录收入的实现和费用的发生。按照收付实现制，收入和费用的归属期间将与现金收支行为的发生与否，紧密地联系在一起。换言之，现金收支行为在其发生的期间全部记作收入和费用，而不考虑与现金收支行为相连的经济业务实质上是否发生。</w:t>
      </w: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jc w:val="left"/>
        <w:textAlignment w:val="auto"/>
        <w:outlineLvl w:val="9"/>
        <w:rPr>
          <w:rFonts w:ascii="Tahoma" w:hAnsi="Tahoma" w:eastAsia="宋体" w:cs="Tahoma"/>
          <w:color w:val="333333"/>
          <w:kern w:val="0"/>
          <w:szCs w:val="21"/>
          <w:shd w:val="clear" w:color="auto" w:fill="auto"/>
        </w:rPr>
      </w:pPr>
      <w:r>
        <w:rPr>
          <w:rFonts w:hint="eastAsia" w:ascii="Tahoma" w:hAnsi="Tahoma" w:eastAsia="宋体" w:cs="Tahoma"/>
          <w:color w:val="333333"/>
          <w:kern w:val="0"/>
          <w:szCs w:val="21"/>
          <w:shd w:val="clear" w:color="auto" w:fill="auto"/>
          <w:lang w:val="en-US" w:eastAsia="zh-CN"/>
        </w:rPr>
        <w:t xml:space="preserve">    </w:t>
      </w:r>
      <w:r>
        <w:rPr>
          <w:rFonts w:ascii="Tahoma" w:hAnsi="Tahoma" w:eastAsia="宋体" w:cs="Tahoma"/>
          <w:color w:val="333333"/>
          <w:kern w:val="0"/>
          <w:szCs w:val="21"/>
          <w:shd w:val="clear" w:color="auto" w:fill="auto"/>
        </w:rPr>
        <w:t>优点：收付实现制会计基础在证明现金支出符合性控制合规方面具有独特的功效。采用收付实现制，会计确认数是实际入库的预算资金，便于安排预算拨款和预算支出的进度，并如实反映预算收支结果。在评价政府对经济的影响时，相当便利的现金指标既能提供现实的信息，又使控制具有明确针对性。此外，收付实现制操作简单，需要的会计技术较少，易于被使用者理解，数据处理成本比较低廉。</w:t>
      </w: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jc w:val="left"/>
        <w:textAlignment w:val="auto"/>
        <w:outlineLvl w:val="9"/>
        <w:rPr>
          <w:rFonts w:ascii="Tahoma" w:hAnsi="Tahoma" w:eastAsia="宋体" w:cs="Tahoma"/>
          <w:color w:val="333333"/>
          <w:kern w:val="0"/>
          <w:szCs w:val="21"/>
          <w:shd w:val="clear" w:color="auto" w:fill="auto"/>
        </w:rPr>
      </w:pPr>
      <w:r>
        <w:rPr>
          <w:rFonts w:hint="eastAsia" w:ascii="Tahoma" w:hAnsi="Tahoma" w:eastAsia="宋体" w:cs="Tahoma"/>
          <w:color w:val="333333"/>
          <w:kern w:val="0"/>
          <w:szCs w:val="21"/>
          <w:shd w:val="clear" w:color="auto" w:fill="auto"/>
          <w:lang w:val="en-US" w:eastAsia="zh-CN"/>
        </w:rPr>
        <w:t xml:space="preserve">    </w:t>
      </w:r>
      <w:r>
        <w:rPr>
          <w:rFonts w:ascii="Tahoma" w:hAnsi="Tahoma" w:eastAsia="宋体" w:cs="Tahoma"/>
          <w:color w:val="333333"/>
          <w:kern w:val="0"/>
          <w:szCs w:val="21"/>
          <w:shd w:val="clear" w:color="auto" w:fill="auto"/>
        </w:rPr>
        <w:t>局限：只反映一定时期货币资金流入减去流出后的净流量，无法全面、公正合理地衡量主体各期的经营成果。1）反映内容不准确（对于现金支付与否产生的资产负债失真问题） 2）不利于成本的核算（固定资产的折旧费就无法体现） 3）容易引发不合理的收支规模的波动</w:t>
      </w: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jc w:val="left"/>
        <w:textAlignment w:val="auto"/>
        <w:outlineLvl w:val="9"/>
        <w:rPr>
          <w:rFonts w:ascii="Tahoma" w:hAnsi="Tahoma" w:eastAsia="宋体" w:cs="Tahoma"/>
          <w:color w:val="333333"/>
          <w:kern w:val="0"/>
          <w:szCs w:val="21"/>
          <w:shd w:val="clear" w:color="auto" w:fill="auto"/>
        </w:rPr>
      </w:pPr>
      <w:r>
        <w:rPr>
          <w:rFonts w:ascii="Tahoma" w:hAnsi="Tahoma" w:eastAsia="宋体" w:cs="Tahoma"/>
          <w:b/>
          <w:bCs/>
          <w:color w:val="333333"/>
          <w:kern w:val="0"/>
          <w:szCs w:val="21"/>
          <w:shd w:val="clear" w:color="auto" w:fill="auto"/>
        </w:rPr>
        <w:t>6.所有者权益和债权人权益的特征和区别有哪些？</w:t>
      </w: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jc w:val="left"/>
        <w:textAlignment w:val="auto"/>
        <w:outlineLvl w:val="9"/>
        <w:rPr>
          <w:rFonts w:ascii="Tahoma" w:hAnsi="Tahoma" w:eastAsia="宋体" w:cs="Tahoma"/>
          <w:color w:val="333333"/>
          <w:kern w:val="0"/>
          <w:szCs w:val="21"/>
          <w:shd w:val="clear" w:color="auto" w:fill="auto"/>
        </w:rPr>
      </w:pPr>
      <w:r>
        <w:rPr>
          <w:rFonts w:ascii="Tahoma" w:hAnsi="Tahoma" w:eastAsia="宋体" w:cs="Tahoma"/>
          <w:color w:val="333333"/>
          <w:kern w:val="0"/>
          <w:szCs w:val="21"/>
          <w:shd w:val="clear" w:color="auto" w:fill="auto"/>
        </w:rPr>
        <w:t>所有者权益与负债同属于“权益”，权益是指对企业资产的求偿权，二者的区别是：</w:t>
      </w:r>
      <w:r>
        <w:rPr>
          <w:rFonts w:ascii="Tahoma" w:hAnsi="Tahoma" w:eastAsia="宋体" w:cs="Tahoma"/>
          <w:color w:val="333333"/>
          <w:kern w:val="0"/>
          <w:szCs w:val="21"/>
          <w:shd w:val="clear" w:color="auto" w:fill="auto"/>
        </w:rPr>
        <w:br w:type="textWrapping"/>
      </w:r>
      <w:r>
        <w:rPr>
          <w:rFonts w:ascii="Tahoma" w:hAnsi="Tahoma" w:eastAsia="宋体" w:cs="Tahoma"/>
          <w:color w:val="333333"/>
          <w:kern w:val="0"/>
          <w:szCs w:val="21"/>
          <w:shd w:val="clear" w:color="auto" w:fill="auto"/>
        </w:rPr>
        <w:t>　　(1)性质不同：负债是债权人权益，到期可以收回本息</w:t>
      </w:r>
      <w:r>
        <w:rPr>
          <w:rFonts w:ascii="Tahoma" w:hAnsi="Tahoma" w:eastAsia="宋体" w:cs="Tahoma"/>
          <w:color w:val="333333"/>
          <w:kern w:val="0"/>
          <w:szCs w:val="21"/>
          <w:shd w:val="clear" w:color="auto" w:fill="auto"/>
        </w:rPr>
        <w:br w:type="textWrapping"/>
      </w:r>
      <w:r>
        <w:rPr>
          <w:rFonts w:ascii="Tahoma" w:hAnsi="Tahoma" w:eastAsia="宋体" w:cs="Tahoma"/>
          <w:color w:val="333333"/>
          <w:kern w:val="0"/>
          <w:szCs w:val="21"/>
          <w:shd w:val="clear" w:color="auto" w:fill="auto"/>
        </w:rPr>
        <w:t>　　所有者权益是所有者对企业净资产的求偿权，没有明确的偿还期限</w:t>
      </w:r>
      <w:r>
        <w:rPr>
          <w:rFonts w:ascii="Tahoma" w:hAnsi="Tahoma" w:eastAsia="宋体" w:cs="Tahoma"/>
          <w:color w:val="333333"/>
          <w:kern w:val="0"/>
          <w:szCs w:val="21"/>
          <w:shd w:val="clear" w:color="auto" w:fill="auto"/>
        </w:rPr>
        <w:br w:type="textWrapping"/>
      </w:r>
      <w:r>
        <w:rPr>
          <w:rFonts w:ascii="Tahoma" w:hAnsi="Tahoma" w:eastAsia="宋体" w:cs="Tahoma"/>
          <w:color w:val="333333"/>
          <w:kern w:val="0"/>
          <w:szCs w:val="21"/>
          <w:shd w:val="clear" w:color="auto" w:fill="auto"/>
        </w:rPr>
        <w:t>　　(2)偿还责任不同：负债要求企业按规定时间和利率支付利息，到期偿还本金</w:t>
      </w:r>
      <w:r>
        <w:rPr>
          <w:rFonts w:ascii="Tahoma" w:hAnsi="Tahoma" w:eastAsia="宋体" w:cs="Tahoma"/>
          <w:color w:val="333333"/>
          <w:kern w:val="0"/>
          <w:szCs w:val="21"/>
          <w:shd w:val="clear" w:color="auto" w:fill="auto"/>
        </w:rPr>
        <w:br w:type="textWrapping"/>
      </w:r>
      <w:r>
        <w:rPr>
          <w:rFonts w:ascii="Tahoma" w:hAnsi="Tahoma" w:eastAsia="宋体" w:cs="Tahoma"/>
          <w:color w:val="333333"/>
          <w:kern w:val="0"/>
          <w:szCs w:val="21"/>
          <w:shd w:val="clear" w:color="auto" w:fill="auto"/>
        </w:rPr>
        <w:t>　　所有者权益则与企业共存亡，无需偿还</w:t>
      </w:r>
      <w:r>
        <w:rPr>
          <w:rFonts w:ascii="Tahoma" w:hAnsi="Tahoma" w:eastAsia="宋体" w:cs="Tahoma"/>
          <w:color w:val="333333"/>
          <w:kern w:val="0"/>
          <w:szCs w:val="21"/>
          <w:shd w:val="clear" w:color="auto" w:fill="auto"/>
        </w:rPr>
        <w:br w:type="textWrapping"/>
      </w:r>
      <w:r>
        <w:rPr>
          <w:rFonts w:ascii="Tahoma" w:hAnsi="Tahoma" w:eastAsia="宋体" w:cs="Tahoma"/>
          <w:color w:val="333333"/>
          <w:kern w:val="0"/>
          <w:szCs w:val="21"/>
          <w:shd w:val="clear" w:color="auto" w:fill="auto"/>
        </w:rPr>
        <w:t>　　(3)享受权利不同：债权人享受收回本金和按约定收回利息的权利，没有参与经营的权利，也没有参与企业收益分配的权利</w:t>
      </w:r>
      <w:r>
        <w:rPr>
          <w:rFonts w:ascii="Tahoma" w:hAnsi="Tahoma" w:eastAsia="宋体" w:cs="Tahoma"/>
          <w:color w:val="333333"/>
          <w:kern w:val="0"/>
          <w:szCs w:val="21"/>
          <w:shd w:val="clear" w:color="auto" w:fill="auto"/>
        </w:rPr>
        <w:br w:type="textWrapping"/>
      </w:r>
      <w:r>
        <w:rPr>
          <w:rFonts w:ascii="Tahoma" w:hAnsi="Tahoma" w:eastAsia="宋体" w:cs="Tahoma"/>
          <w:color w:val="333333"/>
          <w:kern w:val="0"/>
          <w:szCs w:val="21"/>
          <w:shd w:val="clear" w:color="auto" w:fill="auto"/>
        </w:rPr>
        <w:t>　　所有者既具有参与企业管理的权利，也具有参与收益分配的权利。</w:t>
      </w:r>
      <w:r>
        <w:rPr>
          <w:rFonts w:ascii="Tahoma" w:hAnsi="Tahoma" w:eastAsia="宋体" w:cs="Tahoma"/>
          <w:color w:val="333333"/>
          <w:kern w:val="0"/>
          <w:szCs w:val="21"/>
          <w:shd w:val="clear" w:color="auto" w:fill="auto"/>
        </w:rPr>
        <w:br w:type="textWrapping"/>
      </w:r>
      <w:r>
        <w:rPr>
          <w:rFonts w:ascii="Tahoma" w:hAnsi="Tahoma" w:eastAsia="宋体" w:cs="Tahoma"/>
          <w:color w:val="333333"/>
          <w:kern w:val="0"/>
          <w:szCs w:val="21"/>
          <w:shd w:val="clear" w:color="auto" w:fill="auto"/>
        </w:rPr>
        <w:t>　　(4)计量特性不同：负债可以单独直接计量，而所有者权益除了投资者投资时以外，一般不能直接计量，通过资产和负债的计量来进行间接的计量。</w:t>
      </w:r>
      <w:r>
        <w:rPr>
          <w:rFonts w:ascii="Tahoma" w:hAnsi="Tahoma" w:eastAsia="宋体" w:cs="Tahoma"/>
          <w:color w:val="333333"/>
          <w:kern w:val="0"/>
          <w:szCs w:val="21"/>
          <w:shd w:val="clear" w:color="auto" w:fill="auto"/>
        </w:rPr>
        <w:br w:type="textWrapping"/>
      </w:r>
      <w:r>
        <w:rPr>
          <w:rFonts w:ascii="Tahoma" w:hAnsi="Tahoma" w:eastAsia="宋体" w:cs="Tahoma"/>
          <w:color w:val="333333"/>
          <w:kern w:val="0"/>
          <w:szCs w:val="21"/>
          <w:shd w:val="clear" w:color="auto" w:fill="auto"/>
        </w:rPr>
        <w:t>　　(5)风险和收益的大小不同：负债风险小，收益一般也要小些</w:t>
      </w:r>
      <w:r>
        <w:rPr>
          <w:rFonts w:ascii="Tahoma" w:hAnsi="Tahoma" w:eastAsia="宋体" w:cs="Tahoma"/>
          <w:color w:val="333333"/>
          <w:kern w:val="0"/>
          <w:szCs w:val="21"/>
          <w:shd w:val="clear" w:color="auto" w:fill="auto"/>
        </w:rPr>
        <w:br w:type="textWrapping"/>
      </w:r>
      <w:r>
        <w:rPr>
          <w:rFonts w:ascii="Tahoma" w:hAnsi="Tahoma" w:eastAsia="宋体" w:cs="Tahoma"/>
          <w:color w:val="333333"/>
          <w:kern w:val="0"/>
          <w:szCs w:val="21"/>
          <w:shd w:val="clear" w:color="auto" w:fill="auto"/>
        </w:rPr>
        <w:t>　　所有者权益风险大，收益可能较高</w:t>
      </w: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jc w:val="left"/>
        <w:textAlignment w:val="auto"/>
        <w:outlineLvl w:val="9"/>
        <w:rPr>
          <w:rFonts w:ascii="Tahoma" w:hAnsi="Tahoma" w:eastAsia="宋体" w:cs="Tahoma"/>
          <w:color w:val="333333"/>
          <w:kern w:val="0"/>
          <w:szCs w:val="21"/>
          <w:shd w:val="clear" w:color="auto" w:fill="auto"/>
        </w:rPr>
      </w:pPr>
      <w:r>
        <w:rPr>
          <w:rFonts w:ascii="Tahoma" w:hAnsi="Tahoma" w:eastAsia="宋体" w:cs="Tahoma"/>
          <w:b/>
          <w:bCs/>
          <w:color w:val="333333"/>
          <w:kern w:val="0"/>
          <w:szCs w:val="21"/>
          <w:shd w:val="clear" w:color="auto" w:fill="auto"/>
        </w:rPr>
        <w:t>7.长期借款与短期借款的会计核算有什么区别？</w:t>
      </w: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firstLine="420"/>
        <w:jc w:val="left"/>
        <w:textAlignment w:val="auto"/>
        <w:outlineLvl w:val="9"/>
        <w:rPr>
          <w:rFonts w:ascii="Tahoma" w:hAnsi="Tahoma" w:eastAsia="宋体" w:cs="Tahoma"/>
          <w:color w:val="333333"/>
          <w:kern w:val="0"/>
          <w:szCs w:val="21"/>
          <w:shd w:val="clear" w:color="auto" w:fill="auto"/>
        </w:rPr>
      </w:pPr>
      <w:r>
        <w:rPr>
          <w:rFonts w:ascii="Tahoma" w:hAnsi="Tahoma" w:eastAsia="宋体" w:cs="Tahoma"/>
          <w:color w:val="333333"/>
          <w:kern w:val="0"/>
          <w:szCs w:val="21"/>
          <w:shd w:val="clear" w:color="auto" w:fill="auto"/>
        </w:rPr>
        <w:t>短期借款和长期借款的偿还期不同；借款的用途不同；利息处理方法不同；“短期借款”账户只核算其本金的增减变化，利息处理可采用预提方式或在支付时计入当期损益两种方法；预计的利息计入“财务费用”账户，利息债务计入“预提费用”账户。“长期借款”账户核算的是本利和的增减变化，利息只能采用预提方式，预计的利息按借款原则处理，形成的利息债务计入“长期借款”账户。</w:t>
      </w: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firstLine="420"/>
        <w:jc w:val="left"/>
        <w:textAlignment w:val="auto"/>
        <w:outlineLvl w:val="9"/>
        <w:rPr>
          <w:rFonts w:ascii="Tahoma" w:hAnsi="Tahoma" w:eastAsia="宋体" w:cs="Tahoma"/>
          <w:color w:val="333333"/>
          <w:kern w:val="0"/>
          <w:szCs w:val="21"/>
          <w:shd w:val="clear" w:color="auto" w:fill="auto"/>
        </w:rPr>
      </w:pP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jc w:val="left"/>
        <w:textAlignment w:val="auto"/>
        <w:outlineLvl w:val="9"/>
        <w:rPr>
          <w:rFonts w:ascii="Tahoma" w:hAnsi="Tahoma" w:eastAsia="宋体" w:cs="Tahoma"/>
          <w:color w:val="333333"/>
          <w:kern w:val="0"/>
          <w:szCs w:val="21"/>
          <w:shd w:val="clear" w:color="auto" w:fill="auto"/>
        </w:rPr>
      </w:pPr>
      <w:r>
        <w:rPr>
          <w:rFonts w:ascii="Tahoma" w:hAnsi="Tahoma" w:eastAsia="宋体" w:cs="Tahoma"/>
          <w:b/>
          <w:bCs/>
          <w:color w:val="333333"/>
          <w:kern w:val="0"/>
          <w:szCs w:val="21"/>
          <w:shd w:val="clear" w:color="auto" w:fill="auto"/>
        </w:rPr>
        <w:t>8.银行存款如何清查？如何发现银行存款记录中的错误？</w:t>
      </w: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firstLine="420"/>
        <w:jc w:val="left"/>
        <w:textAlignment w:val="auto"/>
        <w:outlineLvl w:val="9"/>
        <w:rPr>
          <w:rFonts w:ascii="Tahoma" w:hAnsi="Tahoma" w:eastAsia="宋体" w:cs="Tahoma"/>
          <w:color w:val="333333"/>
          <w:kern w:val="0"/>
          <w:szCs w:val="21"/>
          <w:shd w:val="clear" w:color="auto" w:fill="auto"/>
        </w:rPr>
      </w:pPr>
      <w:r>
        <w:rPr>
          <w:rFonts w:ascii="Tahoma" w:hAnsi="Tahoma" w:eastAsia="宋体" w:cs="Tahoma"/>
          <w:color w:val="333333"/>
          <w:kern w:val="0"/>
          <w:szCs w:val="21"/>
          <w:shd w:val="clear" w:color="auto" w:fill="auto"/>
        </w:rPr>
        <w:t>银行存款清查的方法就是将本单位银行存款日记账的账面金额与开户银行送来的对账单上银行存款的余额逐笔进行核对（称为对账单法）</w:t>
      </w:r>
    </w:p>
    <w:p>
      <w:pPr>
        <w:keepNext w:val="0"/>
        <w:keepLines w:val="0"/>
        <w:pageBreakBefore w:val="0"/>
        <w:widowControl/>
        <w:shd w:val="clear" w:color="auto" w:fill="FAFAFA"/>
        <w:kinsoku/>
        <w:wordWrap/>
        <w:overflowPunct/>
        <w:topLinePunct w:val="0"/>
        <w:autoSpaceDE/>
        <w:autoSpaceDN/>
        <w:bidi w:val="0"/>
        <w:adjustRightInd/>
        <w:snapToGrid/>
        <w:spacing w:line="240" w:lineRule="auto"/>
        <w:ind w:right="0" w:rightChars="0"/>
        <w:jc w:val="left"/>
        <w:textAlignment w:val="auto"/>
        <w:outlineLvl w:val="9"/>
        <w:rPr>
          <w:rFonts w:ascii="Tahoma" w:hAnsi="Tahoma" w:eastAsia="宋体" w:cs="Tahoma"/>
          <w:color w:val="333333"/>
          <w:kern w:val="0"/>
          <w:szCs w:val="21"/>
          <w:shd w:val="clear" w:color="auto" w:fill="auto"/>
        </w:rPr>
      </w:pP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jc w:val="left"/>
        <w:textAlignment w:val="auto"/>
        <w:outlineLvl w:val="9"/>
        <w:rPr>
          <w:rFonts w:ascii="Tahoma" w:hAnsi="Tahoma" w:eastAsia="宋体" w:cs="Tahoma"/>
          <w:color w:val="333333"/>
          <w:kern w:val="0"/>
          <w:szCs w:val="21"/>
          <w:shd w:val="clear" w:color="auto" w:fill="auto"/>
        </w:rPr>
      </w:pPr>
      <w:r>
        <w:rPr>
          <w:rFonts w:hint="eastAsia" w:ascii="Tahoma" w:hAnsi="Tahoma" w:eastAsia="宋体" w:cs="Tahoma"/>
          <w:color w:val="333333"/>
          <w:kern w:val="0"/>
          <w:szCs w:val="21"/>
          <w:shd w:val="clear" w:color="auto" w:fill="auto"/>
          <w:lang w:val="en-US" w:eastAsia="zh-CN"/>
        </w:rPr>
        <w:t xml:space="preserve">    </w:t>
      </w:r>
      <w:r>
        <w:rPr>
          <w:rFonts w:ascii="Tahoma" w:hAnsi="Tahoma" w:eastAsia="宋体" w:cs="Tahoma"/>
          <w:color w:val="333333"/>
          <w:kern w:val="0"/>
          <w:szCs w:val="21"/>
          <w:shd w:val="clear" w:color="auto" w:fill="auto"/>
        </w:rPr>
        <w:t>银行存款日记账的核对主要包括以下三项内容：</w:t>
      </w: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jc w:val="left"/>
        <w:textAlignment w:val="auto"/>
        <w:outlineLvl w:val="9"/>
        <w:rPr>
          <w:rFonts w:ascii="Tahoma" w:hAnsi="Tahoma" w:eastAsia="宋体" w:cs="Tahoma"/>
          <w:color w:val="333333"/>
          <w:kern w:val="0"/>
          <w:szCs w:val="21"/>
          <w:shd w:val="clear" w:color="auto" w:fill="auto"/>
        </w:rPr>
      </w:pPr>
      <w:r>
        <w:rPr>
          <w:rFonts w:ascii="Tahoma" w:hAnsi="Tahoma" w:eastAsia="宋体" w:cs="Tahoma"/>
          <w:color w:val="333333"/>
          <w:kern w:val="0"/>
          <w:szCs w:val="21"/>
          <w:shd w:val="clear" w:color="auto" w:fill="auto"/>
        </w:rPr>
        <w:t>　　一是银行存款日记账与银行存款收、付款凭证互相核对，做到账证相符。</w:t>
      </w: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jc w:val="left"/>
        <w:textAlignment w:val="auto"/>
        <w:outlineLvl w:val="9"/>
        <w:rPr>
          <w:rFonts w:ascii="Tahoma" w:hAnsi="Tahoma" w:eastAsia="宋体" w:cs="Tahoma"/>
          <w:color w:val="333333"/>
          <w:kern w:val="0"/>
          <w:szCs w:val="21"/>
          <w:shd w:val="clear" w:color="auto" w:fill="auto"/>
        </w:rPr>
      </w:pPr>
      <w:r>
        <w:rPr>
          <w:rFonts w:ascii="Tahoma" w:hAnsi="Tahoma" w:eastAsia="宋体" w:cs="Tahoma"/>
          <w:color w:val="333333"/>
          <w:kern w:val="0"/>
          <w:szCs w:val="21"/>
          <w:shd w:val="clear" w:color="auto" w:fill="auto"/>
        </w:rPr>
        <w:t>　　二是银行存款日记账与银行存款总账互相核对，做到账账相符。</w:t>
      </w: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firstLine="420"/>
        <w:jc w:val="left"/>
        <w:textAlignment w:val="auto"/>
        <w:outlineLvl w:val="9"/>
        <w:rPr>
          <w:rFonts w:ascii="Tahoma" w:hAnsi="Tahoma" w:eastAsia="宋体" w:cs="Tahoma"/>
          <w:color w:val="333333"/>
          <w:kern w:val="0"/>
          <w:szCs w:val="21"/>
          <w:shd w:val="clear" w:color="auto" w:fill="auto"/>
        </w:rPr>
      </w:pPr>
      <w:r>
        <w:rPr>
          <w:rFonts w:ascii="Tahoma" w:hAnsi="Tahoma" w:eastAsia="宋体" w:cs="Tahoma"/>
          <w:color w:val="333333"/>
          <w:kern w:val="0"/>
          <w:szCs w:val="21"/>
          <w:shd w:val="clear" w:color="auto" w:fill="auto"/>
        </w:rPr>
        <w:t>三是银行存款日记账与银行开出的银行存款对账单互相核对，做到账实相符。</w:t>
      </w: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firstLine="420"/>
        <w:jc w:val="left"/>
        <w:textAlignment w:val="auto"/>
        <w:outlineLvl w:val="9"/>
        <w:rPr>
          <w:rFonts w:ascii="Tahoma" w:hAnsi="Tahoma" w:eastAsia="宋体" w:cs="Tahoma"/>
          <w:color w:val="333333"/>
          <w:kern w:val="0"/>
          <w:szCs w:val="21"/>
          <w:shd w:val="clear" w:color="auto" w:fill="auto"/>
        </w:rPr>
      </w:pP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jc w:val="left"/>
        <w:textAlignment w:val="auto"/>
        <w:outlineLvl w:val="9"/>
        <w:rPr>
          <w:rFonts w:ascii="Tahoma" w:hAnsi="Tahoma" w:eastAsia="宋体" w:cs="Tahoma"/>
          <w:color w:val="333333"/>
          <w:kern w:val="0"/>
          <w:szCs w:val="21"/>
          <w:shd w:val="clear" w:color="auto" w:fill="auto"/>
        </w:rPr>
      </w:pPr>
      <w:r>
        <w:rPr>
          <w:rFonts w:hint="eastAsia" w:ascii="Tahoma" w:hAnsi="Tahoma" w:eastAsia="宋体" w:cs="Tahoma"/>
          <w:color w:val="333333"/>
          <w:kern w:val="0"/>
          <w:szCs w:val="21"/>
          <w:shd w:val="clear" w:color="auto" w:fill="auto"/>
          <w:lang w:val="en-US" w:eastAsia="zh-CN"/>
        </w:rPr>
        <w:t xml:space="preserve">    </w:t>
      </w:r>
      <w:r>
        <w:rPr>
          <w:rFonts w:ascii="Tahoma" w:hAnsi="Tahoma" w:eastAsia="宋体" w:cs="Tahoma"/>
          <w:color w:val="333333"/>
          <w:kern w:val="0"/>
          <w:szCs w:val="21"/>
          <w:shd w:val="clear" w:color="auto" w:fill="auto"/>
        </w:rPr>
        <w:t>理论上讲，企业银行存款日记账的记录与银行开出的“银行存款对账单”无论是发生额，还是期末余额都应该是完全一致的，因为它们是对同一账号存款的记录。但是，通过核对，我们会发现双方的账目经常出现不一致的情况。原因有两个，一是有“未达账项”；二是双方账目可能发生记录错误。</w:t>
      </w: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jc w:val="left"/>
        <w:textAlignment w:val="auto"/>
        <w:outlineLvl w:val="9"/>
        <w:rPr>
          <w:rFonts w:ascii="Tahoma" w:hAnsi="Tahoma" w:eastAsia="宋体" w:cs="Tahoma"/>
          <w:color w:val="333333"/>
          <w:kern w:val="0"/>
          <w:szCs w:val="21"/>
          <w:shd w:val="clear" w:color="auto" w:fill="auto"/>
        </w:rPr>
      </w:pPr>
      <w:r>
        <w:rPr>
          <w:rFonts w:ascii="Tahoma" w:hAnsi="Tahoma" w:eastAsia="宋体" w:cs="Tahoma"/>
          <w:color w:val="333333"/>
          <w:kern w:val="0"/>
          <w:szCs w:val="21"/>
          <w:shd w:val="clear" w:color="auto" w:fill="auto"/>
        </w:rPr>
        <w:t>　　无论是“未达账项”，还是双方账目记录有误，都要通过企业银行存款日记账的记录与银行开出的“银行存款对账单”进行逐笔“钩对”才能发现。</w:t>
      </w: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jc w:val="left"/>
        <w:textAlignment w:val="auto"/>
        <w:outlineLvl w:val="9"/>
        <w:rPr>
          <w:rFonts w:ascii="Tahoma" w:hAnsi="Tahoma" w:eastAsia="宋体" w:cs="Tahoma"/>
          <w:color w:val="333333"/>
          <w:kern w:val="0"/>
          <w:szCs w:val="21"/>
          <w:shd w:val="clear" w:color="auto" w:fill="auto"/>
        </w:rPr>
      </w:pPr>
      <w:r>
        <w:rPr>
          <w:rFonts w:ascii="Tahoma" w:hAnsi="Tahoma" w:eastAsia="宋体" w:cs="Tahoma"/>
          <w:color w:val="333333"/>
          <w:kern w:val="0"/>
          <w:szCs w:val="21"/>
          <w:shd w:val="clear" w:color="auto" w:fill="auto"/>
        </w:rPr>
        <w:t>　　具体作法是：企业把“银行存款日记账”中的借方和贷方的每笔记录分别与“银行存款对账单”中的贷方和借方的每笔记录从凭证种类、编号、摘要内容、记账方向和金额等方面进行逐笔核对。经核对相符时，分别在各自有关数额旁边划“√”以作标记。在双方账单中没有划“√”标记的，不是“未达账项”就是双方账目记录的错误。</w:t>
      </w: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jc w:val="left"/>
        <w:textAlignment w:val="auto"/>
        <w:outlineLvl w:val="9"/>
        <w:rPr>
          <w:rFonts w:ascii="Tahoma" w:hAnsi="Tahoma" w:eastAsia="宋体" w:cs="Tahoma"/>
          <w:color w:val="333333"/>
          <w:kern w:val="0"/>
          <w:szCs w:val="21"/>
          <w:shd w:val="clear" w:color="auto" w:fill="auto"/>
        </w:rPr>
      </w:pPr>
      <w:r>
        <w:rPr>
          <w:rFonts w:ascii="Tahoma" w:hAnsi="Tahoma" w:eastAsia="宋体" w:cs="Tahoma"/>
          <w:b/>
          <w:bCs/>
          <w:color w:val="333333"/>
          <w:kern w:val="0"/>
          <w:szCs w:val="21"/>
          <w:shd w:val="clear" w:color="auto" w:fill="auto"/>
        </w:rPr>
        <w:t>9.存货的盘存制度有哪些？其方法内容是什么？其优缺点有哪些？</w:t>
      </w: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jc w:val="left"/>
        <w:textAlignment w:val="auto"/>
        <w:outlineLvl w:val="9"/>
        <w:rPr>
          <w:rFonts w:ascii="Tahoma" w:hAnsi="Tahoma" w:eastAsia="宋体" w:cs="Tahoma"/>
          <w:color w:val="333333"/>
          <w:kern w:val="0"/>
          <w:szCs w:val="21"/>
          <w:shd w:val="clear" w:color="auto" w:fill="auto"/>
        </w:rPr>
      </w:pPr>
      <w:r>
        <w:rPr>
          <w:rFonts w:hint="eastAsia" w:ascii="Tahoma" w:hAnsi="Tahoma" w:eastAsia="宋体" w:cs="Tahoma"/>
          <w:color w:val="333333"/>
          <w:kern w:val="0"/>
          <w:szCs w:val="21"/>
          <w:shd w:val="clear" w:color="auto" w:fill="auto"/>
          <w:lang w:val="en-US" w:eastAsia="zh-CN"/>
        </w:rPr>
        <w:t xml:space="preserve">    </w:t>
      </w:r>
      <w:r>
        <w:rPr>
          <w:rFonts w:ascii="Tahoma" w:hAnsi="Tahoma" w:eastAsia="宋体" w:cs="Tahoma"/>
          <w:color w:val="333333"/>
          <w:kern w:val="0"/>
          <w:szCs w:val="21"/>
          <w:shd w:val="clear" w:color="auto" w:fill="auto"/>
        </w:rPr>
        <w:t>永续盘存制也称账面盘存制，就是通过设置存货明细账，对日常发生的存货增加或减少，都必须根据会计凭证在账簿中进行连续登记，并随时在账面上结算各项存货的结存数并定期与实际盘存数对比，确定存货盘盈盘亏的一种制度。永续盘存制可以通过存货的明细账记录。具体做法是：收入某项财产物资时，根据有关的会计凭证将收入的数量和金额记在有关明细账的收入栏；当发出某项财产物资时，将支出的数量和金额记在有关的明细账支出栏，并及时计算出该财产物资在明细账上的结存数量和金额。计算公式如下:</w:t>
      </w: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jc w:val="left"/>
        <w:textAlignment w:val="auto"/>
        <w:outlineLvl w:val="9"/>
        <w:rPr>
          <w:rFonts w:ascii="Tahoma" w:hAnsi="Tahoma" w:eastAsia="宋体" w:cs="Tahoma"/>
          <w:color w:val="333333"/>
          <w:kern w:val="0"/>
          <w:szCs w:val="21"/>
          <w:shd w:val="clear" w:color="auto" w:fill="auto"/>
        </w:rPr>
      </w:pPr>
      <w:r>
        <w:rPr>
          <w:rFonts w:hint="eastAsia" w:ascii="Tahoma" w:hAnsi="Tahoma" w:eastAsia="宋体" w:cs="Tahoma"/>
          <w:color w:val="333333"/>
          <w:kern w:val="0"/>
          <w:szCs w:val="21"/>
          <w:shd w:val="clear" w:color="auto" w:fill="auto"/>
          <w:lang w:val="en-US" w:eastAsia="zh-CN"/>
        </w:rPr>
        <w:t xml:space="preserve">    </w:t>
      </w:r>
      <w:r>
        <w:rPr>
          <w:rFonts w:ascii="Tahoma" w:hAnsi="Tahoma" w:eastAsia="宋体" w:cs="Tahoma"/>
          <w:color w:val="333333"/>
          <w:kern w:val="0"/>
          <w:szCs w:val="21"/>
          <w:shd w:val="clear" w:color="auto" w:fill="auto"/>
        </w:rPr>
        <w:t>账面期末结存数=账面期初结存数+本期增加数-本期减少数</w:t>
      </w: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jc w:val="left"/>
        <w:textAlignment w:val="auto"/>
        <w:outlineLvl w:val="9"/>
        <w:rPr>
          <w:rFonts w:ascii="Tahoma" w:hAnsi="Tahoma" w:eastAsia="宋体" w:cs="Tahoma"/>
          <w:color w:val="333333"/>
          <w:kern w:val="0"/>
          <w:szCs w:val="21"/>
          <w:shd w:val="clear" w:color="auto" w:fill="auto"/>
        </w:rPr>
      </w:pPr>
      <w:r>
        <w:rPr>
          <w:rFonts w:hint="eastAsia" w:ascii="Tahoma" w:hAnsi="Tahoma" w:eastAsia="宋体" w:cs="Tahoma"/>
          <w:color w:val="333333"/>
          <w:kern w:val="0"/>
          <w:szCs w:val="21"/>
          <w:shd w:val="clear" w:color="auto" w:fill="auto"/>
          <w:lang w:val="en-US" w:eastAsia="zh-CN"/>
        </w:rPr>
        <w:t xml:space="preserve">    </w:t>
      </w:r>
      <w:r>
        <w:rPr>
          <w:rFonts w:ascii="Tahoma" w:hAnsi="Tahoma" w:eastAsia="宋体" w:cs="Tahoma"/>
          <w:color w:val="333333"/>
          <w:kern w:val="0"/>
          <w:szCs w:val="21"/>
          <w:shd w:val="clear" w:color="auto" w:fill="auto"/>
        </w:rPr>
        <w:t>优点是能够随时反映某一存货在一定会计期间内收入、发出及结存的详细情况，有利于加强对存货的管理与控制。但是，相对于定期存制而言，永续盘存制下存货明细账的会计核算工作量较大，采用这种方法需要将财产清查的结果同账面结存进行核对，在帐实不符的情况下还需要对账面记录进行调整。</w:t>
      </w: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jc w:val="left"/>
        <w:textAlignment w:val="auto"/>
        <w:outlineLvl w:val="9"/>
        <w:rPr>
          <w:rFonts w:ascii="Tahoma" w:hAnsi="Tahoma" w:eastAsia="宋体" w:cs="Tahoma"/>
          <w:color w:val="333333"/>
          <w:kern w:val="0"/>
          <w:szCs w:val="21"/>
          <w:shd w:val="clear" w:color="auto" w:fill="auto"/>
        </w:rPr>
      </w:pPr>
      <w:r>
        <w:rPr>
          <w:rFonts w:hint="eastAsia" w:ascii="Tahoma" w:hAnsi="Tahoma" w:eastAsia="宋体" w:cs="Tahoma"/>
          <w:color w:val="333333"/>
          <w:kern w:val="0"/>
          <w:szCs w:val="21"/>
          <w:shd w:val="clear" w:color="auto" w:fill="auto"/>
          <w:lang w:val="en-US" w:eastAsia="zh-CN"/>
        </w:rPr>
        <w:t xml:space="preserve">    </w:t>
      </w:r>
      <w:r>
        <w:rPr>
          <w:rFonts w:ascii="Tahoma" w:hAnsi="Tahoma" w:eastAsia="宋体" w:cs="Tahoma"/>
          <w:color w:val="333333"/>
          <w:kern w:val="0"/>
          <w:szCs w:val="21"/>
          <w:shd w:val="clear" w:color="auto" w:fill="auto"/>
        </w:rPr>
        <w:t>实地盘存制又称定期盘存制，是指会计期末通过对财产物资进行实地盘点确定期末结存数量的方法。就是以期末具体盘点实物的结果为依据来确定财产物资的结存数量的方法。该方法是在期末通过盘点实物、来确定财产物资结存数量，并据以倒算出发出数量。具体做法是：平时只登记财产物资收入数，不登记财产物资发出数，期末通过实地盘点，确定结存数量，并倒挤发出数量及金额，完成账簿记录，使账实相符。在实地盘存制下，本期减少数的计算公式是：</w:t>
      </w: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jc w:val="left"/>
        <w:textAlignment w:val="auto"/>
        <w:outlineLvl w:val="9"/>
        <w:rPr>
          <w:rFonts w:ascii="Tahoma" w:hAnsi="Tahoma" w:eastAsia="宋体" w:cs="Tahoma"/>
          <w:color w:val="333333"/>
          <w:kern w:val="0"/>
          <w:szCs w:val="21"/>
          <w:shd w:val="clear" w:color="auto" w:fill="auto"/>
        </w:rPr>
      </w:pPr>
      <w:r>
        <w:rPr>
          <w:rFonts w:hint="eastAsia" w:ascii="Tahoma" w:hAnsi="Tahoma" w:eastAsia="宋体" w:cs="Tahoma"/>
          <w:color w:val="333333"/>
          <w:kern w:val="0"/>
          <w:szCs w:val="21"/>
          <w:shd w:val="clear" w:color="auto" w:fill="auto"/>
          <w:lang w:val="en-US" w:eastAsia="zh-CN"/>
        </w:rPr>
        <w:t xml:space="preserve">    </w:t>
      </w:r>
      <w:r>
        <w:rPr>
          <w:rFonts w:ascii="Tahoma" w:hAnsi="Tahoma" w:eastAsia="宋体" w:cs="Tahoma"/>
          <w:color w:val="333333"/>
          <w:kern w:val="0"/>
          <w:szCs w:val="21"/>
          <w:shd w:val="clear" w:color="auto" w:fill="auto"/>
        </w:rPr>
        <w:t>期初结存数+本期增加数-期末结存数=本期减少数</w:t>
      </w: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jc w:val="left"/>
        <w:textAlignment w:val="auto"/>
        <w:outlineLvl w:val="9"/>
        <w:rPr>
          <w:rFonts w:ascii="Tahoma" w:hAnsi="Tahoma" w:eastAsia="宋体" w:cs="Tahoma"/>
          <w:color w:val="333333"/>
          <w:kern w:val="0"/>
          <w:szCs w:val="21"/>
          <w:shd w:val="clear" w:color="auto" w:fill="auto"/>
        </w:rPr>
      </w:pPr>
      <w:r>
        <w:rPr>
          <w:rFonts w:hint="eastAsia" w:ascii="Tahoma" w:hAnsi="Tahoma" w:eastAsia="宋体" w:cs="Tahoma"/>
          <w:color w:val="333333"/>
          <w:kern w:val="0"/>
          <w:szCs w:val="21"/>
          <w:shd w:val="clear" w:color="auto" w:fill="auto"/>
          <w:lang w:val="en-US" w:eastAsia="zh-CN"/>
        </w:rPr>
        <w:t xml:space="preserve">    </w:t>
      </w:r>
      <w:r>
        <w:rPr>
          <w:rFonts w:ascii="Tahoma" w:hAnsi="Tahoma" w:eastAsia="宋体" w:cs="Tahoma"/>
          <w:color w:val="333333"/>
          <w:kern w:val="0"/>
          <w:szCs w:val="21"/>
          <w:shd w:val="clear" w:color="auto" w:fill="auto"/>
        </w:rPr>
        <w:t>优点是核算工作比较简单，工作量较小。 缺点是手续不够严密，不能通过账簿随时反映和监督各项财产物资的收、发、结存情况，反映的数字不精确，仓库管理中尚有多发少发、物资毁损、盗窃、丢失等情况，在账面上均无反映，而全部隐藏在本期的发出数内，不利于存货的管理，也不利于监督检查。</w:t>
      </w: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jc w:val="left"/>
        <w:textAlignment w:val="auto"/>
        <w:outlineLvl w:val="9"/>
        <w:rPr>
          <w:rFonts w:ascii="Tahoma" w:hAnsi="Tahoma" w:eastAsia="宋体" w:cs="Tahoma"/>
          <w:color w:val="333333"/>
          <w:kern w:val="0"/>
          <w:szCs w:val="21"/>
          <w:shd w:val="clear" w:color="auto" w:fill="auto"/>
        </w:rPr>
      </w:pPr>
      <w:r>
        <w:rPr>
          <w:rFonts w:ascii="Tahoma" w:hAnsi="Tahoma" w:eastAsia="宋体" w:cs="Tahoma"/>
          <w:b/>
          <w:bCs/>
          <w:color w:val="333333"/>
          <w:kern w:val="0"/>
          <w:szCs w:val="21"/>
          <w:shd w:val="clear" w:color="auto" w:fill="auto"/>
        </w:rPr>
        <w:t>10.什么是稳健性原则？试举会计核算实例说明？</w:t>
      </w: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jc w:val="left"/>
        <w:textAlignment w:val="auto"/>
        <w:outlineLvl w:val="9"/>
        <w:rPr>
          <w:rFonts w:ascii="Tahoma" w:hAnsi="Tahoma" w:eastAsia="宋体" w:cs="Tahoma"/>
          <w:color w:val="333333"/>
          <w:kern w:val="0"/>
          <w:szCs w:val="21"/>
          <w:shd w:val="clear" w:color="auto" w:fill="auto"/>
        </w:rPr>
      </w:pPr>
      <w:r>
        <w:rPr>
          <w:rFonts w:hint="eastAsia" w:ascii="Tahoma" w:hAnsi="Tahoma" w:eastAsia="宋体" w:cs="Tahoma"/>
          <w:color w:val="333333"/>
          <w:kern w:val="0"/>
          <w:szCs w:val="21"/>
          <w:shd w:val="clear" w:color="auto" w:fill="auto"/>
          <w:lang w:val="en-US" w:eastAsia="zh-CN"/>
        </w:rPr>
        <w:t xml:space="preserve">    </w:t>
      </w:r>
      <w:r>
        <w:rPr>
          <w:rFonts w:ascii="Tahoma" w:hAnsi="Tahoma" w:eastAsia="宋体" w:cs="Tahoma"/>
          <w:color w:val="333333"/>
          <w:kern w:val="0"/>
          <w:szCs w:val="21"/>
          <w:shd w:val="clear" w:color="auto" w:fill="auto"/>
        </w:rPr>
        <w:t>稳健性原则是企业会计核算中运用的一项重要原则，又称谨慎性原则，是指在处理企业不确定的经济业务时，应持谨慎的态度。也就是说，凡是可以预见的损失和费用都应予以记录和确认，而没有十足把握的收入则不能予以确认和入帐。</w:t>
      </w: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jc w:val="left"/>
        <w:textAlignment w:val="auto"/>
        <w:outlineLvl w:val="9"/>
        <w:rPr>
          <w:rFonts w:ascii="Tahoma" w:hAnsi="Tahoma" w:eastAsia="宋体" w:cs="Tahoma"/>
          <w:color w:val="333333"/>
          <w:kern w:val="0"/>
          <w:szCs w:val="21"/>
          <w:shd w:val="clear" w:color="auto" w:fill="auto"/>
        </w:rPr>
      </w:pPr>
      <w:r>
        <w:rPr>
          <w:rFonts w:hint="eastAsia" w:ascii="Tahoma" w:hAnsi="Tahoma" w:eastAsia="宋体" w:cs="Tahoma"/>
          <w:color w:val="333333"/>
          <w:kern w:val="0"/>
          <w:szCs w:val="21"/>
          <w:shd w:val="clear" w:color="auto" w:fill="auto"/>
          <w:lang w:val="en-US" w:eastAsia="zh-CN"/>
        </w:rPr>
        <w:t xml:space="preserve">    </w:t>
      </w:r>
      <w:r>
        <w:rPr>
          <w:rFonts w:ascii="Tahoma" w:hAnsi="Tahoma" w:eastAsia="宋体" w:cs="Tahoma"/>
          <w:color w:val="333333"/>
          <w:kern w:val="0"/>
          <w:szCs w:val="21"/>
          <w:shd w:val="clear" w:color="auto" w:fill="auto"/>
        </w:rPr>
        <w:t>成本与市价孰低法：存货和短期投资的期末计价可采用成本与市场孰低法，即可以提取存货跌价准备和短期投资跌价准备，并将市价低于成本的金额确认为当期损失。</w:t>
      </w: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jc w:val="left"/>
        <w:textAlignment w:val="auto"/>
        <w:outlineLvl w:val="9"/>
        <w:rPr>
          <w:rFonts w:ascii="Tahoma" w:hAnsi="Tahoma" w:eastAsia="宋体" w:cs="Tahoma"/>
          <w:color w:val="333333"/>
          <w:kern w:val="0"/>
          <w:szCs w:val="21"/>
          <w:shd w:val="clear" w:color="auto" w:fill="auto"/>
        </w:rPr>
      </w:pPr>
      <w:r>
        <w:rPr>
          <w:rFonts w:hint="eastAsia" w:ascii="Tahoma" w:hAnsi="Tahoma" w:eastAsia="宋体" w:cs="Tahoma"/>
          <w:color w:val="333333"/>
          <w:kern w:val="0"/>
          <w:szCs w:val="21"/>
          <w:shd w:val="clear" w:color="auto" w:fill="auto"/>
          <w:lang w:val="en-US" w:eastAsia="zh-CN"/>
        </w:rPr>
        <w:t xml:space="preserve">    </w:t>
      </w:r>
      <w:r>
        <w:rPr>
          <w:rFonts w:ascii="Tahoma" w:hAnsi="Tahoma" w:eastAsia="宋体" w:cs="Tahoma"/>
          <w:color w:val="333333"/>
          <w:kern w:val="0"/>
          <w:szCs w:val="21"/>
          <w:shd w:val="clear" w:color="auto" w:fill="auto"/>
        </w:rPr>
        <w:t>净价法：净价法是将现金折扣后的净金额作为实际销售价格，确定应收账款或应付账款入帐金额的方法。</w:t>
      </w: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jc w:val="left"/>
        <w:textAlignment w:val="auto"/>
        <w:outlineLvl w:val="9"/>
        <w:rPr>
          <w:rFonts w:ascii="Tahoma" w:hAnsi="Tahoma" w:eastAsia="宋体" w:cs="Tahoma"/>
          <w:color w:val="333333"/>
          <w:kern w:val="0"/>
          <w:szCs w:val="21"/>
          <w:shd w:val="clear" w:color="auto" w:fill="auto"/>
        </w:rPr>
      </w:pPr>
      <w:r>
        <w:rPr>
          <w:rFonts w:hint="eastAsia" w:ascii="Tahoma" w:hAnsi="Tahoma" w:eastAsia="宋体" w:cs="Tahoma"/>
          <w:color w:val="333333"/>
          <w:kern w:val="0"/>
          <w:szCs w:val="21"/>
          <w:shd w:val="clear" w:color="auto" w:fill="auto"/>
          <w:lang w:val="en-US" w:eastAsia="zh-CN"/>
        </w:rPr>
        <w:t xml:space="preserve">    </w:t>
      </w:r>
      <w:r>
        <w:rPr>
          <w:rFonts w:ascii="Tahoma" w:hAnsi="Tahoma" w:eastAsia="宋体" w:cs="Tahoma"/>
          <w:color w:val="333333"/>
          <w:kern w:val="0"/>
          <w:szCs w:val="21"/>
          <w:shd w:val="clear" w:color="auto" w:fill="auto"/>
        </w:rPr>
        <w:t>该法是认为在一般情况下，客户都会在折扣期内付款。由于是按净价入账，对于卖方而言，若客户未在折扣期限内付款，应将由此而多获得的收入视为理财收益。于收到对方货款时，冲减当期财务费用；对于买方而言，若未在折扣期内按时付款，则反映买方在融资过程中增加了理财费用，计入当期财务费用。</w:t>
      </w: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jc w:val="left"/>
        <w:textAlignment w:val="auto"/>
        <w:outlineLvl w:val="9"/>
        <w:rPr>
          <w:rFonts w:ascii="Tahoma" w:hAnsi="Tahoma" w:eastAsia="宋体" w:cs="Tahoma"/>
          <w:color w:val="333333"/>
          <w:kern w:val="0"/>
          <w:szCs w:val="21"/>
          <w:shd w:val="clear" w:color="auto" w:fill="auto"/>
        </w:rPr>
      </w:pPr>
      <w:r>
        <w:rPr>
          <w:rFonts w:ascii="Tahoma" w:hAnsi="Tahoma" w:eastAsia="宋体" w:cs="Tahoma"/>
          <w:b/>
          <w:bCs/>
          <w:color w:val="333333"/>
          <w:kern w:val="0"/>
          <w:szCs w:val="21"/>
          <w:shd w:val="clear" w:color="auto" w:fill="auto"/>
        </w:rPr>
        <w:t>11.比较会计上存货与交易性金融资产两项资产的计价有何不同？</w:t>
      </w: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jc w:val="left"/>
        <w:textAlignment w:val="auto"/>
        <w:outlineLvl w:val="9"/>
        <w:rPr>
          <w:rFonts w:ascii="Tahoma" w:hAnsi="Tahoma" w:eastAsia="宋体" w:cs="Tahoma"/>
          <w:color w:val="333333"/>
          <w:kern w:val="0"/>
          <w:szCs w:val="21"/>
          <w:shd w:val="clear" w:color="auto" w:fill="auto"/>
        </w:rPr>
      </w:pPr>
      <w:r>
        <w:rPr>
          <w:rFonts w:hint="eastAsia" w:ascii="Tahoma" w:hAnsi="Tahoma" w:eastAsia="宋体" w:cs="Tahoma"/>
          <w:color w:val="333333"/>
          <w:kern w:val="0"/>
          <w:szCs w:val="21"/>
          <w:shd w:val="clear" w:color="auto" w:fill="auto"/>
          <w:lang w:val="en-US" w:eastAsia="zh-CN"/>
        </w:rPr>
        <w:t xml:space="preserve">    </w:t>
      </w:r>
      <w:bookmarkStart w:id="0" w:name="_GoBack"/>
      <w:bookmarkEnd w:id="0"/>
      <w:r>
        <w:rPr>
          <w:rFonts w:ascii="Tahoma" w:hAnsi="Tahoma" w:eastAsia="宋体" w:cs="Tahoma"/>
          <w:color w:val="333333"/>
          <w:kern w:val="0"/>
          <w:szCs w:val="21"/>
          <w:shd w:val="clear" w:color="auto" w:fill="auto"/>
        </w:rPr>
        <w:t>确定存货计价方法时，要坚持以下标准：以历史成本为基础；坚持客观性原则，如实反映销售成本与期末存货价值；坚持谨慎性原则，保证企业所有者和潜在投资者作出决策时尽可能避风险，使风险收益最大化。发出存货的计价方法有个别计价法、先进先出法、加权平均法等。期末存货的计价方法有成本与市价孰低法、毛利率法、零售价盘存法等。</w:t>
      </w:r>
      <w:r>
        <w:rPr>
          <w:rFonts w:ascii="Tahoma" w:hAnsi="Tahoma" w:eastAsia="宋体" w:cs="Tahoma"/>
          <w:color w:val="333333"/>
          <w:kern w:val="0"/>
          <w:szCs w:val="21"/>
          <w:shd w:val="clear" w:color="auto" w:fill="auto"/>
        </w:rPr>
        <w:br w:type="textWrapping"/>
      </w:r>
      <w:r>
        <w:rPr>
          <w:rFonts w:ascii="Tahoma" w:hAnsi="Tahoma" w:eastAsia="宋体" w:cs="Tahoma"/>
          <w:color w:val="333333"/>
          <w:kern w:val="0"/>
          <w:szCs w:val="21"/>
          <w:shd w:val="clear" w:color="auto" w:fill="auto"/>
        </w:rPr>
        <w:t>在资产负债表日，交易性金融资产应当按资产负债表日的公允价值计价，期末公允价值与账面价值的差额直接计入当期损益，通过“公允价值变动损益”账户处理。</w:t>
      </w:r>
    </w:p>
    <w:p>
      <w:pPr>
        <w:keepNext w:val="0"/>
        <w:keepLines w:val="0"/>
        <w:pageBreakBefore w:val="0"/>
        <w:widowControl/>
        <w:shd w:val="clear" w:color="auto" w:fill="FAFAFA"/>
        <w:kinsoku/>
        <w:wordWrap/>
        <w:overflowPunct/>
        <w:topLinePunct w:val="0"/>
        <w:autoSpaceDE/>
        <w:autoSpaceDN/>
        <w:bidi w:val="0"/>
        <w:adjustRightInd/>
        <w:snapToGrid/>
        <w:spacing w:line="240" w:lineRule="auto"/>
        <w:ind w:left="0" w:leftChars="0" w:right="0" w:rightChars="0"/>
        <w:jc w:val="left"/>
        <w:textAlignment w:val="auto"/>
        <w:outlineLvl w:val="9"/>
        <w:rPr>
          <w:rFonts w:ascii="Tahoma" w:hAnsi="Tahoma" w:eastAsia="宋体" w:cs="Tahoma"/>
          <w:color w:val="333333"/>
          <w:kern w:val="0"/>
          <w:szCs w:val="21"/>
          <w:shd w:val="clear" w:color="auto" w:fill="auto"/>
        </w:rPr>
      </w:pPr>
      <w:r>
        <w:rPr>
          <w:rFonts w:ascii="Tahoma" w:hAnsi="Tahoma" w:eastAsia="宋体" w:cs="Tahoma"/>
          <w:b/>
          <w:bCs/>
          <w:color w:val="333333"/>
          <w:kern w:val="0"/>
          <w:sz w:val="36"/>
          <w:szCs w:val="36"/>
          <w:shd w:val="clear" w:color="auto" w:fill="auto"/>
        </w:rPr>
        <w:t>业务核算与计算：</w:t>
      </w:r>
    </w:p>
    <w:p>
      <w:pPr>
        <w:keepNext w:val="0"/>
        <w:keepLines w:val="0"/>
        <w:pageBreakBefore w:val="0"/>
        <w:widowControl/>
        <w:numPr>
          <w:ilvl w:val="0"/>
          <w:numId w:val="1"/>
        </w:numPr>
        <w:shd w:val="clear" w:color="auto" w:fill="FAFAFA"/>
        <w:kinsoku/>
        <w:wordWrap/>
        <w:overflowPunct/>
        <w:topLinePunct w:val="0"/>
        <w:autoSpaceDE/>
        <w:autoSpaceDN/>
        <w:bidi w:val="0"/>
        <w:adjustRightInd/>
        <w:snapToGrid/>
        <w:spacing w:line="240" w:lineRule="auto"/>
        <w:ind w:left="0" w:leftChars="0" w:right="0" w:rightChars="0"/>
        <w:jc w:val="left"/>
        <w:textAlignment w:val="auto"/>
        <w:outlineLvl w:val="9"/>
        <w:rPr>
          <w:rFonts w:ascii="Tahoma" w:hAnsi="Tahoma" w:eastAsia="宋体" w:cs="Tahoma"/>
          <w:color w:val="333333"/>
          <w:kern w:val="0"/>
          <w:szCs w:val="21"/>
          <w:shd w:val="clear" w:color="auto" w:fill="auto"/>
        </w:rPr>
      </w:pPr>
      <w:r>
        <w:rPr>
          <w:rFonts w:ascii="Tahoma" w:hAnsi="Tahoma" w:eastAsia="宋体" w:cs="Tahoma"/>
          <w:color w:val="333333"/>
          <w:kern w:val="0"/>
          <w:szCs w:val="21"/>
          <w:shd w:val="clear" w:color="auto" w:fill="auto"/>
        </w:rPr>
        <w:t>商品（或原材料）采购的核算（包括增值税）</w:t>
      </w:r>
    </w:p>
    <w:p>
      <w:pPr>
        <w:keepNext w:val="0"/>
        <w:keepLines w:val="0"/>
        <w:pageBreakBefore w:val="0"/>
        <w:widowControl/>
        <w:numPr>
          <w:ilvl w:val="0"/>
          <w:numId w:val="1"/>
        </w:numPr>
        <w:shd w:val="clear" w:color="auto" w:fill="FAFAFA"/>
        <w:kinsoku/>
        <w:wordWrap/>
        <w:overflowPunct/>
        <w:topLinePunct w:val="0"/>
        <w:autoSpaceDE/>
        <w:autoSpaceDN/>
        <w:bidi w:val="0"/>
        <w:adjustRightInd/>
        <w:snapToGrid/>
        <w:spacing w:line="240" w:lineRule="auto"/>
        <w:ind w:left="0" w:leftChars="0" w:right="0" w:rightChars="0" w:hanging="360"/>
        <w:jc w:val="left"/>
        <w:textAlignment w:val="auto"/>
        <w:outlineLvl w:val="9"/>
        <w:rPr>
          <w:rFonts w:ascii="Tahoma" w:hAnsi="Tahoma" w:eastAsia="宋体" w:cs="Tahoma"/>
          <w:color w:val="333333"/>
          <w:kern w:val="0"/>
          <w:szCs w:val="21"/>
          <w:shd w:val="clear" w:color="auto" w:fill="auto"/>
        </w:rPr>
      </w:pPr>
      <w:r>
        <w:rPr>
          <w:rFonts w:ascii="Tahoma" w:hAnsi="Tahoma" w:eastAsia="宋体" w:cs="Tahoma"/>
          <w:color w:val="333333"/>
          <w:kern w:val="0"/>
          <w:szCs w:val="21"/>
          <w:shd w:val="clear" w:color="auto" w:fill="auto"/>
        </w:rPr>
        <w:t>实收资本和资本溢价的核算</w:t>
      </w:r>
    </w:p>
    <w:p>
      <w:pPr>
        <w:keepNext w:val="0"/>
        <w:keepLines w:val="0"/>
        <w:pageBreakBefore w:val="0"/>
        <w:widowControl/>
        <w:numPr>
          <w:ilvl w:val="0"/>
          <w:numId w:val="1"/>
        </w:numPr>
        <w:shd w:val="clear" w:color="auto" w:fill="FAFAFA"/>
        <w:kinsoku/>
        <w:wordWrap/>
        <w:overflowPunct/>
        <w:topLinePunct w:val="0"/>
        <w:autoSpaceDE/>
        <w:autoSpaceDN/>
        <w:bidi w:val="0"/>
        <w:adjustRightInd/>
        <w:snapToGrid/>
        <w:spacing w:line="240" w:lineRule="auto"/>
        <w:ind w:left="0" w:leftChars="0" w:right="0" w:rightChars="0" w:hanging="360"/>
        <w:jc w:val="left"/>
        <w:textAlignment w:val="auto"/>
        <w:outlineLvl w:val="9"/>
        <w:rPr>
          <w:rFonts w:ascii="Tahoma" w:hAnsi="Tahoma" w:eastAsia="宋体" w:cs="Tahoma"/>
          <w:color w:val="333333"/>
          <w:kern w:val="0"/>
          <w:szCs w:val="21"/>
          <w:shd w:val="clear" w:color="auto" w:fill="auto"/>
        </w:rPr>
      </w:pPr>
      <w:r>
        <w:rPr>
          <w:rFonts w:ascii="Tahoma" w:hAnsi="Tahoma" w:eastAsia="宋体" w:cs="Tahoma"/>
          <w:color w:val="333333"/>
          <w:kern w:val="0"/>
          <w:szCs w:val="21"/>
          <w:shd w:val="clear" w:color="auto" w:fill="auto"/>
        </w:rPr>
        <w:t>短期借款的核算</w:t>
      </w:r>
    </w:p>
    <w:p>
      <w:pPr>
        <w:keepNext w:val="0"/>
        <w:keepLines w:val="0"/>
        <w:pageBreakBefore w:val="0"/>
        <w:widowControl/>
        <w:numPr>
          <w:ilvl w:val="0"/>
          <w:numId w:val="1"/>
        </w:numPr>
        <w:shd w:val="clear" w:color="auto" w:fill="FAFAFA"/>
        <w:kinsoku/>
        <w:wordWrap/>
        <w:overflowPunct/>
        <w:topLinePunct w:val="0"/>
        <w:autoSpaceDE/>
        <w:autoSpaceDN/>
        <w:bidi w:val="0"/>
        <w:adjustRightInd/>
        <w:snapToGrid/>
        <w:spacing w:line="240" w:lineRule="auto"/>
        <w:ind w:left="0" w:leftChars="0" w:right="0" w:rightChars="0" w:hanging="360"/>
        <w:jc w:val="left"/>
        <w:textAlignment w:val="auto"/>
        <w:outlineLvl w:val="9"/>
        <w:rPr>
          <w:rFonts w:ascii="Tahoma" w:hAnsi="Tahoma" w:eastAsia="宋体" w:cs="Tahoma"/>
          <w:color w:val="333333"/>
          <w:kern w:val="0"/>
          <w:szCs w:val="21"/>
          <w:shd w:val="clear" w:color="auto" w:fill="auto"/>
        </w:rPr>
      </w:pPr>
      <w:r>
        <w:rPr>
          <w:rFonts w:ascii="Tahoma" w:hAnsi="Tahoma" w:eastAsia="宋体" w:cs="Tahoma"/>
          <w:color w:val="333333"/>
          <w:kern w:val="0"/>
          <w:szCs w:val="21"/>
          <w:shd w:val="clear" w:color="auto" w:fill="auto"/>
        </w:rPr>
        <w:t>商品销售的核算（包括收入确认和成本结转及增值税和消费税）</w:t>
      </w:r>
    </w:p>
    <w:p>
      <w:pPr>
        <w:keepNext w:val="0"/>
        <w:keepLines w:val="0"/>
        <w:pageBreakBefore w:val="0"/>
        <w:widowControl/>
        <w:numPr>
          <w:ilvl w:val="0"/>
          <w:numId w:val="1"/>
        </w:numPr>
        <w:shd w:val="clear" w:color="auto" w:fill="FAFAFA"/>
        <w:kinsoku/>
        <w:wordWrap/>
        <w:overflowPunct/>
        <w:topLinePunct w:val="0"/>
        <w:autoSpaceDE/>
        <w:autoSpaceDN/>
        <w:bidi w:val="0"/>
        <w:adjustRightInd/>
        <w:snapToGrid/>
        <w:spacing w:line="240" w:lineRule="auto"/>
        <w:ind w:left="0" w:leftChars="0" w:right="0" w:rightChars="0" w:hanging="360"/>
        <w:jc w:val="left"/>
        <w:textAlignment w:val="auto"/>
        <w:outlineLvl w:val="9"/>
        <w:rPr>
          <w:rFonts w:ascii="Tahoma" w:hAnsi="Tahoma" w:eastAsia="宋体" w:cs="Tahoma"/>
          <w:color w:val="333333"/>
          <w:kern w:val="0"/>
          <w:szCs w:val="21"/>
          <w:shd w:val="clear" w:color="auto" w:fill="auto"/>
        </w:rPr>
      </w:pPr>
      <w:r>
        <w:rPr>
          <w:rFonts w:ascii="Tahoma" w:hAnsi="Tahoma" w:eastAsia="宋体" w:cs="Tahoma"/>
          <w:color w:val="333333"/>
          <w:kern w:val="0"/>
          <w:szCs w:val="21"/>
          <w:shd w:val="clear" w:color="auto" w:fill="auto"/>
        </w:rPr>
        <w:t>利润实现及利润分配的核算</w:t>
      </w:r>
    </w:p>
    <w:p>
      <w:pPr>
        <w:keepNext w:val="0"/>
        <w:keepLines w:val="0"/>
        <w:pageBreakBefore w:val="0"/>
        <w:widowControl/>
        <w:numPr>
          <w:ilvl w:val="0"/>
          <w:numId w:val="1"/>
        </w:numPr>
        <w:shd w:val="clear" w:color="auto" w:fill="FAFAFA"/>
        <w:kinsoku/>
        <w:wordWrap/>
        <w:overflowPunct/>
        <w:topLinePunct w:val="0"/>
        <w:autoSpaceDE/>
        <w:autoSpaceDN/>
        <w:bidi w:val="0"/>
        <w:adjustRightInd/>
        <w:snapToGrid/>
        <w:spacing w:line="240" w:lineRule="auto"/>
        <w:ind w:left="0" w:leftChars="0" w:right="0" w:rightChars="0" w:hanging="360"/>
        <w:jc w:val="left"/>
        <w:textAlignment w:val="auto"/>
        <w:outlineLvl w:val="9"/>
        <w:rPr>
          <w:rFonts w:ascii="Tahoma" w:hAnsi="Tahoma" w:eastAsia="宋体" w:cs="Tahoma"/>
          <w:color w:val="333333"/>
          <w:kern w:val="0"/>
          <w:szCs w:val="21"/>
          <w:shd w:val="clear" w:color="auto" w:fill="auto"/>
        </w:rPr>
      </w:pPr>
      <w:r>
        <w:rPr>
          <w:rFonts w:ascii="Tahoma" w:hAnsi="Tahoma" w:eastAsia="宋体" w:cs="Tahoma"/>
          <w:color w:val="333333"/>
          <w:kern w:val="0"/>
          <w:szCs w:val="21"/>
          <w:shd w:val="clear" w:color="auto" w:fill="auto"/>
        </w:rPr>
        <w:t>利润表利润指标的计算</w:t>
      </w:r>
    </w:p>
    <w:p>
      <w:pPr>
        <w:keepNext w:val="0"/>
        <w:keepLines w:val="0"/>
        <w:pageBreakBefore w:val="0"/>
        <w:widowControl/>
        <w:numPr>
          <w:ilvl w:val="0"/>
          <w:numId w:val="1"/>
        </w:numPr>
        <w:shd w:val="clear" w:color="auto" w:fill="FAFAFA"/>
        <w:kinsoku/>
        <w:wordWrap/>
        <w:overflowPunct/>
        <w:topLinePunct w:val="0"/>
        <w:autoSpaceDE/>
        <w:autoSpaceDN/>
        <w:bidi w:val="0"/>
        <w:adjustRightInd/>
        <w:snapToGrid/>
        <w:spacing w:line="240" w:lineRule="auto"/>
        <w:ind w:left="0" w:leftChars="0" w:right="0" w:rightChars="0" w:hanging="360"/>
        <w:jc w:val="left"/>
        <w:textAlignment w:val="auto"/>
        <w:outlineLvl w:val="9"/>
        <w:rPr>
          <w:rFonts w:ascii="Tahoma" w:hAnsi="Tahoma" w:eastAsia="宋体" w:cs="Tahoma"/>
          <w:color w:val="333333"/>
          <w:kern w:val="0"/>
          <w:szCs w:val="21"/>
          <w:shd w:val="clear" w:color="auto" w:fill="auto"/>
        </w:rPr>
      </w:pPr>
      <w:r>
        <w:rPr>
          <w:rFonts w:ascii="Tahoma" w:hAnsi="Tahoma" w:eastAsia="宋体" w:cs="Tahoma"/>
          <w:color w:val="333333"/>
          <w:kern w:val="0"/>
          <w:szCs w:val="21"/>
          <w:shd w:val="clear" w:color="auto" w:fill="auto"/>
        </w:rPr>
        <w:t>固定资产取得、折旧和清理的核算，折旧额的计算方法</w:t>
      </w:r>
    </w:p>
    <w:p>
      <w:pPr>
        <w:keepNext w:val="0"/>
        <w:keepLines w:val="0"/>
        <w:pageBreakBefore w:val="0"/>
        <w:widowControl/>
        <w:numPr>
          <w:ilvl w:val="0"/>
          <w:numId w:val="1"/>
        </w:numPr>
        <w:shd w:val="clear" w:color="auto" w:fill="FAFAFA"/>
        <w:kinsoku/>
        <w:wordWrap/>
        <w:overflowPunct/>
        <w:topLinePunct w:val="0"/>
        <w:autoSpaceDE/>
        <w:autoSpaceDN/>
        <w:bidi w:val="0"/>
        <w:adjustRightInd/>
        <w:snapToGrid/>
        <w:spacing w:line="240" w:lineRule="auto"/>
        <w:ind w:left="0" w:leftChars="0" w:right="0" w:rightChars="0" w:hanging="360"/>
        <w:jc w:val="left"/>
        <w:textAlignment w:val="auto"/>
        <w:outlineLvl w:val="9"/>
        <w:rPr>
          <w:rFonts w:ascii="Tahoma" w:hAnsi="Tahoma" w:eastAsia="宋体" w:cs="Tahoma"/>
          <w:color w:val="333333"/>
          <w:kern w:val="0"/>
          <w:szCs w:val="21"/>
          <w:shd w:val="clear" w:color="auto" w:fill="auto"/>
        </w:rPr>
      </w:pPr>
      <w:r>
        <w:rPr>
          <w:rFonts w:ascii="Tahoma" w:hAnsi="Tahoma" w:eastAsia="宋体" w:cs="Tahoma"/>
          <w:color w:val="333333"/>
          <w:kern w:val="0"/>
          <w:szCs w:val="21"/>
          <w:shd w:val="clear" w:color="auto" w:fill="auto"/>
        </w:rPr>
        <w:t>坏账的备抵法核算</w:t>
      </w:r>
    </w:p>
    <w:p>
      <w:pPr>
        <w:keepNext w:val="0"/>
        <w:keepLines w:val="0"/>
        <w:pageBreakBefore w:val="0"/>
        <w:widowControl/>
        <w:numPr>
          <w:ilvl w:val="0"/>
          <w:numId w:val="1"/>
        </w:numPr>
        <w:shd w:val="clear" w:color="auto" w:fill="FAFAFA"/>
        <w:kinsoku/>
        <w:wordWrap/>
        <w:overflowPunct/>
        <w:topLinePunct w:val="0"/>
        <w:autoSpaceDE/>
        <w:autoSpaceDN/>
        <w:bidi w:val="0"/>
        <w:adjustRightInd/>
        <w:snapToGrid/>
        <w:spacing w:line="240" w:lineRule="auto"/>
        <w:ind w:left="0" w:leftChars="0" w:right="0" w:rightChars="0" w:hanging="360"/>
        <w:jc w:val="left"/>
        <w:textAlignment w:val="auto"/>
        <w:outlineLvl w:val="9"/>
        <w:rPr>
          <w:rFonts w:ascii="Tahoma" w:hAnsi="Tahoma" w:eastAsia="宋体" w:cs="Tahoma"/>
          <w:color w:val="333333"/>
          <w:kern w:val="0"/>
          <w:szCs w:val="21"/>
          <w:shd w:val="clear" w:color="auto" w:fill="auto"/>
        </w:rPr>
      </w:pPr>
      <w:r>
        <w:rPr>
          <w:rFonts w:ascii="Tahoma" w:hAnsi="Tahoma" w:eastAsia="宋体" w:cs="Tahoma"/>
          <w:color w:val="333333"/>
          <w:kern w:val="0"/>
          <w:szCs w:val="21"/>
          <w:shd w:val="clear" w:color="auto" w:fill="auto"/>
        </w:rPr>
        <w:t>预收账款的核算（销售）</w:t>
      </w:r>
    </w:p>
    <w:p>
      <w:pPr>
        <w:keepNext w:val="0"/>
        <w:keepLines w:val="0"/>
        <w:pageBreakBefore w:val="0"/>
        <w:widowControl/>
        <w:numPr>
          <w:ilvl w:val="0"/>
          <w:numId w:val="1"/>
        </w:numPr>
        <w:shd w:val="clear" w:color="auto" w:fill="FAFAFA"/>
        <w:kinsoku/>
        <w:wordWrap/>
        <w:overflowPunct/>
        <w:topLinePunct w:val="0"/>
        <w:autoSpaceDE/>
        <w:autoSpaceDN/>
        <w:bidi w:val="0"/>
        <w:adjustRightInd/>
        <w:snapToGrid/>
        <w:spacing w:line="240" w:lineRule="auto"/>
        <w:ind w:left="0" w:leftChars="0" w:right="0" w:rightChars="0" w:hanging="360"/>
        <w:jc w:val="left"/>
        <w:textAlignment w:val="auto"/>
        <w:outlineLvl w:val="9"/>
        <w:rPr>
          <w:rFonts w:ascii="Tahoma" w:hAnsi="Tahoma" w:eastAsia="宋体" w:cs="Tahoma"/>
          <w:color w:val="333333"/>
          <w:kern w:val="0"/>
          <w:szCs w:val="21"/>
          <w:shd w:val="clear" w:color="auto" w:fill="auto"/>
        </w:rPr>
      </w:pPr>
      <w:r>
        <w:rPr>
          <w:rFonts w:ascii="Tahoma" w:hAnsi="Tahoma" w:eastAsia="宋体" w:cs="Tahoma"/>
          <w:color w:val="333333"/>
          <w:kern w:val="0"/>
          <w:szCs w:val="21"/>
          <w:shd w:val="clear" w:color="auto" w:fill="auto"/>
        </w:rPr>
        <w:t>预付账款的核算（包括采购和待摊费用）</w:t>
      </w:r>
    </w:p>
    <w:p>
      <w:pPr>
        <w:keepNext w:val="0"/>
        <w:keepLines w:val="0"/>
        <w:pageBreakBefore w:val="0"/>
        <w:widowControl/>
        <w:numPr>
          <w:ilvl w:val="0"/>
          <w:numId w:val="1"/>
        </w:numPr>
        <w:shd w:val="clear" w:color="auto" w:fill="FAFAFA"/>
        <w:kinsoku/>
        <w:wordWrap/>
        <w:overflowPunct/>
        <w:topLinePunct w:val="0"/>
        <w:autoSpaceDE/>
        <w:autoSpaceDN/>
        <w:bidi w:val="0"/>
        <w:adjustRightInd/>
        <w:snapToGrid/>
        <w:spacing w:line="240" w:lineRule="auto"/>
        <w:ind w:left="0" w:leftChars="0" w:right="0" w:rightChars="0" w:hanging="360"/>
        <w:jc w:val="left"/>
        <w:textAlignment w:val="auto"/>
        <w:outlineLvl w:val="9"/>
        <w:rPr>
          <w:rFonts w:ascii="Tahoma" w:hAnsi="Tahoma" w:eastAsia="宋体" w:cs="Tahoma"/>
          <w:color w:val="333333"/>
          <w:kern w:val="0"/>
          <w:szCs w:val="21"/>
          <w:shd w:val="clear" w:color="auto" w:fill="auto"/>
        </w:rPr>
      </w:pPr>
      <w:r>
        <w:rPr>
          <w:rFonts w:ascii="Tahoma" w:hAnsi="Tahoma" w:eastAsia="宋体" w:cs="Tahoma"/>
          <w:color w:val="333333"/>
          <w:kern w:val="0"/>
          <w:szCs w:val="21"/>
          <w:shd w:val="clear" w:color="auto" w:fill="auto"/>
        </w:rPr>
        <w:t>交易性金融资产的核算</w:t>
      </w:r>
    </w:p>
    <w:p>
      <w:pPr>
        <w:keepNext w:val="0"/>
        <w:keepLines w:val="0"/>
        <w:pageBreakBefore w:val="0"/>
        <w:widowControl/>
        <w:numPr>
          <w:ilvl w:val="0"/>
          <w:numId w:val="1"/>
        </w:numPr>
        <w:shd w:val="clear" w:color="auto" w:fill="FAFAFA"/>
        <w:kinsoku/>
        <w:wordWrap/>
        <w:overflowPunct/>
        <w:topLinePunct w:val="0"/>
        <w:autoSpaceDE/>
        <w:autoSpaceDN/>
        <w:bidi w:val="0"/>
        <w:adjustRightInd/>
        <w:snapToGrid/>
        <w:spacing w:line="240" w:lineRule="auto"/>
        <w:ind w:left="0" w:leftChars="0" w:right="0" w:rightChars="0" w:hanging="360"/>
        <w:jc w:val="left"/>
        <w:textAlignment w:val="auto"/>
        <w:outlineLvl w:val="9"/>
        <w:rPr>
          <w:rFonts w:ascii="Tahoma" w:hAnsi="Tahoma" w:eastAsia="宋体" w:cs="Tahoma"/>
          <w:color w:val="333333"/>
          <w:kern w:val="0"/>
          <w:szCs w:val="21"/>
          <w:shd w:val="clear" w:color="auto" w:fill="auto"/>
        </w:rPr>
      </w:pPr>
      <w:r>
        <w:rPr>
          <w:rFonts w:ascii="Tahoma" w:hAnsi="Tahoma" w:eastAsia="宋体" w:cs="Tahoma"/>
          <w:color w:val="333333"/>
          <w:kern w:val="0"/>
          <w:szCs w:val="21"/>
          <w:shd w:val="clear" w:color="auto" w:fill="auto"/>
        </w:rPr>
        <w:t>发出存货计价方法的计算</w:t>
      </w:r>
    </w:p>
    <w:p>
      <w:pPr>
        <w:keepNext w:val="0"/>
        <w:keepLines w:val="0"/>
        <w:pageBreakBefore w:val="0"/>
        <w:widowControl/>
        <w:numPr>
          <w:ilvl w:val="0"/>
          <w:numId w:val="1"/>
        </w:numPr>
        <w:shd w:val="clear" w:color="auto" w:fill="FAFAFA"/>
        <w:kinsoku/>
        <w:wordWrap/>
        <w:overflowPunct/>
        <w:topLinePunct w:val="0"/>
        <w:autoSpaceDE/>
        <w:autoSpaceDN/>
        <w:bidi w:val="0"/>
        <w:adjustRightInd/>
        <w:snapToGrid/>
        <w:spacing w:line="240" w:lineRule="auto"/>
        <w:ind w:left="0" w:leftChars="0" w:right="0" w:rightChars="0" w:hanging="360"/>
        <w:jc w:val="left"/>
        <w:textAlignment w:val="auto"/>
        <w:outlineLvl w:val="9"/>
        <w:rPr>
          <w:rFonts w:ascii="Tahoma" w:hAnsi="Tahoma" w:eastAsia="宋体" w:cs="Tahoma"/>
          <w:color w:val="333333"/>
          <w:kern w:val="0"/>
          <w:szCs w:val="21"/>
          <w:shd w:val="clear" w:color="auto" w:fill="auto"/>
        </w:rPr>
      </w:pPr>
      <w:r>
        <w:rPr>
          <w:rFonts w:ascii="Tahoma" w:hAnsi="Tahoma" w:eastAsia="宋体" w:cs="Tahoma"/>
          <w:color w:val="333333"/>
          <w:kern w:val="0"/>
          <w:szCs w:val="21"/>
          <w:shd w:val="clear" w:color="auto" w:fill="auto"/>
        </w:rPr>
        <w:t>银行存款调节表的编制</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shd w:val="clear" w:color="auto" w:fill="auto"/>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24467"/>
    <w:multiLevelType w:val="multilevel"/>
    <w:tmpl w:val="042244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0"/>
    <w:lvlOverride w:ilvl="0">
      <w:lvl w:ilvl="0" w:tentative="1">
        <w:start w:va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8CD"/>
    <w:rsid w:val="000068CD"/>
    <w:rsid w:val="00015F53"/>
    <w:rsid w:val="000274A4"/>
    <w:rsid w:val="00050D2E"/>
    <w:rsid w:val="00080BDE"/>
    <w:rsid w:val="000900C7"/>
    <w:rsid w:val="00096BEE"/>
    <w:rsid w:val="00096BFD"/>
    <w:rsid w:val="000A526A"/>
    <w:rsid w:val="000D0644"/>
    <w:rsid w:val="001249AB"/>
    <w:rsid w:val="00154BDA"/>
    <w:rsid w:val="00156EC3"/>
    <w:rsid w:val="0016766C"/>
    <w:rsid w:val="001B3A43"/>
    <w:rsid w:val="001C46AC"/>
    <w:rsid w:val="001D080D"/>
    <w:rsid w:val="001D68CD"/>
    <w:rsid w:val="001E554B"/>
    <w:rsid w:val="001E5937"/>
    <w:rsid w:val="002011C6"/>
    <w:rsid w:val="00210A73"/>
    <w:rsid w:val="00235E10"/>
    <w:rsid w:val="00245B81"/>
    <w:rsid w:val="00272BA2"/>
    <w:rsid w:val="00283E3C"/>
    <w:rsid w:val="0029730D"/>
    <w:rsid w:val="002A0EE4"/>
    <w:rsid w:val="002B1874"/>
    <w:rsid w:val="002C42BB"/>
    <w:rsid w:val="002F3983"/>
    <w:rsid w:val="002F6139"/>
    <w:rsid w:val="003036F8"/>
    <w:rsid w:val="00327D8E"/>
    <w:rsid w:val="00341E6F"/>
    <w:rsid w:val="00364391"/>
    <w:rsid w:val="0037414A"/>
    <w:rsid w:val="003809B9"/>
    <w:rsid w:val="003C1CD7"/>
    <w:rsid w:val="003D01CC"/>
    <w:rsid w:val="003E046E"/>
    <w:rsid w:val="0041296A"/>
    <w:rsid w:val="00426C1D"/>
    <w:rsid w:val="004362D1"/>
    <w:rsid w:val="00442B26"/>
    <w:rsid w:val="004468F9"/>
    <w:rsid w:val="00452E85"/>
    <w:rsid w:val="00456603"/>
    <w:rsid w:val="00461CEF"/>
    <w:rsid w:val="004C4E29"/>
    <w:rsid w:val="0051638B"/>
    <w:rsid w:val="00542558"/>
    <w:rsid w:val="00557EB0"/>
    <w:rsid w:val="00594DC1"/>
    <w:rsid w:val="005B0889"/>
    <w:rsid w:val="005B63B8"/>
    <w:rsid w:val="005E372C"/>
    <w:rsid w:val="005F3485"/>
    <w:rsid w:val="006237C4"/>
    <w:rsid w:val="00654564"/>
    <w:rsid w:val="006545F9"/>
    <w:rsid w:val="00684376"/>
    <w:rsid w:val="00696B9F"/>
    <w:rsid w:val="006A40DB"/>
    <w:rsid w:val="006C5F89"/>
    <w:rsid w:val="006C6613"/>
    <w:rsid w:val="006C6A9F"/>
    <w:rsid w:val="006F16A7"/>
    <w:rsid w:val="006F24B8"/>
    <w:rsid w:val="007033EE"/>
    <w:rsid w:val="00706927"/>
    <w:rsid w:val="00711AEA"/>
    <w:rsid w:val="00717A7C"/>
    <w:rsid w:val="00725669"/>
    <w:rsid w:val="007747C6"/>
    <w:rsid w:val="00791EB8"/>
    <w:rsid w:val="007B15ED"/>
    <w:rsid w:val="00841513"/>
    <w:rsid w:val="008517A0"/>
    <w:rsid w:val="00851D5F"/>
    <w:rsid w:val="0087275B"/>
    <w:rsid w:val="00873C95"/>
    <w:rsid w:val="008A1360"/>
    <w:rsid w:val="008A1D90"/>
    <w:rsid w:val="008B4903"/>
    <w:rsid w:val="008B7A3F"/>
    <w:rsid w:val="008D5E12"/>
    <w:rsid w:val="008F05B3"/>
    <w:rsid w:val="0091647D"/>
    <w:rsid w:val="0092608B"/>
    <w:rsid w:val="009656BA"/>
    <w:rsid w:val="00981A07"/>
    <w:rsid w:val="009831E6"/>
    <w:rsid w:val="00985F7A"/>
    <w:rsid w:val="009B27B8"/>
    <w:rsid w:val="009C17C5"/>
    <w:rsid w:val="009E7026"/>
    <w:rsid w:val="009F0D65"/>
    <w:rsid w:val="009F407D"/>
    <w:rsid w:val="00A06688"/>
    <w:rsid w:val="00A24BD5"/>
    <w:rsid w:val="00A25713"/>
    <w:rsid w:val="00A429EE"/>
    <w:rsid w:val="00A4538E"/>
    <w:rsid w:val="00A503C6"/>
    <w:rsid w:val="00A52786"/>
    <w:rsid w:val="00A53259"/>
    <w:rsid w:val="00A65AA2"/>
    <w:rsid w:val="00A70EB4"/>
    <w:rsid w:val="00A924E2"/>
    <w:rsid w:val="00A94754"/>
    <w:rsid w:val="00AC3B56"/>
    <w:rsid w:val="00AD0AE8"/>
    <w:rsid w:val="00AF3611"/>
    <w:rsid w:val="00B47CA2"/>
    <w:rsid w:val="00B576FA"/>
    <w:rsid w:val="00B70EA4"/>
    <w:rsid w:val="00B91DED"/>
    <w:rsid w:val="00B94026"/>
    <w:rsid w:val="00BA7A9A"/>
    <w:rsid w:val="00BF3134"/>
    <w:rsid w:val="00BF5FEA"/>
    <w:rsid w:val="00C02A5A"/>
    <w:rsid w:val="00C0325F"/>
    <w:rsid w:val="00C06D24"/>
    <w:rsid w:val="00C26485"/>
    <w:rsid w:val="00C32D13"/>
    <w:rsid w:val="00C36A01"/>
    <w:rsid w:val="00C51037"/>
    <w:rsid w:val="00C56208"/>
    <w:rsid w:val="00C72C6D"/>
    <w:rsid w:val="00C73905"/>
    <w:rsid w:val="00CA1CAF"/>
    <w:rsid w:val="00CA3C3D"/>
    <w:rsid w:val="00CD1E82"/>
    <w:rsid w:val="00CF73B1"/>
    <w:rsid w:val="00D2672C"/>
    <w:rsid w:val="00D300F0"/>
    <w:rsid w:val="00D33892"/>
    <w:rsid w:val="00D45E30"/>
    <w:rsid w:val="00D52452"/>
    <w:rsid w:val="00D65B67"/>
    <w:rsid w:val="00D746F6"/>
    <w:rsid w:val="00D86EAB"/>
    <w:rsid w:val="00DD3061"/>
    <w:rsid w:val="00DE0D3D"/>
    <w:rsid w:val="00DE2B64"/>
    <w:rsid w:val="00E1643E"/>
    <w:rsid w:val="00E20A0A"/>
    <w:rsid w:val="00E35964"/>
    <w:rsid w:val="00E57E8F"/>
    <w:rsid w:val="00E64BCB"/>
    <w:rsid w:val="00EA3E0B"/>
    <w:rsid w:val="00EB3CD3"/>
    <w:rsid w:val="00EC3B6E"/>
    <w:rsid w:val="00EE05C5"/>
    <w:rsid w:val="00EE2B96"/>
    <w:rsid w:val="00EE6936"/>
    <w:rsid w:val="00EF5648"/>
    <w:rsid w:val="00EF66C5"/>
    <w:rsid w:val="00F00629"/>
    <w:rsid w:val="00F06E7A"/>
    <w:rsid w:val="00F10984"/>
    <w:rsid w:val="00F27BEB"/>
    <w:rsid w:val="00F31B4C"/>
    <w:rsid w:val="00F33F98"/>
    <w:rsid w:val="00F63549"/>
    <w:rsid w:val="00F77831"/>
    <w:rsid w:val="00F93BE6"/>
    <w:rsid w:val="00F97BEF"/>
    <w:rsid w:val="00FA4931"/>
    <w:rsid w:val="00FB192B"/>
    <w:rsid w:val="00FC1C31"/>
    <w:rsid w:val="00FC29DC"/>
    <w:rsid w:val="00FC643F"/>
    <w:rsid w:val="00FD7FAE"/>
    <w:rsid w:val="00FE5F9F"/>
    <w:rsid w:val="00FF0A4D"/>
    <w:rsid w:val="00FF51B4"/>
    <w:rsid w:val="00FF62BF"/>
    <w:rsid w:val="0E2A6FDB"/>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 w:type="character" w:customStyle="1" w:styleId="8">
    <w:name w:val="页眉 Char"/>
    <w:basedOn w:val="5"/>
    <w:link w:val="3"/>
    <w:uiPriority w:val="99"/>
    <w:rPr>
      <w:sz w:val="18"/>
      <w:szCs w:val="18"/>
    </w:rPr>
  </w:style>
  <w:style w:type="character" w:customStyle="1" w:styleId="9">
    <w:name w:val="页脚 Char"/>
    <w:basedOn w:val="5"/>
    <w:link w:val="2"/>
    <w:uiPriority w:val="99"/>
    <w:rPr>
      <w:sz w:val="18"/>
      <w:szCs w:val="18"/>
    </w:rPr>
  </w:style>
  <w:style w:type="character" w:customStyle="1" w:styleId="10">
    <w:name w:val="apple-converted-space"/>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749</Words>
  <Characters>4274</Characters>
  <Lines>35</Lines>
  <Paragraphs>10</Paragraphs>
  <ScaleCrop>false</ScaleCrop>
  <LinksUpToDate>false</LinksUpToDate>
  <CharactersWithSpaces>5013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2014-12-14T04:22:00Z</dcterms:created>
  <dc:creator>刘子良</dc:creator>
  <cp:lastModifiedBy>dell-pc</cp:lastModifiedBy>
  <dcterms:modified xsi:type="dcterms:W3CDTF">2016-12-24T08:58:11Z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